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37AA" w14:textId="2DF3DE4A" w:rsidR="0024617D" w:rsidRPr="00E11FFB" w:rsidRDefault="7AAA00ED" w:rsidP="7AAA00ED">
      <w:pPr>
        <w:spacing w:after="5" w:line="271" w:lineRule="auto"/>
        <w:ind w:left="20" w:right="28" w:hanging="10"/>
        <w:jc w:val="center"/>
        <w:rPr>
          <w:rFonts w:ascii="Avenir" w:eastAsia="Avenir" w:hAnsi="Avenir" w:cs="Avenir"/>
          <w:b/>
          <w:bCs/>
          <w:color w:val="134163"/>
          <w:sz w:val="28"/>
          <w:szCs w:val="28"/>
        </w:rPr>
      </w:pPr>
      <w:r w:rsidRPr="00E11FFB">
        <w:rPr>
          <w:rFonts w:ascii="Avenir" w:eastAsia="Avenir" w:hAnsi="Avenir" w:cs="Avenir"/>
          <w:b/>
          <w:bCs/>
          <w:color w:val="134163"/>
          <w:sz w:val="28"/>
          <w:szCs w:val="28"/>
        </w:rPr>
        <w:t xml:space="preserve"> </w:t>
      </w:r>
    </w:p>
    <w:p w14:paraId="4E5A7D80" w14:textId="77777777" w:rsidR="0024617D" w:rsidRPr="00E11FFB" w:rsidRDefault="0024617D">
      <w:pPr>
        <w:spacing w:after="5" w:line="271" w:lineRule="auto"/>
        <w:ind w:left="20" w:right="28" w:hanging="10"/>
        <w:jc w:val="center"/>
        <w:rPr>
          <w:rFonts w:ascii="Avenir" w:eastAsia="Avenir" w:hAnsi="Avenir" w:cs="Avenir"/>
          <w:b/>
          <w:color w:val="134163"/>
          <w:sz w:val="28"/>
          <w:szCs w:val="28"/>
        </w:rPr>
      </w:pPr>
    </w:p>
    <w:p w14:paraId="008D8460" w14:textId="77777777" w:rsidR="0024617D" w:rsidRPr="00E11FFB" w:rsidRDefault="00C83F85">
      <w:pPr>
        <w:spacing w:after="5" w:line="271" w:lineRule="auto"/>
        <w:ind w:left="20" w:right="28" w:hanging="10"/>
        <w:jc w:val="center"/>
        <w:rPr>
          <w:rFonts w:ascii="Avenir" w:eastAsia="Avenir" w:hAnsi="Avenir" w:cs="Avenir"/>
          <w:b/>
          <w:color w:val="134163"/>
          <w:sz w:val="28"/>
          <w:szCs w:val="28"/>
        </w:rPr>
      </w:pPr>
      <w:r w:rsidRPr="00E11FFB">
        <w:rPr>
          <w:rFonts w:ascii="Avenir" w:eastAsia="Avenir" w:hAnsi="Avenir" w:cs="Avenir"/>
          <w:b/>
          <w:color w:val="134163"/>
          <w:sz w:val="28"/>
          <w:szCs w:val="28"/>
        </w:rPr>
        <w:t>CANEVAS DE RAPPORT DES PROJETS FINANCÉS PAR L’INITIATIVE POUR LA FORET DE L’AFRIQUE CENTRALE (CAFI)</w:t>
      </w:r>
      <w:r w:rsidRPr="00E11FFB">
        <w:rPr>
          <w:rFonts w:ascii="Avenir" w:eastAsia="Avenir" w:hAnsi="Avenir" w:cs="Avenir"/>
          <w:b/>
          <w:i/>
          <w:color w:val="134163"/>
          <w:sz w:val="28"/>
          <w:szCs w:val="28"/>
          <w:vertAlign w:val="superscript"/>
        </w:rPr>
        <w:footnoteReference w:id="1"/>
      </w:r>
      <w:r w:rsidRPr="00E11FFB">
        <w:rPr>
          <w:rFonts w:ascii="Avenir" w:eastAsia="Avenir" w:hAnsi="Avenir" w:cs="Avenir"/>
          <w:b/>
          <w:color w:val="134163"/>
          <w:sz w:val="28"/>
          <w:szCs w:val="28"/>
        </w:rPr>
        <w:t xml:space="preserve"> ET LE FONAREDD</w:t>
      </w:r>
    </w:p>
    <w:p w14:paraId="501C076E" w14:textId="77777777" w:rsidR="0024617D" w:rsidRPr="00E11FFB" w:rsidRDefault="0024617D">
      <w:pPr>
        <w:spacing w:after="5" w:line="271" w:lineRule="auto"/>
        <w:ind w:left="20" w:right="28" w:hanging="10"/>
        <w:jc w:val="center"/>
        <w:rPr>
          <w:rFonts w:ascii="Avenir" w:eastAsia="Avenir" w:hAnsi="Avenir" w:cs="Avenir"/>
          <w:b/>
          <w:color w:val="134163"/>
          <w:sz w:val="28"/>
          <w:szCs w:val="28"/>
        </w:rPr>
      </w:pPr>
    </w:p>
    <w:p w14:paraId="101553AB" w14:textId="229CA271" w:rsidR="0024617D" w:rsidRPr="00E11FFB" w:rsidRDefault="00C83F85">
      <w:pPr>
        <w:spacing w:after="5" w:line="271" w:lineRule="auto"/>
        <w:ind w:left="20" w:right="28" w:hanging="10"/>
        <w:jc w:val="center"/>
        <w:rPr>
          <w:rFonts w:ascii="Avenir" w:eastAsia="Avenir" w:hAnsi="Avenir" w:cs="Avenir"/>
          <w:b/>
          <w:color w:val="000000"/>
          <w:sz w:val="21"/>
          <w:szCs w:val="21"/>
        </w:rPr>
      </w:pPr>
      <w:r w:rsidRPr="00E11FFB">
        <w:rPr>
          <w:rFonts w:ascii="Avenir" w:eastAsia="Avenir" w:hAnsi="Avenir" w:cs="Avenir"/>
          <w:b/>
          <w:color w:val="000000"/>
          <w:sz w:val="21"/>
          <w:szCs w:val="21"/>
        </w:rPr>
        <w:t>Rapport</w:t>
      </w:r>
      <w:r w:rsidR="008B0B48">
        <w:rPr>
          <w:rFonts w:ascii="Avenir" w:eastAsia="Avenir" w:hAnsi="Avenir" w:cs="Avenir"/>
          <w:b/>
          <w:color w:val="000000"/>
          <w:sz w:val="21"/>
          <w:szCs w:val="21"/>
        </w:rPr>
        <w:t xml:space="preserve"> annuel</w:t>
      </w:r>
    </w:p>
    <w:p w14:paraId="1D37720F" w14:textId="1AD5E329" w:rsidR="0024617D" w:rsidRPr="00E11FFB" w:rsidRDefault="00C83F85">
      <w:pPr>
        <w:spacing w:after="5" w:line="271" w:lineRule="auto"/>
        <w:ind w:left="20" w:right="28" w:hanging="10"/>
        <w:jc w:val="center"/>
        <w:rPr>
          <w:rFonts w:ascii="Avenir" w:eastAsia="Avenir" w:hAnsi="Avenir" w:cs="Avenir"/>
          <w:b/>
        </w:rPr>
      </w:pPr>
      <w:r w:rsidRPr="00E11FFB">
        <w:rPr>
          <w:rFonts w:ascii="Avenir" w:eastAsia="Avenir" w:hAnsi="Avenir" w:cs="Avenir"/>
          <w:b/>
        </w:rPr>
        <w:t xml:space="preserve">Période du </w:t>
      </w:r>
      <w:r w:rsidR="001146CB" w:rsidRPr="0091157C">
        <w:rPr>
          <w:rFonts w:ascii="Avenir" w:eastAsia="Avenir" w:hAnsi="Avenir" w:cs="Avenir"/>
          <w:bCs/>
        </w:rPr>
        <w:t xml:space="preserve">1 </w:t>
      </w:r>
      <w:r w:rsidR="008B0B48" w:rsidRPr="0091157C">
        <w:rPr>
          <w:rFonts w:ascii="Avenir" w:eastAsia="Avenir" w:hAnsi="Avenir" w:cs="Avenir"/>
          <w:bCs/>
        </w:rPr>
        <w:t>janvier</w:t>
      </w:r>
      <w:r w:rsidR="008B0B48">
        <w:rPr>
          <w:rFonts w:ascii="Avenir" w:eastAsia="Avenir" w:hAnsi="Avenir" w:cs="Avenir"/>
          <w:b/>
        </w:rPr>
        <w:t xml:space="preserve"> </w:t>
      </w:r>
      <w:r w:rsidR="00035B5D" w:rsidRPr="00E11FFB">
        <w:rPr>
          <w:rFonts w:ascii="Avenir" w:eastAsia="Avenir" w:hAnsi="Avenir" w:cs="Avenir"/>
        </w:rPr>
        <w:t>2025</w:t>
      </w:r>
      <w:r w:rsidRPr="00E11FFB">
        <w:rPr>
          <w:rFonts w:ascii="Avenir" w:eastAsia="Avenir" w:hAnsi="Avenir" w:cs="Avenir"/>
          <w:b/>
        </w:rPr>
        <w:t xml:space="preserve"> au</w:t>
      </w:r>
      <w:r w:rsidRPr="00E11FFB">
        <w:rPr>
          <w:rFonts w:ascii="Avenir" w:eastAsia="Avenir" w:hAnsi="Avenir" w:cs="Avenir"/>
        </w:rPr>
        <w:t xml:space="preserve"> </w:t>
      </w:r>
      <w:r w:rsidR="001146CB" w:rsidRPr="00E11FFB">
        <w:rPr>
          <w:rFonts w:ascii="Avenir" w:eastAsia="Avenir" w:hAnsi="Avenir" w:cs="Avenir"/>
        </w:rPr>
        <w:t xml:space="preserve">31 </w:t>
      </w:r>
      <w:r w:rsidR="00035B5D" w:rsidRPr="00E11FFB">
        <w:rPr>
          <w:rFonts w:ascii="Avenir" w:eastAsia="Avenir" w:hAnsi="Avenir" w:cs="Avenir"/>
        </w:rPr>
        <w:t>décembre 2025</w:t>
      </w:r>
      <w:r w:rsidRPr="00E11FFB">
        <w:rPr>
          <w:rFonts w:ascii="Avenir" w:eastAsia="Avenir" w:hAnsi="Avenir" w:cs="Avenir"/>
        </w:rPr>
        <w:t>.</w:t>
      </w:r>
    </w:p>
    <w:p w14:paraId="731F5FFF" w14:textId="77777777" w:rsidR="0024617D" w:rsidRPr="00E11FFB" w:rsidRDefault="0024617D">
      <w:pPr>
        <w:jc w:val="both"/>
        <w:rPr>
          <w:rFonts w:ascii="Avenir" w:eastAsia="Avenir" w:hAnsi="Avenir" w:cs="Avenir"/>
          <w:color w:val="000000"/>
        </w:rPr>
      </w:pPr>
    </w:p>
    <w:tbl>
      <w:tblPr>
        <w:tblStyle w:val="23"/>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7"/>
        <w:gridCol w:w="4377"/>
      </w:tblGrid>
      <w:tr w:rsidR="00DE66F0" w:rsidRPr="00E11FFB" w14:paraId="057B6F36" w14:textId="77777777">
        <w:tc>
          <w:tcPr>
            <w:tcW w:w="4377" w:type="dxa"/>
          </w:tcPr>
          <w:p w14:paraId="15B29C78" w14:textId="77777777" w:rsidR="00DE66F0" w:rsidRPr="00E11FFB" w:rsidRDefault="00DE66F0" w:rsidP="00DE66F0">
            <w:pPr>
              <w:spacing w:after="19"/>
              <w:rPr>
                <w:rFonts w:ascii="Avenir" w:eastAsia="Avenir" w:hAnsi="Avenir" w:cs="Avenir"/>
                <w:b/>
                <w:color w:val="000000"/>
              </w:rPr>
            </w:pPr>
            <w:r w:rsidRPr="00E11FFB">
              <w:rPr>
                <w:rFonts w:ascii="Avenir" w:eastAsia="Avenir" w:hAnsi="Avenir" w:cs="Avenir"/>
                <w:b/>
                <w:color w:val="000000"/>
              </w:rPr>
              <w:t xml:space="preserve">Titre du projet : </w:t>
            </w:r>
          </w:p>
          <w:p w14:paraId="0029718D" w14:textId="77777777" w:rsidR="00DE66F0" w:rsidRPr="00E11FFB" w:rsidRDefault="00DE66F0" w:rsidP="00DE66F0">
            <w:pPr>
              <w:rPr>
                <w:rFonts w:ascii="Avenir" w:eastAsia="Avenir" w:hAnsi="Avenir" w:cs="Avenir"/>
                <w:b/>
                <w:color w:val="000000"/>
              </w:rPr>
            </w:pPr>
          </w:p>
        </w:tc>
        <w:tc>
          <w:tcPr>
            <w:tcW w:w="4377" w:type="dxa"/>
          </w:tcPr>
          <w:p w14:paraId="50F5EC6A" w14:textId="20F3B840" w:rsidR="00DE66F0" w:rsidRPr="00E11FFB" w:rsidRDefault="00DE66F0" w:rsidP="00DE66F0">
            <w:pPr>
              <w:rPr>
                <w:rFonts w:ascii="Avenir" w:eastAsia="Avenir" w:hAnsi="Avenir" w:cs="Avenir"/>
                <w:color w:val="000000"/>
              </w:rPr>
            </w:pPr>
            <w:r w:rsidRPr="0091157C">
              <w:rPr>
                <w:rFonts w:ascii="Avenir" w:eastAsia="Avenir" w:hAnsi="Avenir" w:cs="Avenir"/>
                <w:color w:val="000000"/>
              </w:rPr>
              <w:t>Projet d’Appui à l’Atteinte des Jalons</w:t>
            </w:r>
          </w:p>
        </w:tc>
      </w:tr>
      <w:tr w:rsidR="00DE66F0" w:rsidRPr="00E11FFB" w14:paraId="27C5C225" w14:textId="77777777">
        <w:tc>
          <w:tcPr>
            <w:tcW w:w="4377" w:type="dxa"/>
          </w:tcPr>
          <w:p w14:paraId="6B661E2A" w14:textId="77777777" w:rsidR="00DE66F0" w:rsidRPr="00E11FFB" w:rsidRDefault="00DE66F0" w:rsidP="00DE66F0">
            <w:pPr>
              <w:spacing w:after="13"/>
              <w:rPr>
                <w:rFonts w:ascii="Avenir" w:eastAsia="Avenir" w:hAnsi="Avenir" w:cs="Avenir"/>
                <w:b/>
                <w:color w:val="000000"/>
              </w:rPr>
            </w:pPr>
            <w:r w:rsidRPr="00E11FFB">
              <w:rPr>
                <w:rFonts w:ascii="Avenir" w:eastAsia="Avenir" w:hAnsi="Avenir" w:cs="Avenir"/>
                <w:b/>
                <w:color w:val="000000"/>
              </w:rPr>
              <w:t>Numéro de référence MPTF du projet</w:t>
            </w:r>
            <w:r w:rsidRPr="00E11FFB">
              <w:rPr>
                <w:rFonts w:ascii="Avenir" w:eastAsia="Avenir" w:hAnsi="Avenir" w:cs="Avenir"/>
                <w:b/>
                <w:color w:val="000000"/>
                <w:vertAlign w:val="superscript"/>
              </w:rPr>
              <w:t>2</w:t>
            </w:r>
            <w:r w:rsidRPr="00E11FFB">
              <w:rPr>
                <w:rFonts w:ascii="Avenir" w:eastAsia="Avenir" w:hAnsi="Avenir" w:cs="Avenir"/>
                <w:b/>
                <w:color w:val="000000"/>
              </w:rPr>
              <w:t xml:space="preserve"> : </w:t>
            </w:r>
          </w:p>
          <w:p w14:paraId="47A03043" w14:textId="77777777" w:rsidR="00DE66F0" w:rsidRPr="00E11FFB" w:rsidRDefault="00DE66F0" w:rsidP="00DE66F0">
            <w:pPr>
              <w:rPr>
                <w:rFonts w:ascii="Avenir" w:eastAsia="Avenir" w:hAnsi="Avenir" w:cs="Avenir"/>
                <w:b/>
                <w:color w:val="000000"/>
              </w:rPr>
            </w:pPr>
          </w:p>
        </w:tc>
        <w:tc>
          <w:tcPr>
            <w:tcW w:w="4377" w:type="dxa"/>
          </w:tcPr>
          <w:p w14:paraId="67684FAE" w14:textId="40F0335C" w:rsidR="00DE66F0" w:rsidRPr="00E11FFB" w:rsidRDefault="00DE66F0" w:rsidP="00DE66F0">
            <w:pPr>
              <w:rPr>
                <w:rFonts w:ascii="Avenir" w:eastAsia="Avenir" w:hAnsi="Avenir" w:cs="Avenir"/>
                <w:color w:val="000000"/>
              </w:rPr>
            </w:pPr>
            <w:r w:rsidRPr="0091157C">
              <w:rPr>
                <w:rFonts w:ascii="Avenir" w:eastAsia="Avenir" w:hAnsi="Avenir" w:cs="Avenir"/>
                <w:color w:val="000000"/>
              </w:rPr>
              <w:t>MPTF 00141041</w:t>
            </w:r>
          </w:p>
        </w:tc>
      </w:tr>
      <w:tr w:rsidR="00DE66F0" w:rsidRPr="00E11FFB" w14:paraId="656D101C" w14:textId="77777777">
        <w:tc>
          <w:tcPr>
            <w:tcW w:w="4377" w:type="dxa"/>
          </w:tcPr>
          <w:p w14:paraId="68B5C98D" w14:textId="77777777" w:rsidR="00DE66F0" w:rsidRPr="00E11FFB" w:rsidRDefault="00DE66F0" w:rsidP="00DE66F0">
            <w:pPr>
              <w:rPr>
                <w:rFonts w:ascii="Avenir" w:eastAsia="Avenir" w:hAnsi="Avenir" w:cs="Avenir"/>
                <w:b/>
                <w:color w:val="000000"/>
              </w:rPr>
            </w:pPr>
            <w:r w:rsidRPr="00E11FFB">
              <w:rPr>
                <w:rFonts w:ascii="Avenir" w:eastAsia="Avenir" w:hAnsi="Avenir" w:cs="Avenir"/>
                <w:b/>
                <w:color w:val="000000"/>
              </w:rPr>
              <w:t>Organisation de mise en œuvre :</w:t>
            </w:r>
          </w:p>
        </w:tc>
        <w:tc>
          <w:tcPr>
            <w:tcW w:w="4377" w:type="dxa"/>
          </w:tcPr>
          <w:p w14:paraId="21020456" w14:textId="59EF2E88" w:rsidR="00DE66F0" w:rsidRPr="00E11FFB" w:rsidRDefault="00DE66F0" w:rsidP="00DE66F0">
            <w:pPr>
              <w:rPr>
                <w:rFonts w:ascii="Avenir" w:eastAsia="Avenir" w:hAnsi="Avenir" w:cs="Avenir"/>
                <w:color w:val="000000"/>
              </w:rPr>
            </w:pPr>
            <w:r w:rsidRPr="0091157C">
              <w:rPr>
                <w:rFonts w:ascii="Avenir" w:eastAsia="Avenir" w:hAnsi="Avenir" w:cs="Avenir"/>
                <w:color w:val="000000"/>
              </w:rPr>
              <w:t>Programme de Nations Unies pour le Développement (PNUD)</w:t>
            </w:r>
          </w:p>
        </w:tc>
      </w:tr>
      <w:tr w:rsidR="00DE66F0" w:rsidRPr="00E11FFB" w14:paraId="429978F7" w14:textId="77777777">
        <w:tc>
          <w:tcPr>
            <w:tcW w:w="4377" w:type="dxa"/>
          </w:tcPr>
          <w:p w14:paraId="240FFD35" w14:textId="77777777" w:rsidR="00DE66F0" w:rsidRPr="00E11FFB" w:rsidRDefault="00DE66F0" w:rsidP="00DE66F0">
            <w:pPr>
              <w:rPr>
                <w:rFonts w:ascii="Avenir" w:eastAsia="Avenir" w:hAnsi="Avenir" w:cs="Avenir"/>
                <w:b/>
                <w:color w:val="000000"/>
              </w:rPr>
            </w:pPr>
            <w:r w:rsidRPr="00E11FFB">
              <w:rPr>
                <w:rFonts w:ascii="Avenir" w:eastAsia="Avenir" w:hAnsi="Avenir" w:cs="Avenir"/>
                <w:b/>
                <w:color w:val="000000"/>
              </w:rPr>
              <w:t>Rapport soumis par :</w:t>
            </w:r>
          </w:p>
          <w:p w14:paraId="14719779"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Nom : </w:t>
            </w:r>
          </w:p>
          <w:p w14:paraId="64CCBFCB"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Titre : </w:t>
            </w:r>
          </w:p>
          <w:p w14:paraId="1DE6A97D"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Organisation : </w:t>
            </w:r>
          </w:p>
          <w:p w14:paraId="3500D29D"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Adresse email :</w:t>
            </w:r>
          </w:p>
        </w:tc>
        <w:tc>
          <w:tcPr>
            <w:tcW w:w="4377" w:type="dxa"/>
          </w:tcPr>
          <w:p w14:paraId="06F261AC"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Damien Mama</w:t>
            </w:r>
          </w:p>
          <w:p w14:paraId="1B99B264"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Représentant Résident</w:t>
            </w:r>
          </w:p>
          <w:p w14:paraId="725D74ED"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PNUD</w:t>
            </w:r>
          </w:p>
          <w:p w14:paraId="7B9C9F55" w14:textId="065B96B2" w:rsidR="00DE66F0" w:rsidRPr="00E11FFB" w:rsidRDefault="00DE66F0" w:rsidP="00DE66F0">
            <w:pPr>
              <w:rPr>
                <w:rFonts w:ascii="Avenir" w:eastAsia="Avenir" w:hAnsi="Avenir" w:cs="Avenir"/>
                <w:color w:val="000000"/>
              </w:rPr>
            </w:pPr>
            <w:hyperlink r:id="rId9" w:history="1">
              <w:r w:rsidRPr="00E11FFB">
                <w:rPr>
                  <w:rStyle w:val="Lienhypertexte"/>
                  <w:rFonts w:ascii="Avenir" w:eastAsia="Avenir" w:hAnsi="Avenir" w:cs="Avenir"/>
                </w:rPr>
                <w:t>damien.mama@undp.org</w:t>
              </w:r>
            </w:hyperlink>
            <w:r w:rsidRPr="00E11FFB">
              <w:rPr>
                <w:rFonts w:ascii="Avenir" w:eastAsia="Avenir" w:hAnsi="Avenir" w:cs="Avenir"/>
                <w:color w:val="000000"/>
              </w:rPr>
              <w:t xml:space="preserve">   </w:t>
            </w:r>
          </w:p>
        </w:tc>
      </w:tr>
      <w:tr w:rsidR="00DE66F0" w:rsidRPr="00E11FFB" w14:paraId="23D247B5" w14:textId="77777777">
        <w:tc>
          <w:tcPr>
            <w:tcW w:w="4377" w:type="dxa"/>
          </w:tcPr>
          <w:p w14:paraId="14C26397" w14:textId="77777777" w:rsidR="00DE66F0" w:rsidRPr="00E11FFB" w:rsidRDefault="00DE66F0" w:rsidP="00DE66F0">
            <w:pPr>
              <w:rPr>
                <w:rFonts w:ascii="Avenir" w:eastAsia="Avenir" w:hAnsi="Avenir" w:cs="Avenir"/>
                <w:b/>
                <w:color w:val="000000"/>
              </w:rPr>
            </w:pPr>
            <w:r w:rsidRPr="00E11FFB">
              <w:rPr>
                <w:rFonts w:ascii="Avenir" w:eastAsia="Avenir" w:hAnsi="Avenir" w:cs="Avenir"/>
                <w:b/>
                <w:color w:val="000000"/>
              </w:rPr>
              <w:t>Contact en cas de besoin de clarification :</w:t>
            </w:r>
          </w:p>
          <w:p w14:paraId="007352C1"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Nom : </w:t>
            </w:r>
          </w:p>
          <w:p w14:paraId="633A60BF"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Titre : </w:t>
            </w:r>
          </w:p>
          <w:p w14:paraId="519E66CA"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Organisation : </w:t>
            </w:r>
          </w:p>
          <w:p w14:paraId="44DA2BCC"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Adresse email :</w:t>
            </w:r>
          </w:p>
        </w:tc>
        <w:tc>
          <w:tcPr>
            <w:tcW w:w="4377" w:type="dxa"/>
          </w:tcPr>
          <w:p w14:paraId="490D7554"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Kouadio N’Goran</w:t>
            </w:r>
          </w:p>
          <w:p w14:paraId="245AF4CE"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 xml:space="preserve">Coordonnateur du Programme </w:t>
            </w:r>
          </w:p>
          <w:p w14:paraId="506E3BC8" w14:textId="77777777" w:rsidR="00DE66F0" w:rsidRPr="00E11FFB" w:rsidRDefault="00DE66F0" w:rsidP="00DE66F0">
            <w:pPr>
              <w:rPr>
                <w:rFonts w:ascii="Avenir" w:eastAsia="Avenir" w:hAnsi="Avenir" w:cs="Avenir"/>
                <w:color w:val="000000"/>
              </w:rPr>
            </w:pPr>
            <w:r w:rsidRPr="00E11FFB">
              <w:rPr>
                <w:rFonts w:ascii="Avenir" w:eastAsia="Avenir" w:hAnsi="Avenir" w:cs="Avenir"/>
                <w:color w:val="000000"/>
              </w:rPr>
              <w:t>PNUD</w:t>
            </w:r>
          </w:p>
          <w:p w14:paraId="00CF17D7" w14:textId="2FF8434B" w:rsidR="00DE66F0" w:rsidRPr="00E11FFB" w:rsidRDefault="00DE66F0" w:rsidP="00DE66F0">
            <w:pPr>
              <w:rPr>
                <w:rFonts w:ascii="Avenir" w:eastAsia="Avenir" w:hAnsi="Avenir" w:cs="Avenir"/>
                <w:color w:val="000000"/>
              </w:rPr>
            </w:pPr>
            <w:hyperlink r:id="rId10" w:history="1">
              <w:r w:rsidRPr="00E11FFB">
                <w:rPr>
                  <w:rStyle w:val="Lienhypertexte"/>
                  <w:rFonts w:ascii="Avenir" w:eastAsia="Avenir" w:hAnsi="Avenir" w:cs="Avenir"/>
                </w:rPr>
                <w:t>kouadio.ngoran@undp.org</w:t>
              </w:r>
            </w:hyperlink>
            <w:r w:rsidRPr="00E11FFB">
              <w:rPr>
                <w:rFonts w:ascii="Avenir" w:eastAsia="Avenir" w:hAnsi="Avenir" w:cs="Avenir"/>
                <w:color w:val="000000"/>
              </w:rPr>
              <w:t xml:space="preserve"> </w:t>
            </w:r>
          </w:p>
        </w:tc>
      </w:tr>
    </w:tbl>
    <w:p w14:paraId="5515B1DC" w14:textId="77777777" w:rsidR="0024617D" w:rsidRPr="00E11FFB" w:rsidRDefault="0024617D">
      <w:pPr>
        <w:jc w:val="both"/>
        <w:rPr>
          <w:rFonts w:ascii="Avenir" w:eastAsia="Avenir" w:hAnsi="Avenir" w:cs="Avenir"/>
          <w:color w:val="000000"/>
        </w:rPr>
      </w:pPr>
    </w:p>
    <w:p w14:paraId="3C5538B9" w14:textId="77777777" w:rsidR="0024617D" w:rsidRPr="00E11FFB" w:rsidRDefault="00C83F85">
      <w:pPr>
        <w:spacing w:after="5" w:line="271" w:lineRule="auto"/>
        <w:ind w:left="20" w:right="28" w:hanging="10"/>
        <w:jc w:val="both"/>
        <w:rPr>
          <w:rFonts w:ascii="Avenir" w:eastAsia="Avenir" w:hAnsi="Avenir" w:cs="Avenir"/>
          <w:color w:val="000000"/>
          <w:sz w:val="21"/>
          <w:szCs w:val="21"/>
        </w:rPr>
      </w:pPr>
      <w:r w:rsidRPr="00E11FFB">
        <w:rPr>
          <w:rFonts w:ascii="Avenir" w:eastAsia="Avenir" w:hAnsi="Avenir" w:cs="Avenir"/>
          <w:color w:val="000000"/>
          <w:sz w:val="21"/>
          <w:szCs w:val="21"/>
        </w:rPr>
        <w:t>Veuillez indiquer si ce rapport a été approuvé par le comité de pilotage du projet :</w:t>
      </w:r>
    </w:p>
    <w:p w14:paraId="2C6DF3AA" w14:textId="45E31402" w:rsidR="0024617D" w:rsidRPr="006D79E9" w:rsidRDefault="00C83F85">
      <w:pPr>
        <w:spacing w:after="5" w:line="271" w:lineRule="auto"/>
        <w:ind w:right="28"/>
        <w:jc w:val="both"/>
        <w:rPr>
          <w:rFonts w:ascii="Avenir" w:eastAsia="Avenir" w:hAnsi="Avenir" w:cs="Avenir"/>
          <w:sz w:val="21"/>
          <w:szCs w:val="21"/>
        </w:rPr>
      </w:pPr>
      <w:r w:rsidRPr="006D79E9">
        <w:rPr>
          <w:rFonts w:ascii="Avenir" w:eastAsia="Avenir" w:hAnsi="Avenir" w:cs="Avenir"/>
          <w:sz w:val="21"/>
          <w:szCs w:val="21"/>
        </w:rPr>
        <w:t xml:space="preserve">Oui </w:t>
      </w:r>
      <w:r w:rsidR="0091157C" w:rsidRPr="00E11FFB">
        <w:rPr>
          <w:rFonts w:ascii="Arimo" w:eastAsia="Arimo" w:hAnsi="Arimo" w:cs="Arimo"/>
          <w:color w:val="000000"/>
          <w:sz w:val="21"/>
          <w:szCs w:val="21"/>
          <w:highlight w:val="black"/>
        </w:rPr>
        <w:t>☐</w:t>
      </w:r>
    </w:p>
    <w:p w14:paraId="11298E29" w14:textId="33286387" w:rsidR="0024617D" w:rsidRPr="00E11FFB" w:rsidRDefault="00C83F85">
      <w:pPr>
        <w:spacing w:after="5" w:line="271" w:lineRule="auto"/>
        <w:ind w:left="20" w:right="28" w:hanging="10"/>
        <w:jc w:val="both"/>
        <w:rPr>
          <w:rFonts w:ascii="Avenir" w:eastAsia="Avenir" w:hAnsi="Avenir" w:cs="Avenir"/>
          <w:color w:val="000000"/>
          <w:sz w:val="21"/>
          <w:szCs w:val="21"/>
        </w:rPr>
      </w:pPr>
      <w:r w:rsidRPr="00E11FFB">
        <w:rPr>
          <w:rFonts w:ascii="Avenir" w:eastAsia="Avenir" w:hAnsi="Avenir" w:cs="Avenir"/>
          <w:color w:val="000000"/>
          <w:sz w:val="21"/>
          <w:szCs w:val="21"/>
        </w:rPr>
        <w:t xml:space="preserve">Non </w:t>
      </w:r>
    </w:p>
    <w:p w14:paraId="023F86BA" w14:textId="77777777" w:rsidR="0024617D" w:rsidRPr="00E11FFB" w:rsidRDefault="00C83F85">
      <w:pPr>
        <w:spacing w:after="5" w:line="271" w:lineRule="auto"/>
        <w:ind w:left="20" w:right="28" w:hanging="10"/>
        <w:jc w:val="both"/>
        <w:rPr>
          <w:rFonts w:ascii="Avenir" w:eastAsia="Avenir" w:hAnsi="Avenir" w:cs="Avenir"/>
          <w:color w:val="000000"/>
          <w:sz w:val="21"/>
          <w:szCs w:val="21"/>
        </w:rPr>
      </w:pPr>
      <w:r w:rsidRPr="00E11FFB">
        <w:rPr>
          <w:rFonts w:ascii="Avenir" w:eastAsia="Avenir" w:hAnsi="Avenir" w:cs="Avenir"/>
          <w:color w:val="000000"/>
          <w:sz w:val="21"/>
          <w:szCs w:val="21"/>
        </w:rPr>
        <w:t xml:space="preserve">Si oui, quand : </w:t>
      </w:r>
      <w:r w:rsidRPr="00E11FFB">
        <w:rPr>
          <w:rFonts w:ascii="Avenir" w:eastAsia="Avenir" w:hAnsi="Avenir" w:cs="Avenir"/>
          <w:color w:val="808080"/>
        </w:rPr>
        <w:t>Click or tap to enter a date.</w:t>
      </w:r>
    </w:p>
    <w:p w14:paraId="5A203A27" w14:textId="7D5064D1" w:rsidR="0024617D" w:rsidRPr="00E11FFB" w:rsidRDefault="00C83F85">
      <w:pPr>
        <w:spacing w:after="5" w:line="271" w:lineRule="auto"/>
        <w:ind w:left="20" w:right="28" w:hanging="10"/>
        <w:jc w:val="both"/>
        <w:rPr>
          <w:rFonts w:ascii="Avenir" w:eastAsia="Avenir" w:hAnsi="Avenir" w:cs="Avenir"/>
          <w:color w:val="000000"/>
          <w:sz w:val="21"/>
          <w:szCs w:val="21"/>
        </w:rPr>
      </w:pPr>
      <w:r w:rsidRPr="00E11FFB">
        <w:rPr>
          <w:rFonts w:ascii="Avenir" w:eastAsia="Avenir" w:hAnsi="Avenir" w:cs="Avenir"/>
          <w:color w:val="000000"/>
          <w:sz w:val="21"/>
          <w:szCs w:val="21"/>
        </w:rPr>
        <w:t xml:space="preserve">Si non, date anticipée d’examen en comité de pilotage du projet : </w:t>
      </w:r>
    </w:p>
    <w:p w14:paraId="66C22EA0" w14:textId="778232CD" w:rsidR="0024617D" w:rsidRPr="00E11FFB" w:rsidRDefault="00C83F85" w:rsidP="00501361">
      <w:pPr>
        <w:rPr>
          <w:rFonts w:ascii="Avenir" w:eastAsia="Avenir" w:hAnsi="Avenir" w:cs="Avenir"/>
          <w:color w:val="000000"/>
          <w:sz w:val="21"/>
          <w:szCs w:val="21"/>
        </w:rPr>
      </w:pPr>
      <w:r w:rsidRPr="00E11FFB">
        <w:br w:type="page"/>
      </w:r>
    </w:p>
    <w:p w14:paraId="2206544D" w14:textId="77777777" w:rsidR="00501361" w:rsidRPr="00E11FFB" w:rsidRDefault="00501361" w:rsidP="00501361">
      <w:pPr>
        <w:rPr>
          <w:rFonts w:ascii="Avenir" w:hAnsi="Avenir" w:cstheme="minorHAnsi"/>
          <w:b/>
          <w:bCs/>
        </w:rPr>
      </w:pPr>
      <w:r w:rsidRPr="00E11FFB">
        <w:rPr>
          <w:rFonts w:ascii="Avenir" w:hAnsi="Avenir" w:cstheme="minorHAnsi"/>
          <w:b/>
          <w:bCs/>
        </w:rPr>
        <w:lastRenderedPageBreak/>
        <w:t>Abréviations et acronymes</w:t>
      </w:r>
    </w:p>
    <w:p w14:paraId="1709AB40" w14:textId="77777777" w:rsidR="00D06416" w:rsidRPr="00E11FFB" w:rsidRDefault="00D06416" w:rsidP="00501361">
      <w:pPr>
        <w:rPr>
          <w:rFonts w:ascii="Avenir" w:hAnsi="Avenir" w:cstheme="minorHAnsi"/>
          <w:b/>
          <w:bCs/>
        </w:rPr>
      </w:pPr>
    </w:p>
    <w:tbl>
      <w:tblPr>
        <w:tblW w:w="8902" w:type="dxa"/>
        <w:tblLayout w:type="fixed"/>
        <w:tblCellMar>
          <w:left w:w="10" w:type="dxa"/>
          <w:right w:w="10" w:type="dxa"/>
        </w:tblCellMar>
        <w:tblLook w:val="06A0" w:firstRow="1" w:lastRow="0" w:firstColumn="1" w:lastColumn="0" w:noHBand="1" w:noVBand="1"/>
      </w:tblPr>
      <w:tblGrid>
        <w:gridCol w:w="1444"/>
        <w:gridCol w:w="7458"/>
      </w:tblGrid>
      <w:tr w:rsidR="00D06416" w:rsidRPr="00E11FFB" w14:paraId="23C847D4"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00DC7A3" w14:textId="77777777" w:rsidR="00D06416" w:rsidRPr="00E11FFB" w:rsidRDefault="00D06416" w:rsidP="003A6DE1">
            <w:pPr>
              <w:rPr>
                <w:rFonts w:ascii="Avenir" w:eastAsia="Arial" w:hAnsi="Avenir" w:cstheme="minorHAnsi"/>
              </w:rPr>
            </w:pPr>
            <w:r w:rsidRPr="00E11FFB">
              <w:rPr>
                <w:rFonts w:ascii="Avenir" w:eastAsia="Arial" w:hAnsi="Avenir" w:cstheme="minorHAnsi"/>
              </w:rPr>
              <w:t>ACE</w:t>
            </w:r>
          </w:p>
        </w:tc>
        <w:tc>
          <w:tcPr>
            <w:tcW w:w="7458" w:type="dxa"/>
            <w:tcBorders>
              <w:top w:val="single" w:sz="8" w:space="0" w:color="C0C0C0"/>
              <w:left w:val="single" w:sz="8" w:space="0" w:color="C0C0C0"/>
              <w:bottom w:val="single" w:sz="8" w:space="0" w:color="C0C0C0"/>
              <w:right w:val="single" w:sz="8" w:space="0" w:color="C0C0C0"/>
            </w:tcBorders>
          </w:tcPr>
          <w:p w14:paraId="5BB0AC21" w14:textId="77777777" w:rsidR="00D06416" w:rsidRPr="00E11FFB" w:rsidRDefault="00D06416" w:rsidP="003A6DE1">
            <w:pPr>
              <w:rPr>
                <w:rFonts w:ascii="Avenir" w:eastAsia="Arial" w:hAnsi="Avenir" w:cstheme="minorHAnsi"/>
              </w:rPr>
            </w:pPr>
            <w:r w:rsidRPr="00E11FFB">
              <w:rPr>
                <w:rFonts w:ascii="Avenir" w:eastAsia="Arial" w:hAnsi="Avenir" w:cstheme="minorHAnsi"/>
              </w:rPr>
              <w:t>Agence Congolaise de l’Environnement</w:t>
            </w:r>
          </w:p>
        </w:tc>
      </w:tr>
      <w:tr w:rsidR="00D06416" w:rsidRPr="00E11FFB" w14:paraId="24F042BE"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557861B0" w14:textId="77777777" w:rsidR="00D06416" w:rsidRPr="00E11FFB" w:rsidRDefault="00D06416" w:rsidP="003A6DE1">
            <w:pPr>
              <w:rPr>
                <w:rFonts w:ascii="Avenir" w:eastAsia="Arial" w:hAnsi="Avenir" w:cstheme="minorHAnsi"/>
              </w:rPr>
            </w:pPr>
            <w:r w:rsidRPr="00E11FFB">
              <w:rPr>
                <w:rFonts w:ascii="Avenir" w:eastAsia="Arial" w:hAnsi="Avenir" w:cstheme="minorHAnsi"/>
              </w:rPr>
              <w:t>AT</w:t>
            </w:r>
          </w:p>
        </w:tc>
        <w:tc>
          <w:tcPr>
            <w:tcW w:w="7458" w:type="dxa"/>
            <w:tcBorders>
              <w:top w:val="single" w:sz="8" w:space="0" w:color="C0C0C0"/>
              <w:left w:val="single" w:sz="8" w:space="0" w:color="C0C0C0"/>
              <w:bottom w:val="single" w:sz="8" w:space="0" w:color="C0C0C0"/>
              <w:right w:val="single" w:sz="8" w:space="0" w:color="C0C0C0"/>
            </w:tcBorders>
          </w:tcPr>
          <w:p w14:paraId="06487655" w14:textId="77777777" w:rsidR="00D06416" w:rsidRPr="00E11FFB" w:rsidRDefault="00D06416" w:rsidP="003A6DE1">
            <w:pPr>
              <w:rPr>
                <w:rFonts w:ascii="Avenir" w:eastAsia="Arial" w:hAnsi="Avenir" w:cstheme="minorHAnsi"/>
              </w:rPr>
            </w:pPr>
            <w:r w:rsidRPr="00E11FFB">
              <w:rPr>
                <w:rFonts w:ascii="Avenir" w:eastAsia="Arial" w:hAnsi="Avenir" w:cstheme="minorHAnsi"/>
              </w:rPr>
              <w:t>Aménagement du Territoire</w:t>
            </w:r>
          </w:p>
        </w:tc>
      </w:tr>
      <w:tr w:rsidR="00D06416" w:rsidRPr="00E11FFB" w14:paraId="25E24BF3"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03D3EC7" w14:textId="77777777" w:rsidR="00D06416" w:rsidRPr="00E11FFB" w:rsidRDefault="00D06416" w:rsidP="003A6DE1">
            <w:pPr>
              <w:rPr>
                <w:rFonts w:ascii="Avenir" w:eastAsia="Arial" w:hAnsi="Avenir" w:cstheme="minorHAnsi"/>
                <w:color w:val="000000" w:themeColor="text1"/>
              </w:rPr>
            </w:pPr>
            <w:r w:rsidRPr="00E11FFB">
              <w:rPr>
                <w:rFonts w:ascii="Avenir" w:eastAsia="Arial" w:hAnsi="Avenir" w:cstheme="minorHAnsi"/>
                <w:color w:val="000000" w:themeColor="text1"/>
              </w:rPr>
              <w:t xml:space="preserve">BUR </w:t>
            </w:r>
          </w:p>
        </w:tc>
        <w:tc>
          <w:tcPr>
            <w:tcW w:w="7458" w:type="dxa"/>
            <w:tcBorders>
              <w:top w:val="single" w:sz="8" w:space="0" w:color="C0C0C0"/>
              <w:left w:val="single" w:sz="8" w:space="0" w:color="C0C0C0"/>
              <w:bottom w:val="single" w:sz="8" w:space="0" w:color="C0C0C0"/>
              <w:right w:val="single" w:sz="8" w:space="0" w:color="C0C0C0"/>
            </w:tcBorders>
          </w:tcPr>
          <w:p w14:paraId="389E2445" w14:textId="77777777" w:rsidR="00D06416" w:rsidRPr="00E11FFB" w:rsidRDefault="00D06416" w:rsidP="003A6DE1">
            <w:pPr>
              <w:rPr>
                <w:rFonts w:ascii="Avenir" w:eastAsia="Arial" w:hAnsi="Avenir" w:cstheme="minorHAnsi"/>
                <w:color w:val="000000" w:themeColor="text1"/>
              </w:rPr>
            </w:pPr>
            <w:r w:rsidRPr="00E11FFB">
              <w:rPr>
                <w:rFonts w:ascii="Avenir" w:hAnsi="Avenir"/>
                <w:color w:val="000000" w:themeColor="text1"/>
              </w:rPr>
              <w:t>Rapports Biennaux</w:t>
            </w:r>
          </w:p>
        </w:tc>
      </w:tr>
      <w:tr w:rsidR="00D06416" w:rsidRPr="00E11FFB" w14:paraId="3AAB4744"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5887DCB" w14:textId="77777777" w:rsidR="00D06416" w:rsidRPr="00E11FFB" w:rsidRDefault="00D06416" w:rsidP="003A6DE1">
            <w:pPr>
              <w:rPr>
                <w:rFonts w:ascii="Avenir" w:eastAsia="Arial" w:hAnsi="Avenir" w:cstheme="minorHAnsi"/>
              </w:rPr>
            </w:pPr>
            <w:r w:rsidRPr="00E11FFB">
              <w:rPr>
                <w:rFonts w:ascii="Avenir" w:eastAsia="Arial" w:hAnsi="Avenir" w:cstheme="minorHAnsi"/>
              </w:rPr>
              <w:t>CCNA</w:t>
            </w:r>
          </w:p>
        </w:tc>
        <w:tc>
          <w:tcPr>
            <w:tcW w:w="7458" w:type="dxa"/>
            <w:tcBorders>
              <w:top w:val="single" w:sz="8" w:space="0" w:color="C0C0C0"/>
              <w:left w:val="single" w:sz="8" w:space="0" w:color="C0C0C0"/>
              <w:bottom w:val="single" w:sz="8" w:space="0" w:color="C0C0C0"/>
              <w:right w:val="single" w:sz="8" w:space="0" w:color="C0C0C0"/>
            </w:tcBorders>
          </w:tcPr>
          <w:p w14:paraId="104ED0C1"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Conseil Consultatif National d’Agriculture </w:t>
            </w:r>
          </w:p>
        </w:tc>
      </w:tr>
      <w:tr w:rsidR="00D06416" w:rsidRPr="00E11FFB" w14:paraId="185B21A0"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57D9DCA9" w14:textId="77777777" w:rsidR="00D06416" w:rsidRPr="00E11FFB" w:rsidRDefault="00D06416" w:rsidP="003A6DE1">
            <w:pPr>
              <w:rPr>
                <w:rFonts w:ascii="Avenir" w:eastAsia="Arial" w:hAnsi="Avenir" w:cstheme="minorHAnsi"/>
              </w:rPr>
            </w:pPr>
            <w:r w:rsidRPr="00E11FFB">
              <w:rPr>
                <w:rFonts w:ascii="Avenir" w:eastAsia="Arial" w:hAnsi="Avenir" w:cstheme="minorHAnsi"/>
              </w:rPr>
              <w:t>CNAT</w:t>
            </w:r>
          </w:p>
        </w:tc>
        <w:tc>
          <w:tcPr>
            <w:tcW w:w="7458" w:type="dxa"/>
            <w:tcBorders>
              <w:top w:val="single" w:sz="8" w:space="0" w:color="C0C0C0"/>
              <w:left w:val="single" w:sz="8" w:space="0" w:color="C0C0C0"/>
              <w:bottom w:val="single" w:sz="8" w:space="0" w:color="C0C0C0"/>
              <w:right w:val="single" w:sz="8" w:space="0" w:color="C0C0C0"/>
            </w:tcBorders>
          </w:tcPr>
          <w:p w14:paraId="5BF31AE1" w14:textId="77777777" w:rsidR="00D06416" w:rsidRPr="00E11FFB" w:rsidRDefault="00D06416" w:rsidP="003A6DE1">
            <w:pPr>
              <w:rPr>
                <w:rFonts w:ascii="Avenir" w:eastAsia="Arial" w:hAnsi="Avenir" w:cstheme="minorHAnsi"/>
              </w:rPr>
            </w:pPr>
            <w:r w:rsidRPr="00E11FFB">
              <w:rPr>
                <w:rFonts w:ascii="Avenir" w:eastAsia="Arial" w:hAnsi="Avenir" w:cstheme="minorHAnsi"/>
              </w:rPr>
              <w:t>Conseil National d’Aménagement du Territoire</w:t>
            </w:r>
          </w:p>
        </w:tc>
      </w:tr>
      <w:tr w:rsidR="00D06416" w:rsidRPr="00E11FFB" w14:paraId="78458EF2"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B25C293" w14:textId="77777777" w:rsidR="00D06416" w:rsidRPr="00E11FFB" w:rsidRDefault="00D06416" w:rsidP="003A6DE1">
            <w:pPr>
              <w:rPr>
                <w:rFonts w:ascii="Avenir" w:eastAsia="Arial" w:hAnsi="Avenir" w:cstheme="minorHAnsi"/>
              </w:rPr>
            </w:pPr>
            <w:r w:rsidRPr="00E11FFB">
              <w:rPr>
                <w:rFonts w:ascii="Avenir" w:eastAsia="Arial" w:hAnsi="Avenir" w:cstheme="minorHAnsi"/>
              </w:rPr>
              <w:t>CPAT</w:t>
            </w:r>
          </w:p>
        </w:tc>
        <w:tc>
          <w:tcPr>
            <w:tcW w:w="7458" w:type="dxa"/>
            <w:tcBorders>
              <w:top w:val="single" w:sz="8" w:space="0" w:color="C0C0C0"/>
              <w:left w:val="single" w:sz="8" w:space="0" w:color="C0C0C0"/>
              <w:bottom w:val="single" w:sz="8" w:space="0" w:color="C0C0C0"/>
              <w:right w:val="single" w:sz="8" w:space="0" w:color="C0C0C0"/>
            </w:tcBorders>
          </w:tcPr>
          <w:p w14:paraId="72A67E3B" w14:textId="77777777" w:rsidR="00D06416" w:rsidRPr="00E11FFB" w:rsidRDefault="00D06416" w:rsidP="003A6DE1">
            <w:pPr>
              <w:rPr>
                <w:rFonts w:ascii="Avenir" w:eastAsia="Arial" w:hAnsi="Avenir" w:cstheme="minorHAnsi"/>
              </w:rPr>
            </w:pPr>
            <w:r w:rsidRPr="00E11FFB">
              <w:rPr>
                <w:rFonts w:ascii="Avenir" w:eastAsia="Arial" w:hAnsi="Avenir" w:cstheme="minorHAnsi"/>
              </w:rPr>
              <w:t>Conseil Provincial d’Aménagement du Territoire</w:t>
            </w:r>
          </w:p>
        </w:tc>
      </w:tr>
      <w:tr w:rsidR="00D06416" w:rsidRPr="00E11FFB" w14:paraId="0BE589CE"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F89E150" w14:textId="77777777" w:rsidR="00D06416" w:rsidRPr="00E11FFB" w:rsidRDefault="00D06416" w:rsidP="003A6DE1">
            <w:pPr>
              <w:rPr>
                <w:rFonts w:ascii="Avenir" w:eastAsia="Arial" w:hAnsi="Avenir" w:cstheme="minorHAnsi"/>
              </w:rPr>
            </w:pPr>
            <w:r w:rsidRPr="00E11FFB">
              <w:rPr>
                <w:rFonts w:ascii="Avenir" w:eastAsia="Arial" w:hAnsi="Avenir" w:cstheme="minorHAnsi"/>
              </w:rPr>
              <w:t>CAFI</w:t>
            </w:r>
          </w:p>
        </w:tc>
        <w:tc>
          <w:tcPr>
            <w:tcW w:w="7458" w:type="dxa"/>
            <w:tcBorders>
              <w:top w:val="single" w:sz="8" w:space="0" w:color="C0C0C0"/>
              <w:left w:val="single" w:sz="8" w:space="0" w:color="C0C0C0"/>
              <w:bottom w:val="single" w:sz="8" w:space="0" w:color="C0C0C0"/>
              <w:right w:val="single" w:sz="8" w:space="0" w:color="C0C0C0"/>
            </w:tcBorders>
          </w:tcPr>
          <w:p w14:paraId="0795763C" w14:textId="77777777" w:rsidR="00D06416" w:rsidRPr="00E11FFB" w:rsidRDefault="00D06416" w:rsidP="003A6DE1">
            <w:pPr>
              <w:rPr>
                <w:rFonts w:ascii="Avenir" w:eastAsia="Arial" w:hAnsi="Avenir" w:cstheme="minorHAnsi"/>
              </w:rPr>
            </w:pPr>
            <w:r w:rsidRPr="00E11FFB">
              <w:rPr>
                <w:rFonts w:ascii="Avenir" w:eastAsia="Arial" w:hAnsi="Avenir" w:cstheme="minorHAnsi"/>
              </w:rPr>
              <w:t>Central African Forest Initiative</w:t>
            </w:r>
          </w:p>
        </w:tc>
      </w:tr>
      <w:tr w:rsidR="00D06416" w:rsidRPr="00E11FFB" w14:paraId="5786D92A"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FE46B8A" w14:textId="77777777" w:rsidR="00D06416" w:rsidRPr="00E11FFB" w:rsidRDefault="00D06416" w:rsidP="003A6DE1">
            <w:pPr>
              <w:rPr>
                <w:rFonts w:ascii="Avenir" w:eastAsia="Arial" w:hAnsi="Avenir" w:cstheme="minorHAnsi"/>
              </w:rPr>
            </w:pPr>
            <w:r w:rsidRPr="00E11FFB">
              <w:rPr>
                <w:rFonts w:ascii="Avenir" w:eastAsia="Arial" w:hAnsi="Avenir" w:cstheme="minorHAnsi"/>
              </w:rPr>
              <w:t>CCNUC</w:t>
            </w:r>
          </w:p>
        </w:tc>
        <w:tc>
          <w:tcPr>
            <w:tcW w:w="7458" w:type="dxa"/>
            <w:tcBorders>
              <w:top w:val="single" w:sz="8" w:space="0" w:color="C0C0C0"/>
              <w:left w:val="single" w:sz="8" w:space="0" w:color="C0C0C0"/>
              <w:bottom w:val="single" w:sz="8" w:space="0" w:color="C0C0C0"/>
              <w:right w:val="single" w:sz="8" w:space="0" w:color="C0C0C0"/>
            </w:tcBorders>
          </w:tcPr>
          <w:p w14:paraId="78FE86D0"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Convention Cadre des Nations Unies sur les Changements Climatiques </w:t>
            </w:r>
          </w:p>
        </w:tc>
      </w:tr>
      <w:tr w:rsidR="00D06416" w:rsidRPr="00E11FFB" w14:paraId="666084D8"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B4606FB"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CNUCC </w:t>
            </w:r>
          </w:p>
        </w:tc>
        <w:tc>
          <w:tcPr>
            <w:tcW w:w="7458" w:type="dxa"/>
            <w:tcBorders>
              <w:top w:val="single" w:sz="8" w:space="0" w:color="C0C0C0"/>
              <w:left w:val="single" w:sz="8" w:space="0" w:color="C0C0C0"/>
              <w:bottom w:val="single" w:sz="8" w:space="0" w:color="C0C0C0"/>
              <w:right w:val="single" w:sz="8" w:space="0" w:color="C0C0C0"/>
            </w:tcBorders>
          </w:tcPr>
          <w:p w14:paraId="7886CC82" w14:textId="77777777" w:rsidR="00D06416" w:rsidRPr="00E11FFB" w:rsidRDefault="00D06416" w:rsidP="003A6DE1">
            <w:pPr>
              <w:rPr>
                <w:rFonts w:ascii="Avenir" w:eastAsia="Arial" w:hAnsi="Avenir" w:cstheme="minorHAnsi"/>
              </w:rPr>
            </w:pPr>
            <w:r w:rsidRPr="00E11FFB">
              <w:rPr>
                <w:rFonts w:ascii="Avenir" w:eastAsia="Arial" w:hAnsi="Avenir" w:cstheme="minorHAnsi"/>
              </w:rPr>
              <w:t>Convention des nations Unies Contre la Corruption</w:t>
            </w:r>
          </w:p>
        </w:tc>
      </w:tr>
      <w:tr w:rsidR="00D06416" w:rsidRPr="00E11FFB" w14:paraId="0060D85B"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FD548C8"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CCNF </w:t>
            </w:r>
          </w:p>
        </w:tc>
        <w:tc>
          <w:tcPr>
            <w:tcW w:w="7458" w:type="dxa"/>
            <w:tcBorders>
              <w:top w:val="single" w:sz="8" w:space="0" w:color="C0C0C0"/>
              <w:left w:val="single" w:sz="8" w:space="0" w:color="C0C0C0"/>
              <w:bottom w:val="single" w:sz="8" w:space="0" w:color="C0C0C0"/>
              <w:right w:val="single" w:sz="8" w:space="0" w:color="C0C0C0"/>
            </w:tcBorders>
          </w:tcPr>
          <w:p w14:paraId="5455F33A" w14:textId="77777777" w:rsidR="00D06416" w:rsidRPr="00E11FFB" w:rsidRDefault="00D06416" w:rsidP="003A6DE1">
            <w:pPr>
              <w:rPr>
                <w:rFonts w:ascii="Avenir" w:eastAsia="Arial" w:hAnsi="Avenir" w:cstheme="minorHAnsi"/>
              </w:rPr>
            </w:pPr>
            <w:r w:rsidRPr="00E11FFB">
              <w:rPr>
                <w:rFonts w:ascii="Avenir" w:eastAsia="Arial" w:hAnsi="Avenir" w:cstheme="minorHAnsi"/>
              </w:rPr>
              <w:t>Conseil Consultatif National des Forêts</w:t>
            </w:r>
          </w:p>
        </w:tc>
      </w:tr>
      <w:tr w:rsidR="00D06416" w:rsidRPr="00E11FFB" w14:paraId="06BD5CFB"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E58DE32"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CCPF </w:t>
            </w:r>
          </w:p>
        </w:tc>
        <w:tc>
          <w:tcPr>
            <w:tcW w:w="7458" w:type="dxa"/>
            <w:tcBorders>
              <w:top w:val="single" w:sz="8" w:space="0" w:color="C0C0C0"/>
              <w:left w:val="single" w:sz="8" w:space="0" w:color="C0C0C0"/>
              <w:bottom w:val="single" w:sz="8" w:space="0" w:color="C0C0C0"/>
              <w:right w:val="single" w:sz="8" w:space="0" w:color="C0C0C0"/>
            </w:tcBorders>
          </w:tcPr>
          <w:p w14:paraId="5250F46A" w14:textId="77777777" w:rsidR="00D06416" w:rsidRPr="00E11FFB" w:rsidRDefault="00D06416" w:rsidP="003A6DE1">
            <w:pPr>
              <w:rPr>
                <w:rFonts w:ascii="Avenir" w:eastAsia="Arial" w:hAnsi="Avenir" w:cstheme="minorHAnsi"/>
              </w:rPr>
            </w:pPr>
            <w:r w:rsidRPr="00E11FFB">
              <w:rPr>
                <w:rFonts w:ascii="Avenir" w:eastAsia="Arial" w:hAnsi="Avenir" w:cstheme="minorHAnsi"/>
              </w:rPr>
              <w:t>Conseils Consultatifs Provinciaux des Forêts (CCPF)</w:t>
            </w:r>
          </w:p>
        </w:tc>
      </w:tr>
      <w:tr w:rsidR="00D06416" w:rsidRPr="00E11FFB" w14:paraId="6C168C36"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29A4ADD3" w14:textId="77777777" w:rsidR="00D06416" w:rsidRPr="00E11FFB" w:rsidRDefault="00D06416" w:rsidP="003A6DE1">
            <w:pPr>
              <w:rPr>
                <w:rFonts w:ascii="Avenir" w:eastAsia="Arial" w:hAnsi="Avenir" w:cstheme="minorHAnsi"/>
              </w:rPr>
            </w:pPr>
            <w:r w:rsidRPr="00E11FFB">
              <w:rPr>
                <w:rFonts w:ascii="Avenir" w:eastAsia="Arial" w:hAnsi="Avenir" w:cstheme="minorHAnsi"/>
              </w:rPr>
              <w:t>CFCL</w:t>
            </w:r>
          </w:p>
        </w:tc>
        <w:tc>
          <w:tcPr>
            <w:tcW w:w="7458" w:type="dxa"/>
            <w:tcBorders>
              <w:top w:val="single" w:sz="8" w:space="0" w:color="C0C0C0"/>
              <w:left w:val="single" w:sz="8" w:space="0" w:color="C0C0C0"/>
              <w:bottom w:val="single" w:sz="8" w:space="0" w:color="C0C0C0"/>
              <w:right w:val="single" w:sz="8" w:space="0" w:color="C0C0C0"/>
            </w:tcBorders>
          </w:tcPr>
          <w:p w14:paraId="2DAD4AAD" w14:textId="634CD879" w:rsidR="00D06416" w:rsidRPr="00E11FFB" w:rsidRDefault="00D06416" w:rsidP="003A6DE1">
            <w:pPr>
              <w:rPr>
                <w:rFonts w:ascii="Avenir" w:eastAsia="Arial" w:hAnsi="Avenir" w:cstheme="minorHAnsi"/>
              </w:rPr>
            </w:pPr>
            <w:r w:rsidRPr="00E11FFB">
              <w:rPr>
                <w:rFonts w:ascii="Avenir" w:eastAsia="Arial" w:hAnsi="Avenir" w:cstheme="minorHAnsi"/>
              </w:rPr>
              <w:t xml:space="preserve">Concessions forestières des </w:t>
            </w:r>
            <w:r w:rsidR="009456A3" w:rsidRPr="00E11FFB">
              <w:rPr>
                <w:rFonts w:ascii="Avenir" w:eastAsia="Arial" w:hAnsi="Avenir" w:cstheme="minorHAnsi"/>
              </w:rPr>
              <w:t>forêts</w:t>
            </w:r>
            <w:r w:rsidRPr="00E11FFB">
              <w:rPr>
                <w:rFonts w:ascii="Avenir" w:eastAsia="Arial" w:hAnsi="Avenir" w:cstheme="minorHAnsi"/>
              </w:rPr>
              <w:t xml:space="preserve"> des communautés</w:t>
            </w:r>
          </w:p>
        </w:tc>
      </w:tr>
      <w:tr w:rsidR="00D06416" w:rsidRPr="00E11FFB" w14:paraId="0A36B9BB"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80DEAC1" w14:textId="77777777" w:rsidR="00D06416" w:rsidRPr="00E11FFB" w:rsidRDefault="00D06416" w:rsidP="003A6DE1">
            <w:pPr>
              <w:rPr>
                <w:rFonts w:ascii="Avenir" w:eastAsia="Arial" w:hAnsi="Avenir" w:cstheme="minorHAnsi"/>
              </w:rPr>
            </w:pPr>
            <w:r w:rsidRPr="00E11FFB">
              <w:rPr>
                <w:rFonts w:ascii="Avenir" w:eastAsia="Arial" w:hAnsi="Avenir" w:cstheme="minorHAnsi"/>
              </w:rPr>
              <w:t>CDN</w:t>
            </w:r>
          </w:p>
        </w:tc>
        <w:tc>
          <w:tcPr>
            <w:tcW w:w="7458" w:type="dxa"/>
            <w:tcBorders>
              <w:top w:val="single" w:sz="8" w:space="0" w:color="C0C0C0"/>
              <w:left w:val="single" w:sz="8" w:space="0" w:color="C0C0C0"/>
              <w:bottom w:val="single" w:sz="8" w:space="0" w:color="C0C0C0"/>
              <w:right w:val="single" w:sz="8" w:space="0" w:color="C0C0C0"/>
            </w:tcBorders>
          </w:tcPr>
          <w:p w14:paraId="08F3C0C3"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Contribution Déterminée Nationale </w:t>
            </w:r>
          </w:p>
        </w:tc>
      </w:tr>
      <w:tr w:rsidR="00D06416" w:rsidRPr="00E11FFB" w14:paraId="60FCF57A"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07FF9F2" w14:textId="77777777" w:rsidR="00D06416" w:rsidRPr="00E11FFB" w:rsidRDefault="00D06416" w:rsidP="003A6DE1">
            <w:pPr>
              <w:rPr>
                <w:rFonts w:ascii="Avenir" w:eastAsia="Arial" w:hAnsi="Avenir" w:cstheme="minorHAnsi"/>
              </w:rPr>
            </w:pPr>
            <w:r w:rsidRPr="00E11FFB">
              <w:rPr>
                <w:rFonts w:ascii="Avenir" w:eastAsia="Arial" w:hAnsi="Avenir" w:cstheme="minorHAnsi"/>
              </w:rPr>
              <w:t>CFLEDD</w:t>
            </w:r>
          </w:p>
        </w:tc>
        <w:tc>
          <w:tcPr>
            <w:tcW w:w="7458" w:type="dxa"/>
            <w:tcBorders>
              <w:top w:val="single" w:sz="8" w:space="0" w:color="C0C0C0"/>
              <w:left w:val="single" w:sz="8" w:space="0" w:color="C0C0C0"/>
              <w:bottom w:val="single" w:sz="8" w:space="0" w:color="C0C0C0"/>
              <w:right w:val="single" w:sz="8" w:space="0" w:color="C0C0C0"/>
            </w:tcBorders>
          </w:tcPr>
          <w:p w14:paraId="78A4AFE6" w14:textId="77777777" w:rsidR="00D06416" w:rsidRPr="00E11FFB" w:rsidRDefault="00D06416" w:rsidP="003A6DE1">
            <w:pPr>
              <w:rPr>
                <w:rFonts w:ascii="Avenir" w:eastAsia="Arial" w:hAnsi="Avenir" w:cstheme="minorHAnsi"/>
              </w:rPr>
            </w:pPr>
            <w:r w:rsidRPr="00E11FFB">
              <w:rPr>
                <w:rFonts w:ascii="Avenir" w:eastAsia="Arial" w:hAnsi="Avenir" w:cstheme="minorHAnsi"/>
              </w:rPr>
              <w:t>Coalition des Femmes Leaders pour l’Environnement et le Développement Durable</w:t>
            </w:r>
          </w:p>
        </w:tc>
      </w:tr>
      <w:tr w:rsidR="00D06416" w:rsidRPr="00E11FFB" w14:paraId="270971B2"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3622AF3"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CONAPO </w:t>
            </w:r>
          </w:p>
        </w:tc>
        <w:tc>
          <w:tcPr>
            <w:tcW w:w="7458" w:type="dxa"/>
            <w:tcBorders>
              <w:top w:val="single" w:sz="8" w:space="0" w:color="C0C0C0"/>
              <w:left w:val="single" w:sz="8" w:space="0" w:color="C0C0C0"/>
              <w:bottom w:val="single" w:sz="8" w:space="0" w:color="C0C0C0"/>
              <w:right w:val="single" w:sz="8" w:space="0" w:color="C0C0C0"/>
            </w:tcBorders>
          </w:tcPr>
          <w:p w14:paraId="4816A01E"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Conseil National de la Population </w:t>
            </w:r>
          </w:p>
        </w:tc>
      </w:tr>
      <w:tr w:rsidR="00D06416" w:rsidRPr="00E11FFB" w14:paraId="2971CC3C"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05B887D" w14:textId="77777777" w:rsidR="00D06416" w:rsidRPr="00E11FFB" w:rsidRDefault="00D06416" w:rsidP="003A6DE1">
            <w:pPr>
              <w:rPr>
                <w:rFonts w:ascii="Avenir" w:eastAsia="Arial" w:hAnsi="Avenir" w:cstheme="minorHAnsi"/>
              </w:rPr>
            </w:pPr>
            <w:r w:rsidRPr="00E11FFB">
              <w:rPr>
                <w:rFonts w:ascii="Avenir" w:eastAsia="Arial" w:hAnsi="Avenir" w:cstheme="minorHAnsi"/>
              </w:rPr>
              <w:t>COPIL</w:t>
            </w:r>
          </w:p>
        </w:tc>
        <w:tc>
          <w:tcPr>
            <w:tcW w:w="7458" w:type="dxa"/>
            <w:tcBorders>
              <w:top w:val="single" w:sz="8" w:space="0" w:color="C0C0C0"/>
              <w:left w:val="single" w:sz="8" w:space="0" w:color="C0C0C0"/>
              <w:bottom w:val="single" w:sz="8" w:space="0" w:color="C0C0C0"/>
              <w:right w:val="single" w:sz="8" w:space="0" w:color="C0C0C0"/>
            </w:tcBorders>
          </w:tcPr>
          <w:p w14:paraId="4290008C" w14:textId="77777777" w:rsidR="00D06416" w:rsidRPr="00E11FFB" w:rsidRDefault="00D06416" w:rsidP="003A6DE1">
            <w:pPr>
              <w:rPr>
                <w:rFonts w:ascii="Avenir" w:eastAsia="Arial" w:hAnsi="Avenir" w:cstheme="minorHAnsi"/>
              </w:rPr>
            </w:pPr>
            <w:r w:rsidRPr="00E11FFB">
              <w:rPr>
                <w:rFonts w:ascii="Avenir" w:eastAsia="Arial" w:hAnsi="Avenir" w:cstheme="minorHAnsi"/>
              </w:rPr>
              <w:t>Comité du pilotage</w:t>
            </w:r>
          </w:p>
        </w:tc>
      </w:tr>
      <w:tr w:rsidR="00D06416" w:rsidRPr="00E11FFB" w14:paraId="526BD42F"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0DB4D751" w14:textId="77777777" w:rsidR="00D06416" w:rsidRPr="00E11FFB" w:rsidRDefault="00D06416" w:rsidP="003A6DE1">
            <w:pPr>
              <w:rPr>
                <w:rFonts w:ascii="Avenir" w:eastAsia="Arial" w:hAnsi="Avenir" w:cstheme="minorHAnsi"/>
              </w:rPr>
            </w:pPr>
            <w:r w:rsidRPr="00E11FFB">
              <w:rPr>
                <w:rFonts w:ascii="Avenir" w:eastAsia="Arial" w:hAnsi="Avenir" w:cstheme="minorHAnsi"/>
              </w:rPr>
              <w:t>CPAT</w:t>
            </w:r>
          </w:p>
        </w:tc>
        <w:tc>
          <w:tcPr>
            <w:tcW w:w="7458" w:type="dxa"/>
            <w:tcBorders>
              <w:top w:val="single" w:sz="8" w:space="0" w:color="C0C0C0"/>
              <w:left w:val="single" w:sz="8" w:space="0" w:color="C0C0C0"/>
              <w:bottom w:val="single" w:sz="8" w:space="0" w:color="C0C0C0"/>
              <w:right w:val="single" w:sz="8" w:space="0" w:color="C0C0C0"/>
            </w:tcBorders>
          </w:tcPr>
          <w:p w14:paraId="6DB4F6C5" w14:textId="77777777" w:rsidR="00D06416" w:rsidRPr="00E11FFB" w:rsidRDefault="00D06416" w:rsidP="003A6DE1">
            <w:pPr>
              <w:rPr>
                <w:rFonts w:ascii="Avenir" w:eastAsia="Arial" w:hAnsi="Avenir" w:cstheme="minorHAnsi"/>
              </w:rPr>
            </w:pPr>
            <w:r w:rsidRPr="00E11FFB">
              <w:rPr>
                <w:rFonts w:ascii="Avenir" w:eastAsia="Arial" w:hAnsi="Avenir" w:cstheme="minorHAnsi"/>
              </w:rPr>
              <w:t>Conseils Provinciaux et Locaux d’Aménagement du Territoire</w:t>
            </w:r>
          </w:p>
        </w:tc>
      </w:tr>
      <w:tr w:rsidR="00D06416" w:rsidRPr="00E11FFB" w14:paraId="73DED629"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0DB7E937" w14:textId="77777777" w:rsidR="00D06416" w:rsidRPr="00E11FFB" w:rsidRDefault="00D06416" w:rsidP="003A6DE1">
            <w:pPr>
              <w:rPr>
                <w:rFonts w:ascii="Avenir" w:eastAsia="Arial" w:hAnsi="Avenir" w:cstheme="minorHAnsi"/>
              </w:rPr>
            </w:pPr>
            <w:r w:rsidRPr="00E11FFB">
              <w:rPr>
                <w:rFonts w:ascii="Avenir" w:eastAsia="Avenir" w:hAnsi="Avenir" w:cs="Avenir"/>
                <w:color w:val="000000"/>
              </w:rPr>
              <w:t>CPPO</w:t>
            </w:r>
          </w:p>
        </w:tc>
        <w:tc>
          <w:tcPr>
            <w:tcW w:w="7458" w:type="dxa"/>
            <w:tcBorders>
              <w:top w:val="single" w:sz="8" w:space="0" w:color="C0C0C0"/>
              <w:left w:val="single" w:sz="8" w:space="0" w:color="C0C0C0"/>
              <w:bottom w:val="single" w:sz="8" w:space="0" w:color="C0C0C0"/>
              <w:right w:val="single" w:sz="8" w:space="0" w:color="C0C0C0"/>
            </w:tcBorders>
          </w:tcPr>
          <w:p w14:paraId="637AAA29" w14:textId="77777777" w:rsidR="00D06416" w:rsidRPr="00E11FFB" w:rsidRDefault="00D06416" w:rsidP="003A6DE1">
            <w:pPr>
              <w:rPr>
                <w:rFonts w:ascii="Avenir" w:eastAsia="Arial" w:hAnsi="Avenir" w:cstheme="minorHAnsi"/>
              </w:rPr>
            </w:pPr>
            <w:r w:rsidRPr="00E11FFB">
              <w:rPr>
                <w:rFonts w:ascii="Avenir" w:eastAsia="Arial" w:hAnsi="Avenir" w:cstheme="minorHAnsi"/>
              </w:rPr>
              <w:t>Conseil Provincial de la Population</w:t>
            </w:r>
          </w:p>
        </w:tc>
      </w:tr>
      <w:tr w:rsidR="00D06416" w:rsidRPr="00E11FFB" w14:paraId="7A4F7943"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46CAD8FB" w14:textId="77777777" w:rsidR="00D06416" w:rsidRPr="00E11FFB" w:rsidRDefault="00D06416" w:rsidP="003A6DE1">
            <w:pPr>
              <w:rPr>
                <w:rFonts w:ascii="Avenir" w:eastAsia="Arial" w:hAnsi="Avenir" w:cstheme="minorHAnsi"/>
              </w:rPr>
            </w:pPr>
            <w:r w:rsidRPr="00E11FFB">
              <w:rPr>
                <w:rFonts w:ascii="Avenir" w:eastAsia="Arial" w:hAnsi="Avenir" w:cstheme="minorHAnsi"/>
              </w:rPr>
              <w:t>CTIP</w:t>
            </w:r>
          </w:p>
        </w:tc>
        <w:tc>
          <w:tcPr>
            <w:tcW w:w="7458" w:type="dxa"/>
            <w:tcBorders>
              <w:top w:val="single" w:sz="8" w:space="0" w:color="C0C0C0"/>
              <w:left w:val="single" w:sz="8" w:space="0" w:color="C0C0C0"/>
              <w:bottom w:val="single" w:sz="8" w:space="0" w:color="C0C0C0"/>
              <w:right w:val="single" w:sz="8" w:space="0" w:color="C0C0C0"/>
            </w:tcBorders>
          </w:tcPr>
          <w:p w14:paraId="6EF2F936" w14:textId="77777777" w:rsidR="00D06416" w:rsidRPr="00E11FFB" w:rsidRDefault="00D06416" w:rsidP="003A6DE1">
            <w:pPr>
              <w:rPr>
                <w:rFonts w:ascii="Avenir" w:eastAsia="Arial" w:hAnsi="Avenir" w:cstheme="minorHAnsi"/>
              </w:rPr>
            </w:pPr>
            <w:r w:rsidRPr="00E11FFB">
              <w:rPr>
                <w:rFonts w:ascii="Avenir" w:eastAsia="Arial" w:hAnsi="Avenir" w:cstheme="minorHAnsi"/>
              </w:rPr>
              <w:t>Comité Technique Interministériel de Population</w:t>
            </w:r>
          </w:p>
        </w:tc>
      </w:tr>
      <w:tr w:rsidR="00D06416" w:rsidRPr="00E11FFB" w14:paraId="4896FA6E"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55EBE7DD" w14:textId="77777777" w:rsidR="00D06416" w:rsidRPr="00E11FFB" w:rsidRDefault="00D06416" w:rsidP="003A6DE1">
            <w:pPr>
              <w:rPr>
                <w:rFonts w:ascii="Avenir" w:eastAsia="Arial" w:hAnsi="Avenir" w:cstheme="minorHAnsi"/>
              </w:rPr>
            </w:pPr>
            <w:r w:rsidRPr="00E11FFB">
              <w:rPr>
                <w:rFonts w:ascii="Avenir" w:eastAsia="Arial" w:hAnsi="Avenir" w:cstheme="minorHAnsi"/>
              </w:rPr>
              <w:t>CTR</w:t>
            </w:r>
          </w:p>
        </w:tc>
        <w:tc>
          <w:tcPr>
            <w:tcW w:w="7458" w:type="dxa"/>
            <w:tcBorders>
              <w:top w:val="single" w:sz="8" w:space="0" w:color="C0C0C0"/>
              <w:left w:val="single" w:sz="8" w:space="0" w:color="C0C0C0"/>
              <w:bottom w:val="single" w:sz="8" w:space="0" w:color="C0C0C0"/>
              <w:right w:val="single" w:sz="8" w:space="0" w:color="C0C0C0"/>
            </w:tcBorders>
          </w:tcPr>
          <w:p w14:paraId="562AF21C" w14:textId="77777777" w:rsidR="00D06416" w:rsidRPr="00E11FFB" w:rsidRDefault="00D06416" w:rsidP="003A6DE1">
            <w:pPr>
              <w:rPr>
                <w:rFonts w:ascii="Avenir" w:eastAsia="Arial" w:hAnsi="Avenir" w:cstheme="minorHAnsi"/>
              </w:rPr>
            </w:pPr>
            <w:r w:rsidRPr="00E11FFB">
              <w:rPr>
                <w:rFonts w:ascii="Avenir" w:eastAsia="Arial" w:hAnsi="Avenir" w:cstheme="minorHAnsi"/>
              </w:rPr>
              <w:t>Comité Technique de Suivi des Réformes</w:t>
            </w:r>
          </w:p>
        </w:tc>
      </w:tr>
      <w:tr w:rsidR="00D06416" w:rsidRPr="00E11FFB" w14:paraId="5C61DD9F"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3123B21" w14:textId="77777777" w:rsidR="00D06416" w:rsidRPr="00E11FFB" w:rsidRDefault="00D06416" w:rsidP="003A6DE1">
            <w:pPr>
              <w:rPr>
                <w:rFonts w:ascii="Avenir" w:eastAsia="Arial" w:hAnsi="Avenir" w:cstheme="minorHAnsi"/>
              </w:rPr>
            </w:pPr>
            <w:r w:rsidRPr="00E11FFB">
              <w:rPr>
                <w:rFonts w:ascii="Avenir" w:eastAsia="Arial" w:hAnsi="Avenir" w:cstheme="minorHAnsi"/>
              </w:rPr>
              <w:t>DANTIC</w:t>
            </w:r>
          </w:p>
        </w:tc>
        <w:tc>
          <w:tcPr>
            <w:tcW w:w="7458" w:type="dxa"/>
            <w:tcBorders>
              <w:top w:val="single" w:sz="8" w:space="0" w:color="C0C0C0"/>
              <w:left w:val="single" w:sz="8" w:space="0" w:color="C0C0C0"/>
              <w:bottom w:val="single" w:sz="8" w:space="0" w:color="C0C0C0"/>
              <w:right w:val="single" w:sz="8" w:space="0" w:color="C0C0C0"/>
            </w:tcBorders>
          </w:tcPr>
          <w:p w14:paraId="4D7353C7" w14:textId="77777777" w:rsidR="00D06416" w:rsidRPr="00E11FFB" w:rsidRDefault="00D06416" w:rsidP="003A6DE1">
            <w:pPr>
              <w:rPr>
                <w:rFonts w:ascii="Avenir" w:eastAsia="Arial" w:hAnsi="Avenir" w:cstheme="minorHAnsi"/>
              </w:rPr>
            </w:pPr>
            <w:r w:rsidRPr="00E11FFB">
              <w:rPr>
                <w:rFonts w:ascii="Avenir" w:eastAsia="Arial" w:hAnsi="Avenir" w:cstheme="minorHAnsi"/>
              </w:rPr>
              <w:t>Direction des nouvelles technologies de l'information et de la communication</w:t>
            </w:r>
          </w:p>
        </w:tc>
      </w:tr>
      <w:tr w:rsidR="00D06416" w:rsidRPr="00E11FFB" w14:paraId="7BCAC7A6"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17FFEEB" w14:textId="77777777" w:rsidR="00D06416" w:rsidRPr="00E11FFB" w:rsidRDefault="00D06416" w:rsidP="003A6DE1">
            <w:pPr>
              <w:rPr>
                <w:rFonts w:ascii="Avenir" w:eastAsia="Arial" w:hAnsi="Avenir" w:cstheme="minorHAnsi"/>
              </w:rPr>
            </w:pPr>
            <w:r w:rsidRPr="00E11FFB">
              <w:rPr>
                <w:rFonts w:ascii="Avenir" w:eastAsia="Arial" w:hAnsi="Avenir" w:cstheme="minorHAnsi"/>
              </w:rPr>
              <w:t>DDD</w:t>
            </w:r>
          </w:p>
        </w:tc>
        <w:tc>
          <w:tcPr>
            <w:tcW w:w="7458" w:type="dxa"/>
            <w:tcBorders>
              <w:top w:val="single" w:sz="8" w:space="0" w:color="C0C0C0"/>
              <w:left w:val="single" w:sz="8" w:space="0" w:color="C0C0C0"/>
              <w:bottom w:val="single" w:sz="8" w:space="0" w:color="C0C0C0"/>
              <w:right w:val="single" w:sz="8" w:space="0" w:color="C0C0C0"/>
            </w:tcBorders>
          </w:tcPr>
          <w:p w14:paraId="16635544"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Direction de Développement Durable </w:t>
            </w:r>
          </w:p>
        </w:tc>
      </w:tr>
      <w:tr w:rsidR="00D06416" w:rsidRPr="00E11FFB" w14:paraId="44F23C10"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2D5A231E"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DIAF </w:t>
            </w:r>
          </w:p>
        </w:tc>
        <w:tc>
          <w:tcPr>
            <w:tcW w:w="7458" w:type="dxa"/>
            <w:tcBorders>
              <w:top w:val="single" w:sz="8" w:space="0" w:color="C0C0C0"/>
              <w:left w:val="single" w:sz="8" w:space="0" w:color="C0C0C0"/>
              <w:bottom w:val="single" w:sz="8" w:space="0" w:color="C0C0C0"/>
              <w:right w:val="single" w:sz="8" w:space="0" w:color="C0C0C0"/>
            </w:tcBorders>
          </w:tcPr>
          <w:p w14:paraId="7601FA74" w14:textId="77777777" w:rsidR="00D06416" w:rsidRPr="00E11FFB" w:rsidRDefault="00D06416" w:rsidP="003A6DE1">
            <w:pPr>
              <w:rPr>
                <w:rFonts w:ascii="Calibri" w:hAnsi="Calibri" w:cs="Calibri"/>
              </w:rPr>
            </w:pPr>
            <w:r w:rsidRPr="00E11FFB">
              <w:rPr>
                <w:rFonts w:ascii="Calibri" w:hAnsi="Calibri" w:cs="Calibri"/>
              </w:rPr>
              <w:t xml:space="preserve">Direction Inventaire et Aménagement Forestiers </w:t>
            </w:r>
          </w:p>
        </w:tc>
      </w:tr>
      <w:tr w:rsidR="00D06416" w:rsidRPr="00E11FFB" w14:paraId="5C9619FC"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BF6F879" w14:textId="77777777" w:rsidR="00D06416" w:rsidRPr="00E11FFB" w:rsidRDefault="00D06416" w:rsidP="003A6DE1">
            <w:pPr>
              <w:rPr>
                <w:rFonts w:ascii="Avenir" w:eastAsia="Arial" w:hAnsi="Avenir" w:cstheme="minorHAnsi"/>
              </w:rPr>
            </w:pPr>
            <w:r w:rsidRPr="00E11FFB">
              <w:rPr>
                <w:rFonts w:ascii="Avenir" w:eastAsia="Arial" w:hAnsi="Avenir" w:cstheme="minorHAnsi"/>
              </w:rPr>
              <w:t>EES</w:t>
            </w:r>
          </w:p>
        </w:tc>
        <w:tc>
          <w:tcPr>
            <w:tcW w:w="7458" w:type="dxa"/>
            <w:tcBorders>
              <w:top w:val="single" w:sz="8" w:space="0" w:color="C0C0C0"/>
              <w:left w:val="single" w:sz="8" w:space="0" w:color="C0C0C0"/>
              <w:bottom w:val="single" w:sz="8" w:space="0" w:color="C0C0C0"/>
              <w:right w:val="single" w:sz="8" w:space="0" w:color="C0C0C0"/>
            </w:tcBorders>
          </w:tcPr>
          <w:p w14:paraId="6CA6F872" w14:textId="77777777" w:rsidR="00D06416" w:rsidRPr="00E11FFB" w:rsidRDefault="00D06416" w:rsidP="003A6DE1">
            <w:pPr>
              <w:rPr>
                <w:rFonts w:ascii="Avenir" w:eastAsia="Arial" w:hAnsi="Avenir" w:cstheme="minorHAnsi"/>
              </w:rPr>
            </w:pPr>
            <w:r w:rsidRPr="00E11FFB">
              <w:rPr>
                <w:rFonts w:ascii="Calibri" w:hAnsi="Calibri" w:cs="Calibri"/>
              </w:rPr>
              <w:t xml:space="preserve"> Etudes Environnementales et Sociales </w:t>
            </w:r>
          </w:p>
        </w:tc>
      </w:tr>
      <w:tr w:rsidR="00D06416" w:rsidRPr="00E11FFB" w14:paraId="0825E475"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056FBA08"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EIES </w:t>
            </w:r>
          </w:p>
        </w:tc>
        <w:tc>
          <w:tcPr>
            <w:tcW w:w="7458" w:type="dxa"/>
            <w:tcBorders>
              <w:top w:val="single" w:sz="8" w:space="0" w:color="C0C0C0"/>
              <w:left w:val="single" w:sz="8" w:space="0" w:color="C0C0C0"/>
              <w:bottom w:val="single" w:sz="8" w:space="0" w:color="C0C0C0"/>
              <w:right w:val="single" w:sz="8" w:space="0" w:color="C0C0C0"/>
            </w:tcBorders>
          </w:tcPr>
          <w:p w14:paraId="2A408472"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Etude d’Impact Environnemental et Social </w:t>
            </w:r>
          </w:p>
        </w:tc>
      </w:tr>
      <w:tr w:rsidR="00D06416" w:rsidRPr="00E11FFB" w14:paraId="27CD771E"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0BA0438" w14:textId="77777777" w:rsidR="00D06416" w:rsidRPr="00E11FFB" w:rsidRDefault="00D06416" w:rsidP="003A6DE1">
            <w:pPr>
              <w:rPr>
                <w:rFonts w:ascii="Avenir" w:eastAsia="Arial" w:hAnsi="Avenir" w:cstheme="minorHAnsi"/>
              </w:rPr>
            </w:pPr>
            <w:r w:rsidRPr="00E11FFB">
              <w:rPr>
                <w:rFonts w:ascii="Avenir" w:eastAsia="Arial" w:hAnsi="Avenir" w:cstheme="minorHAnsi"/>
              </w:rPr>
              <w:t>FONAREDD</w:t>
            </w:r>
          </w:p>
        </w:tc>
        <w:tc>
          <w:tcPr>
            <w:tcW w:w="7458" w:type="dxa"/>
            <w:tcBorders>
              <w:top w:val="single" w:sz="8" w:space="0" w:color="C0C0C0"/>
              <w:left w:val="single" w:sz="8" w:space="0" w:color="C0C0C0"/>
              <w:bottom w:val="single" w:sz="8" w:space="0" w:color="C0C0C0"/>
              <w:right w:val="single" w:sz="8" w:space="0" w:color="C0C0C0"/>
            </w:tcBorders>
          </w:tcPr>
          <w:p w14:paraId="6B409628" w14:textId="77777777" w:rsidR="00D06416" w:rsidRPr="00E11FFB" w:rsidRDefault="00D06416" w:rsidP="003A6DE1">
            <w:pPr>
              <w:rPr>
                <w:rFonts w:ascii="Avenir" w:eastAsia="Arial" w:hAnsi="Avenir" w:cstheme="minorHAnsi"/>
              </w:rPr>
            </w:pPr>
            <w:r w:rsidRPr="00E11FFB">
              <w:rPr>
                <w:rFonts w:ascii="Avenir" w:eastAsia="Arial" w:hAnsi="Avenir" w:cstheme="minorHAnsi"/>
              </w:rPr>
              <w:t>Fonds National REDD</w:t>
            </w:r>
          </w:p>
        </w:tc>
      </w:tr>
      <w:tr w:rsidR="00D06416" w:rsidRPr="00E11FFB" w14:paraId="4E3C0C10"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05F73AC"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GES </w:t>
            </w:r>
          </w:p>
        </w:tc>
        <w:tc>
          <w:tcPr>
            <w:tcW w:w="7458" w:type="dxa"/>
            <w:tcBorders>
              <w:top w:val="single" w:sz="8" w:space="0" w:color="C0C0C0"/>
              <w:left w:val="single" w:sz="8" w:space="0" w:color="C0C0C0"/>
              <w:bottom w:val="single" w:sz="8" w:space="0" w:color="C0C0C0"/>
              <w:right w:val="single" w:sz="8" w:space="0" w:color="C0C0C0"/>
            </w:tcBorders>
          </w:tcPr>
          <w:p w14:paraId="38E542AF"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Gaz à Effet de Serre </w:t>
            </w:r>
          </w:p>
        </w:tc>
      </w:tr>
      <w:tr w:rsidR="00D06416" w:rsidRPr="00E11FFB" w14:paraId="12D4AB19"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0A7AF81" w14:textId="77777777" w:rsidR="00D06416" w:rsidRPr="00E11FFB" w:rsidRDefault="00D06416" w:rsidP="003A6DE1">
            <w:pPr>
              <w:rPr>
                <w:rFonts w:ascii="Avenir" w:eastAsia="Arial" w:hAnsi="Avenir" w:cstheme="minorHAnsi"/>
              </w:rPr>
            </w:pPr>
            <w:r w:rsidRPr="00E11FFB">
              <w:rPr>
                <w:rFonts w:ascii="Avenir" w:eastAsia="Arial" w:hAnsi="Avenir" w:cstheme="minorHAnsi"/>
              </w:rPr>
              <w:t>GIZ</w:t>
            </w:r>
          </w:p>
        </w:tc>
        <w:tc>
          <w:tcPr>
            <w:tcW w:w="7458" w:type="dxa"/>
            <w:tcBorders>
              <w:top w:val="single" w:sz="8" w:space="0" w:color="C0C0C0"/>
              <w:left w:val="single" w:sz="8" w:space="0" w:color="C0C0C0"/>
              <w:bottom w:val="single" w:sz="8" w:space="0" w:color="C0C0C0"/>
              <w:right w:val="single" w:sz="8" w:space="0" w:color="C0C0C0"/>
            </w:tcBorders>
          </w:tcPr>
          <w:p w14:paraId="6C04E511"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Deutsche Gesellschaft fur Internationale Zusammenarbeit </w:t>
            </w:r>
          </w:p>
        </w:tc>
      </w:tr>
      <w:tr w:rsidR="00D06416" w:rsidRPr="00E11FFB" w14:paraId="54C5AEE9"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03B4A38B" w14:textId="77777777" w:rsidR="00D06416" w:rsidRPr="00E11FFB" w:rsidRDefault="00D06416" w:rsidP="003A6DE1">
            <w:pPr>
              <w:rPr>
                <w:rFonts w:ascii="Avenir" w:eastAsia="Arial" w:hAnsi="Avenir" w:cstheme="minorHAnsi"/>
              </w:rPr>
            </w:pPr>
            <w:r w:rsidRPr="00E11FFB">
              <w:rPr>
                <w:rFonts w:ascii="Avenir" w:eastAsia="Arial" w:hAnsi="Avenir" w:cstheme="minorHAnsi"/>
              </w:rPr>
              <w:t>ITIE</w:t>
            </w:r>
          </w:p>
        </w:tc>
        <w:tc>
          <w:tcPr>
            <w:tcW w:w="7458" w:type="dxa"/>
            <w:tcBorders>
              <w:top w:val="single" w:sz="8" w:space="0" w:color="C0C0C0"/>
              <w:left w:val="single" w:sz="8" w:space="0" w:color="C0C0C0"/>
              <w:bottom w:val="single" w:sz="8" w:space="0" w:color="C0C0C0"/>
              <w:right w:val="single" w:sz="8" w:space="0" w:color="C0C0C0"/>
            </w:tcBorders>
          </w:tcPr>
          <w:p w14:paraId="43F2CD95" w14:textId="77777777" w:rsidR="00D06416" w:rsidRPr="00E11FFB" w:rsidRDefault="00D06416" w:rsidP="003A6DE1">
            <w:pPr>
              <w:rPr>
                <w:rFonts w:ascii="Avenir" w:eastAsia="Arial" w:hAnsi="Avenir" w:cstheme="minorHAnsi"/>
              </w:rPr>
            </w:pPr>
            <w:r w:rsidRPr="00E11FFB">
              <w:rPr>
                <w:rFonts w:ascii="Avenir" w:eastAsia="Arial" w:hAnsi="Avenir" w:cstheme="minorHAnsi"/>
              </w:rPr>
              <w:t>Initiative pour la transparence dans les industries extractives</w:t>
            </w:r>
          </w:p>
        </w:tc>
      </w:tr>
      <w:tr w:rsidR="00D06416" w:rsidRPr="00E11FFB" w14:paraId="047C73F1"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ED3FC0F" w14:textId="77777777" w:rsidR="00D06416" w:rsidRPr="00E11FFB" w:rsidRDefault="00D06416" w:rsidP="003A6DE1">
            <w:pPr>
              <w:rPr>
                <w:rFonts w:ascii="Avenir" w:eastAsia="Arial" w:hAnsi="Avenir" w:cstheme="minorHAnsi"/>
              </w:rPr>
            </w:pPr>
            <w:r w:rsidRPr="00E11FFB">
              <w:rPr>
                <w:rFonts w:ascii="Avenir" w:eastAsia="Arial" w:hAnsi="Avenir" w:cstheme="minorHAnsi"/>
              </w:rPr>
              <w:t>LOA</w:t>
            </w:r>
          </w:p>
        </w:tc>
        <w:tc>
          <w:tcPr>
            <w:tcW w:w="7458" w:type="dxa"/>
            <w:tcBorders>
              <w:top w:val="single" w:sz="8" w:space="0" w:color="C0C0C0"/>
              <w:left w:val="single" w:sz="8" w:space="0" w:color="C0C0C0"/>
              <w:bottom w:val="single" w:sz="8" w:space="0" w:color="C0C0C0"/>
              <w:right w:val="single" w:sz="8" w:space="0" w:color="C0C0C0"/>
            </w:tcBorders>
          </w:tcPr>
          <w:p w14:paraId="65799600" w14:textId="77777777" w:rsidR="00D06416" w:rsidRPr="00E11FFB" w:rsidRDefault="00D06416" w:rsidP="003A6DE1">
            <w:pPr>
              <w:rPr>
                <w:rFonts w:ascii="Avenir" w:eastAsia="Arial" w:hAnsi="Avenir" w:cstheme="minorHAnsi"/>
                <w:color w:val="000000" w:themeColor="text1"/>
              </w:rPr>
            </w:pPr>
            <w:r w:rsidRPr="00E11FFB">
              <w:rPr>
                <w:rFonts w:ascii="Avenir" w:eastAsia="Arial" w:hAnsi="Avenir" w:cstheme="minorHAnsi"/>
              </w:rPr>
              <w:t>Letter of Agreement</w:t>
            </w:r>
          </w:p>
        </w:tc>
      </w:tr>
      <w:tr w:rsidR="00D06416" w:rsidRPr="00E11FFB" w14:paraId="603966D6"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5789448"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LOI </w:t>
            </w:r>
          </w:p>
        </w:tc>
        <w:tc>
          <w:tcPr>
            <w:tcW w:w="7458" w:type="dxa"/>
            <w:tcBorders>
              <w:top w:val="single" w:sz="8" w:space="0" w:color="C0C0C0"/>
              <w:left w:val="single" w:sz="8" w:space="0" w:color="C0C0C0"/>
              <w:bottom w:val="single" w:sz="8" w:space="0" w:color="C0C0C0"/>
              <w:right w:val="single" w:sz="8" w:space="0" w:color="C0C0C0"/>
            </w:tcBorders>
          </w:tcPr>
          <w:p w14:paraId="6DDD5CAE" w14:textId="77777777" w:rsidR="00D06416" w:rsidRPr="00E11FFB" w:rsidRDefault="00D06416" w:rsidP="003A6DE1">
            <w:pPr>
              <w:rPr>
                <w:rFonts w:ascii="Avenir" w:eastAsia="Arial" w:hAnsi="Avenir" w:cstheme="minorHAnsi"/>
              </w:rPr>
            </w:pPr>
            <w:r w:rsidRPr="00E11FFB">
              <w:rPr>
                <w:rFonts w:ascii="Avenir" w:eastAsia="Arial" w:hAnsi="Avenir" w:cstheme="minorHAnsi"/>
              </w:rPr>
              <w:t>Letter of Intent</w:t>
            </w:r>
          </w:p>
        </w:tc>
      </w:tr>
      <w:tr w:rsidR="00D06416" w:rsidRPr="00E11FFB" w14:paraId="53B5300E"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52B01AD" w14:textId="77777777" w:rsidR="00D06416" w:rsidRPr="00E11FFB" w:rsidRDefault="00D06416" w:rsidP="003A6DE1">
            <w:pPr>
              <w:rPr>
                <w:rFonts w:ascii="Avenir" w:eastAsia="Arial" w:hAnsi="Avenir" w:cstheme="minorHAnsi"/>
              </w:rPr>
            </w:pPr>
            <w:r w:rsidRPr="00E11FFB">
              <w:rPr>
                <w:rFonts w:ascii="Avenir" w:eastAsia="Arial" w:hAnsi="Avenir" w:cstheme="minorHAnsi"/>
              </w:rPr>
              <w:t>MEDD-NEC</w:t>
            </w:r>
          </w:p>
        </w:tc>
        <w:tc>
          <w:tcPr>
            <w:tcW w:w="7458" w:type="dxa"/>
            <w:tcBorders>
              <w:top w:val="single" w:sz="8" w:space="0" w:color="C0C0C0"/>
              <w:left w:val="single" w:sz="8" w:space="0" w:color="C0C0C0"/>
              <w:bottom w:val="single" w:sz="8" w:space="0" w:color="C0C0C0"/>
              <w:right w:val="single" w:sz="8" w:space="0" w:color="C0C0C0"/>
            </w:tcBorders>
          </w:tcPr>
          <w:p w14:paraId="2DEC0CD6" w14:textId="77777777" w:rsidR="00D06416" w:rsidRPr="00E11FFB" w:rsidRDefault="00D06416" w:rsidP="003A6DE1">
            <w:pPr>
              <w:rPr>
                <w:rFonts w:ascii="Avenir" w:eastAsia="Arial" w:hAnsi="Avenir" w:cstheme="minorHAnsi"/>
              </w:rPr>
            </w:pPr>
            <w:r w:rsidRPr="00E11FFB">
              <w:rPr>
                <w:rFonts w:ascii="Avenir" w:eastAsia="Arial" w:hAnsi="Avenir" w:cstheme="minorHAnsi"/>
              </w:rPr>
              <w:t>Ministère de l’Environnement, du Développement Durable et Nouvelle Economie du Climat</w:t>
            </w:r>
          </w:p>
        </w:tc>
      </w:tr>
      <w:tr w:rsidR="00D06416" w:rsidRPr="006D79E9" w14:paraId="08D8A9D8"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9015968" w14:textId="77777777" w:rsidR="00D06416" w:rsidRPr="00E11FFB" w:rsidRDefault="00D06416" w:rsidP="003A6DE1">
            <w:pPr>
              <w:rPr>
                <w:rFonts w:ascii="Avenir" w:eastAsia="Arial" w:hAnsi="Avenir" w:cstheme="minorHAnsi"/>
              </w:rPr>
            </w:pPr>
            <w:r w:rsidRPr="00E11FFB">
              <w:rPr>
                <w:rFonts w:ascii="Avenir" w:eastAsia="Arial" w:hAnsi="Avenir" w:cstheme="minorHAnsi"/>
              </w:rPr>
              <w:t>MPTF</w:t>
            </w:r>
          </w:p>
        </w:tc>
        <w:tc>
          <w:tcPr>
            <w:tcW w:w="7458" w:type="dxa"/>
            <w:tcBorders>
              <w:top w:val="single" w:sz="8" w:space="0" w:color="C0C0C0"/>
              <w:left w:val="single" w:sz="8" w:space="0" w:color="C0C0C0"/>
              <w:bottom w:val="single" w:sz="8" w:space="0" w:color="C0C0C0"/>
              <w:right w:val="single" w:sz="8" w:space="0" w:color="C0C0C0"/>
            </w:tcBorders>
          </w:tcPr>
          <w:p w14:paraId="73CFE031" w14:textId="77777777" w:rsidR="00D06416" w:rsidRPr="007C2141" w:rsidRDefault="00D06416" w:rsidP="003A6DE1">
            <w:pPr>
              <w:rPr>
                <w:rFonts w:ascii="Avenir" w:eastAsia="Arial" w:hAnsi="Avenir" w:cstheme="minorHAnsi"/>
                <w:lang w:val="en-US"/>
              </w:rPr>
            </w:pPr>
            <w:r w:rsidRPr="007C2141">
              <w:rPr>
                <w:rFonts w:ascii="Avenir" w:eastAsia="Arial" w:hAnsi="Avenir" w:cstheme="minorHAnsi"/>
                <w:lang w:val="en-US"/>
              </w:rPr>
              <w:t>Multi-Partner Trust Fund Office</w:t>
            </w:r>
          </w:p>
        </w:tc>
      </w:tr>
      <w:tr w:rsidR="00D06416" w:rsidRPr="00E11FFB" w14:paraId="7432393A"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AF888A0"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NERF </w:t>
            </w:r>
          </w:p>
        </w:tc>
        <w:tc>
          <w:tcPr>
            <w:tcW w:w="7458" w:type="dxa"/>
            <w:tcBorders>
              <w:top w:val="single" w:sz="8" w:space="0" w:color="C0C0C0"/>
              <w:left w:val="single" w:sz="8" w:space="0" w:color="C0C0C0"/>
              <w:bottom w:val="single" w:sz="8" w:space="0" w:color="C0C0C0"/>
              <w:right w:val="single" w:sz="8" w:space="0" w:color="C0C0C0"/>
            </w:tcBorders>
          </w:tcPr>
          <w:p w14:paraId="2B9E5511" w14:textId="77777777" w:rsidR="00D06416" w:rsidRPr="00E11FFB" w:rsidRDefault="00D06416" w:rsidP="003A6DE1">
            <w:pPr>
              <w:rPr>
                <w:rFonts w:ascii="Avenir" w:eastAsia="Arial" w:hAnsi="Avenir" w:cstheme="minorHAnsi"/>
              </w:rPr>
            </w:pPr>
            <w:r w:rsidRPr="00E11FFB">
              <w:rPr>
                <w:rFonts w:ascii="Calibri" w:hAnsi="Calibri" w:cs="Calibri"/>
                <w:color w:val="000000"/>
                <w:lang w:eastAsia="fr-FR"/>
              </w:rPr>
              <w:t xml:space="preserve">Niveau d’émissions de référence des forêts pour la réduction des émissions dues à la déforestation </w:t>
            </w:r>
          </w:p>
        </w:tc>
      </w:tr>
      <w:tr w:rsidR="00D06416" w:rsidRPr="00E11FFB" w14:paraId="3C1BD91C"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45CA4DEC" w14:textId="77777777" w:rsidR="00D06416" w:rsidRPr="00E11FFB" w:rsidRDefault="00D06416" w:rsidP="003A6DE1">
            <w:pPr>
              <w:rPr>
                <w:rFonts w:ascii="Avenir" w:eastAsia="Arial" w:hAnsi="Avenir" w:cstheme="minorHAnsi"/>
              </w:rPr>
            </w:pPr>
            <w:r w:rsidRPr="00E11FFB">
              <w:rPr>
                <w:rFonts w:ascii="Avenir" w:eastAsia="Arial" w:hAnsi="Avenir" w:cstheme="minorHAnsi"/>
              </w:rPr>
              <w:t>PAAJ</w:t>
            </w:r>
          </w:p>
        </w:tc>
        <w:tc>
          <w:tcPr>
            <w:tcW w:w="7458" w:type="dxa"/>
            <w:tcBorders>
              <w:top w:val="single" w:sz="8" w:space="0" w:color="C0C0C0"/>
              <w:left w:val="single" w:sz="8" w:space="0" w:color="C0C0C0"/>
              <w:bottom w:val="single" w:sz="8" w:space="0" w:color="C0C0C0"/>
              <w:right w:val="single" w:sz="8" w:space="0" w:color="C0C0C0"/>
            </w:tcBorders>
          </w:tcPr>
          <w:p w14:paraId="7D1C2747" w14:textId="77777777" w:rsidR="00D06416" w:rsidRPr="00E11FFB" w:rsidRDefault="00D06416" w:rsidP="003A6DE1">
            <w:pPr>
              <w:tabs>
                <w:tab w:val="left" w:pos="4760"/>
              </w:tabs>
              <w:rPr>
                <w:rFonts w:ascii="Avenir" w:eastAsia="Arial" w:hAnsi="Avenir" w:cstheme="minorHAnsi"/>
              </w:rPr>
            </w:pPr>
            <w:r w:rsidRPr="00E11FFB">
              <w:rPr>
                <w:rFonts w:ascii="Avenir" w:eastAsia="Arial" w:hAnsi="Avenir" w:cstheme="minorHAnsi"/>
              </w:rPr>
              <w:t>Programme d’Appui à l’Atteinte de Jalons</w:t>
            </w:r>
            <w:r w:rsidRPr="00E11FFB">
              <w:rPr>
                <w:rFonts w:ascii="Avenir" w:eastAsia="Arial" w:hAnsi="Avenir" w:cstheme="minorHAnsi"/>
              </w:rPr>
              <w:tab/>
            </w:r>
          </w:p>
        </w:tc>
      </w:tr>
      <w:tr w:rsidR="00D06416" w:rsidRPr="00E11FFB" w14:paraId="66679DBC"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364ED01" w14:textId="77777777" w:rsidR="00D06416" w:rsidRPr="00E11FFB" w:rsidRDefault="00D06416" w:rsidP="003A6DE1">
            <w:pPr>
              <w:rPr>
                <w:rFonts w:ascii="Avenir" w:eastAsia="Arial" w:hAnsi="Avenir" w:cstheme="minorHAnsi"/>
              </w:rPr>
            </w:pPr>
            <w:r w:rsidRPr="00E11FFB">
              <w:rPr>
                <w:rFonts w:ascii="Avenir" w:eastAsia="Arial" w:hAnsi="Avenir" w:cstheme="minorHAnsi"/>
              </w:rPr>
              <w:t>PAD</w:t>
            </w:r>
          </w:p>
        </w:tc>
        <w:tc>
          <w:tcPr>
            <w:tcW w:w="7458" w:type="dxa"/>
            <w:tcBorders>
              <w:top w:val="single" w:sz="8" w:space="0" w:color="C0C0C0"/>
              <w:left w:val="single" w:sz="8" w:space="0" w:color="C0C0C0"/>
              <w:bottom w:val="single" w:sz="8" w:space="0" w:color="C0C0C0"/>
              <w:right w:val="single" w:sz="8" w:space="0" w:color="C0C0C0"/>
            </w:tcBorders>
          </w:tcPr>
          <w:p w14:paraId="21E4ED12" w14:textId="77777777" w:rsidR="00D06416" w:rsidRPr="00E11FFB" w:rsidRDefault="00D06416" w:rsidP="003A6DE1">
            <w:pPr>
              <w:tabs>
                <w:tab w:val="left" w:pos="4760"/>
              </w:tabs>
              <w:rPr>
                <w:rFonts w:ascii="Avenir" w:eastAsia="Arial" w:hAnsi="Avenir" w:cstheme="minorHAnsi"/>
              </w:rPr>
            </w:pPr>
            <w:r w:rsidRPr="00E11FFB">
              <w:rPr>
                <w:rFonts w:ascii="Avenir" w:eastAsia="Arial" w:hAnsi="Avenir" w:cstheme="minorHAnsi"/>
              </w:rPr>
              <w:t xml:space="preserve">Politique Agricole Durable </w:t>
            </w:r>
          </w:p>
        </w:tc>
      </w:tr>
      <w:tr w:rsidR="00D06416" w:rsidRPr="00E11FFB" w14:paraId="59F249D0"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01B191A" w14:textId="77777777" w:rsidR="00D06416" w:rsidRPr="00E11FFB" w:rsidRDefault="00D06416" w:rsidP="003A6DE1">
            <w:pPr>
              <w:rPr>
                <w:rFonts w:ascii="Avenir" w:eastAsia="Arial" w:hAnsi="Avenir" w:cstheme="minorHAnsi"/>
              </w:rPr>
            </w:pPr>
            <w:r w:rsidRPr="00E11FFB">
              <w:rPr>
                <w:rFonts w:ascii="Avenir" w:eastAsia="Arial" w:hAnsi="Avenir" w:cstheme="minorHAnsi"/>
              </w:rPr>
              <w:t>PFN</w:t>
            </w:r>
          </w:p>
        </w:tc>
        <w:tc>
          <w:tcPr>
            <w:tcW w:w="7458" w:type="dxa"/>
            <w:tcBorders>
              <w:top w:val="single" w:sz="8" w:space="0" w:color="C0C0C0"/>
              <w:left w:val="single" w:sz="8" w:space="0" w:color="C0C0C0"/>
              <w:bottom w:val="single" w:sz="8" w:space="0" w:color="C0C0C0"/>
              <w:right w:val="single" w:sz="8" w:space="0" w:color="C0C0C0"/>
            </w:tcBorders>
          </w:tcPr>
          <w:p w14:paraId="1A9ED230" w14:textId="77777777" w:rsidR="00D06416" w:rsidRPr="00E11FFB" w:rsidRDefault="00D06416" w:rsidP="003A6DE1">
            <w:pPr>
              <w:rPr>
                <w:rFonts w:ascii="Avenir" w:eastAsia="Arial" w:hAnsi="Avenir" w:cstheme="minorHAnsi"/>
              </w:rPr>
            </w:pPr>
            <w:r w:rsidRPr="00E11FFB">
              <w:rPr>
                <w:rFonts w:ascii="Avenir" w:eastAsia="Arial" w:hAnsi="Avenir" w:cstheme="minorHAnsi"/>
              </w:rPr>
              <w:t>Politique Forestière Nationale</w:t>
            </w:r>
          </w:p>
        </w:tc>
      </w:tr>
      <w:tr w:rsidR="00D06416" w:rsidRPr="00E11FFB" w14:paraId="0F716EF8"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F068A41"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PGDF </w:t>
            </w:r>
          </w:p>
        </w:tc>
        <w:tc>
          <w:tcPr>
            <w:tcW w:w="7458" w:type="dxa"/>
            <w:tcBorders>
              <w:top w:val="single" w:sz="8" w:space="0" w:color="C0C0C0"/>
              <w:left w:val="single" w:sz="8" w:space="0" w:color="C0C0C0"/>
              <w:bottom w:val="single" w:sz="8" w:space="0" w:color="C0C0C0"/>
              <w:right w:val="single" w:sz="8" w:space="0" w:color="C0C0C0"/>
            </w:tcBorders>
          </w:tcPr>
          <w:p w14:paraId="78F2A358" w14:textId="77777777" w:rsidR="00D06416" w:rsidRPr="00E11FFB" w:rsidRDefault="00D06416" w:rsidP="003A6DE1">
            <w:pPr>
              <w:rPr>
                <w:rFonts w:ascii="Avenir" w:eastAsia="Arial" w:hAnsi="Avenir" w:cstheme="minorHAnsi"/>
              </w:rPr>
            </w:pPr>
            <w:r w:rsidRPr="00E11FFB">
              <w:rPr>
                <w:rFonts w:ascii="Calibri" w:hAnsi="Calibri" w:cs="Calibri"/>
                <w:color w:val="000000"/>
                <w:lang w:eastAsia="fr-FR"/>
              </w:rPr>
              <w:t>Projet de Gestion Durable de Forêt</w:t>
            </w:r>
          </w:p>
        </w:tc>
      </w:tr>
      <w:tr w:rsidR="00D06416" w:rsidRPr="00E11FFB" w14:paraId="1A899E71"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0DBAC749" w14:textId="77777777" w:rsidR="00D06416" w:rsidRPr="00E11FFB" w:rsidRDefault="00D06416" w:rsidP="003A6DE1">
            <w:pPr>
              <w:rPr>
                <w:rFonts w:ascii="Avenir" w:eastAsia="Arial" w:hAnsi="Avenir" w:cstheme="minorHAnsi"/>
              </w:rPr>
            </w:pPr>
            <w:r w:rsidRPr="00E11FFB">
              <w:rPr>
                <w:rFonts w:ascii="Avenir" w:eastAsia="Arial" w:hAnsi="Avenir" w:cstheme="minorHAnsi"/>
              </w:rPr>
              <w:t>PNH</w:t>
            </w:r>
          </w:p>
        </w:tc>
        <w:tc>
          <w:tcPr>
            <w:tcW w:w="7458" w:type="dxa"/>
            <w:tcBorders>
              <w:top w:val="single" w:sz="8" w:space="0" w:color="C0C0C0"/>
              <w:left w:val="single" w:sz="8" w:space="0" w:color="C0C0C0"/>
              <w:bottom w:val="single" w:sz="8" w:space="0" w:color="C0C0C0"/>
              <w:right w:val="single" w:sz="8" w:space="0" w:color="C0C0C0"/>
            </w:tcBorders>
          </w:tcPr>
          <w:p w14:paraId="517BEEEB" w14:textId="77777777" w:rsidR="00D06416" w:rsidRPr="00E11FFB" w:rsidRDefault="00D06416" w:rsidP="003A6DE1">
            <w:pPr>
              <w:rPr>
                <w:rFonts w:ascii="Avenir" w:eastAsia="Arial" w:hAnsi="Avenir" w:cstheme="minorHAnsi"/>
              </w:rPr>
            </w:pPr>
            <w:r w:rsidRPr="00E11FFB">
              <w:rPr>
                <w:rFonts w:ascii="Avenir" w:eastAsia="Arial" w:hAnsi="Avenir" w:cstheme="minorHAnsi"/>
              </w:rPr>
              <w:t>Plan National des Hydrocarbures</w:t>
            </w:r>
          </w:p>
        </w:tc>
      </w:tr>
      <w:tr w:rsidR="00D06416" w:rsidRPr="00E11FFB" w14:paraId="446A2E83"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2C900C33" w14:textId="77777777" w:rsidR="00D06416" w:rsidRPr="00E11FFB" w:rsidRDefault="00D06416" w:rsidP="003A6DE1">
            <w:pPr>
              <w:rPr>
                <w:rFonts w:ascii="Avenir" w:eastAsia="Arial" w:hAnsi="Avenir" w:cstheme="minorHAnsi"/>
              </w:rPr>
            </w:pPr>
            <w:r w:rsidRPr="00E11FFB">
              <w:rPr>
                <w:rFonts w:ascii="Avenir" w:eastAsia="Arial" w:hAnsi="Avenir" w:cstheme="minorHAnsi"/>
              </w:rPr>
              <w:t>PNP</w:t>
            </w:r>
          </w:p>
        </w:tc>
        <w:tc>
          <w:tcPr>
            <w:tcW w:w="7458" w:type="dxa"/>
            <w:tcBorders>
              <w:top w:val="single" w:sz="8" w:space="0" w:color="C0C0C0"/>
              <w:left w:val="single" w:sz="8" w:space="0" w:color="C0C0C0"/>
              <w:bottom w:val="single" w:sz="8" w:space="0" w:color="C0C0C0"/>
              <w:right w:val="single" w:sz="8" w:space="0" w:color="C0C0C0"/>
            </w:tcBorders>
          </w:tcPr>
          <w:p w14:paraId="2D30CE61" w14:textId="77777777" w:rsidR="00D06416" w:rsidRPr="00E11FFB" w:rsidRDefault="00D06416" w:rsidP="003A6DE1">
            <w:pPr>
              <w:rPr>
                <w:rFonts w:ascii="Avenir" w:eastAsia="Arial" w:hAnsi="Avenir" w:cstheme="minorHAnsi"/>
              </w:rPr>
            </w:pPr>
            <w:r w:rsidRPr="00E11FFB">
              <w:rPr>
                <w:rFonts w:ascii="Avenir" w:eastAsia="Arial" w:hAnsi="Avenir" w:cstheme="minorHAnsi"/>
              </w:rPr>
              <w:t>Politique Nationale de Population</w:t>
            </w:r>
          </w:p>
        </w:tc>
      </w:tr>
      <w:tr w:rsidR="00D06416" w:rsidRPr="00E11FFB" w14:paraId="534BCC66"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887382C" w14:textId="77777777" w:rsidR="00D06416" w:rsidRPr="00E11FFB" w:rsidRDefault="00D06416" w:rsidP="003A6DE1">
            <w:pPr>
              <w:rPr>
                <w:rFonts w:ascii="Avenir" w:eastAsia="Arial" w:hAnsi="Avenir" w:cstheme="minorHAnsi"/>
              </w:rPr>
            </w:pPr>
            <w:r w:rsidRPr="00E11FFB">
              <w:rPr>
                <w:rFonts w:ascii="Avenir" w:eastAsia="Arial" w:hAnsi="Avenir" w:cstheme="minorHAnsi"/>
              </w:rPr>
              <w:t>PNUD</w:t>
            </w:r>
          </w:p>
        </w:tc>
        <w:tc>
          <w:tcPr>
            <w:tcW w:w="7458" w:type="dxa"/>
            <w:tcBorders>
              <w:top w:val="single" w:sz="8" w:space="0" w:color="C0C0C0"/>
              <w:left w:val="single" w:sz="8" w:space="0" w:color="C0C0C0"/>
              <w:bottom w:val="single" w:sz="8" w:space="0" w:color="C0C0C0"/>
              <w:right w:val="single" w:sz="8" w:space="0" w:color="C0C0C0"/>
            </w:tcBorders>
          </w:tcPr>
          <w:p w14:paraId="3682CEFF" w14:textId="77777777" w:rsidR="00D06416" w:rsidRPr="00E11FFB" w:rsidRDefault="00D06416" w:rsidP="003A6DE1">
            <w:pPr>
              <w:rPr>
                <w:rFonts w:ascii="Avenir" w:eastAsia="Arial" w:hAnsi="Avenir" w:cstheme="minorHAnsi"/>
              </w:rPr>
            </w:pPr>
            <w:r w:rsidRPr="00E11FFB">
              <w:rPr>
                <w:rFonts w:ascii="Avenir" w:eastAsia="Arial" w:hAnsi="Avenir" w:cstheme="minorHAnsi"/>
              </w:rPr>
              <w:t>Programme des Nations Unies pour le Développement</w:t>
            </w:r>
          </w:p>
        </w:tc>
      </w:tr>
      <w:tr w:rsidR="00D06416" w:rsidRPr="00E11FFB" w14:paraId="7589056B"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DED5500" w14:textId="77777777" w:rsidR="00D06416" w:rsidRPr="00E11FFB" w:rsidRDefault="00D06416" w:rsidP="003A6DE1">
            <w:pPr>
              <w:rPr>
                <w:rFonts w:ascii="Avenir" w:eastAsia="Arial" w:hAnsi="Avenir" w:cstheme="minorHAnsi"/>
              </w:rPr>
            </w:pPr>
            <w:r w:rsidRPr="00E11FFB">
              <w:rPr>
                <w:rFonts w:ascii="Avenir" w:eastAsia="Arial" w:hAnsi="Avenir" w:cstheme="minorHAnsi"/>
              </w:rPr>
              <w:t>PGES</w:t>
            </w:r>
          </w:p>
        </w:tc>
        <w:tc>
          <w:tcPr>
            <w:tcW w:w="7458" w:type="dxa"/>
            <w:tcBorders>
              <w:top w:val="single" w:sz="8" w:space="0" w:color="C0C0C0"/>
              <w:left w:val="single" w:sz="8" w:space="0" w:color="C0C0C0"/>
              <w:bottom w:val="single" w:sz="8" w:space="0" w:color="C0C0C0"/>
              <w:right w:val="single" w:sz="8" w:space="0" w:color="C0C0C0"/>
            </w:tcBorders>
          </w:tcPr>
          <w:p w14:paraId="34E2A2B7" w14:textId="77777777" w:rsidR="00D06416" w:rsidRPr="00E11FFB" w:rsidRDefault="00D06416" w:rsidP="003A6DE1">
            <w:pPr>
              <w:rPr>
                <w:rFonts w:ascii="Avenir" w:eastAsia="Arial" w:hAnsi="Avenir" w:cstheme="minorHAnsi"/>
              </w:rPr>
            </w:pPr>
            <w:r w:rsidRPr="00E11FFB">
              <w:rPr>
                <w:rFonts w:ascii="Avenir" w:eastAsia="Arial" w:hAnsi="Avenir" w:cstheme="minorHAnsi"/>
              </w:rPr>
              <w:t>Plan de Gestion Environnementale et Sociale</w:t>
            </w:r>
          </w:p>
        </w:tc>
      </w:tr>
      <w:tr w:rsidR="00D06416" w:rsidRPr="00E11FFB" w14:paraId="1EAF5448"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24A1C9E4" w14:textId="77777777" w:rsidR="00D06416" w:rsidRPr="00E11FFB" w:rsidRDefault="00D06416" w:rsidP="003A6DE1">
            <w:pPr>
              <w:rPr>
                <w:rFonts w:ascii="Avenir" w:eastAsia="Arial" w:hAnsi="Avenir" w:cstheme="minorHAnsi"/>
              </w:rPr>
            </w:pPr>
            <w:r w:rsidRPr="00E11FFB">
              <w:rPr>
                <w:rFonts w:ascii="Avenir" w:eastAsia="Arial" w:hAnsi="Avenir" w:cstheme="minorHAnsi"/>
              </w:rPr>
              <w:t>PLAT</w:t>
            </w:r>
          </w:p>
        </w:tc>
        <w:tc>
          <w:tcPr>
            <w:tcW w:w="7458" w:type="dxa"/>
            <w:tcBorders>
              <w:top w:val="single" w:sz="8" w:space="0" w:color="C0C0C0"/>
              <w:left w:val="single" w:sz="8" w:space="0" w:color="C0C0C0"/>
              <w:bottom w:val="single" w:sz="8" w:space="0" w:color="C0C0C0"/>
              <w:right w:val="single" w:sz="8" w:space="0" w:color="C0C0C0"/>
            </w:tcBorders>
          </w:tcPr>
          <w:p w14:paraId="6DCAF895"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Plan Local d’Aménagement du territoire </w:t>
            </w:r>
          </w:p>
        </w:tc>
      </w:tr>
      <w:tr w:rsidR="00D06416" w:rsidRPr="00E11FFB" w14:paraId="7C2803F3"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47411437" w14:textId="77777777" w:rsidR="00D06416" w:rsidRPr="00E11FFB" w:rsidRDefault="00D06416" w:rsidP="003A6DE1">
            <w:pPr>
              <w:rPr>
                <w:rFonts w:ascii="Avenir" w:eastAsia="Arial" w:hAnsi="Avenir" w:cstheme="minorHAnsi"/>
              </w:rPr>
            </w:pPr>
            <w:r w:rsidRPr="00E11FFB">
              <w:rPr>
                <w:rFonts w:ascii="Avenir" w:eastAsia="Arial" w:hAnsi="Avenir" w:cstheme="minorHAnsi"/>
              </w:rPr>
              <w:t>PPAT</w:t>
            </w:r>
          </w:p>
        </w:tc>
        <w:tc>
          <w:tcPr>
            <w:tcW w:w="7458" w:type="dxa"/>
            <w:tcBorders>
              <w:top w:val="single" w:sz="8" w:space="0" w:color="C0C0C0"/>
              <w:left w:val="single" w:sz="8" w:space="0" w:color="C0C0C0"/>
              <w:bottom w:val="single" w:sz="8" w:space="0" w:color="C0C0C0"/>
              <w:right w:val="single" w:sz="8" w:space="0" w:color="C0C0C0"/>
            </w:tcBorders>
          </w:tcPr>
          <w:p w14:paraId="26B15574"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Plan provincial d’Aménagement du territoire </w:t>
            </w:r>
          </w:p>
        </w:tc>
      </w:tr>
      <w:tr w:rsidR="00D06416" w:rsidRPr="00E11FFB" w14:paraId="72EA40C7"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262C860D" w14:textId="77777777" w:rsidR="00D06416" w:rsidRPr="00E11FFB" w:rsidRDefault="00D06416" w:rsidP="003A6DE1">
            <w:pPr>
              <w:rPr>
                <w:rFonts w:ascii="Avenir" w:eastAsia="Arial" w:hAnsi="Avenir" w:cstheme="minorHAnsi"/>
              </w:rPr>
            </w:pPr>
            <w:r w:rsidRPr="00E11FFB">
              <w:rPr>
                <w:rFonts w:ascii="Avenir" w:eastAsia="Arial" w:hAnsi="Avenir" w:cstheme="minorHAnsi"/>
              </w:rPr>
              <w:t>PSAT</w:t>
            </w:r>
          </w:p>
        </w:tc>
        <w:tc>
          <w:tcPr>
            <w:tcW w:w="7458" w:type="dxa"/>
            <w:tcBorders>
              <w:top w:val="single" w:sz="8" w:space="0" w:color="C0C0C0"/>
              <w:left w:val="single" w:sz="8" w:space="0" w:color="C0C0C0"/>
              <w:bottom w:val="single" w:sz="8" w:space="0" w:color="C0C0C0"/>
              <w:right w:val="single" w:sz="8" w:space="0" w:color="C0C0C0"/>
            </w:tcBorders>
          </w:tcPr>
          <w:p w14:paraId="151F7578"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Plan Simple d’Aménagement de territoire </w:t>
            </w:r>
          </w:p>
        </w:tc>
      </w:tr>
      <w:tr w:rsidR="00D06416" w:rsidRPr="00E11FFB" w14:paraId="60A0F90A"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FC3F760" w14:textId="77777777" w:rsidR="00D06416" w:rsidRPr="00E11FFB" w:rsidRDefault="00D06416" w:rsidP="003A6DE1">
            <w:pPr>
              <w:rPr>
                <w:rFonts w:ascii="Avenir" w:eastAsia="Arial" w:hAnsi="Avenir" w:cstheme="minorHAnsi"/>
              </w:rPr>
            </w:pPr>
            <w:r w:rsidRPr="00E11FFB">
              <w:rPr>
                <w:rFonts w:ascii="Avenir" w:eastAsia="Arial" w:hAnsi="Avenir" w:cstheme="minorHAnsi"/>
              </w:rPr>
              <w:t>PTAB</w:t>
            </w:r>
          </w:p>
        </w:tc>
        <w:tc>
          <w:tcPr>
            <w:tcW w:w="7458" w:type="dxa"/>
            <w:tcBorders>
              <w:top w:val="single" w:sz="8" w:space="0" w:color="C0C0C0"/>
              <w:left w:val="single" w:sz="8" w:space="0" w:color="C0C0C0"/>
              <w:bottom w:val="single" w:sz="8" w:space="0" w:color="C0C0C0"/>
              <w:right w:val="single" w:sz="8" w:space="0" w:color="C0C0C0"/>
            </w:tcBorders>
          </w:tcPr>
          <w:p w14:paraId="3BF5D2B3" w14:textId="77777777" w:rsidR="00D06416" w:rsidRPr="00E11FFB" w:rsidRDefault="00D06416" w:rsidP="003A6DE1">
            <w:pPr>
              <w:rPr>
                <w:rFonts w:ascii="Avenir" w:eastAsia="Arial" w:hAnsi="Avenir" w:cstheme="minorHAnsi"/>
              </w:rPr>
            </w:pPr>
            <w:r w:rsidRPr="00E11FFB">
              <w:rPr>
                <w:rFonts w:ascii="Avenir" w:eastAsia="Arial" w:hAnsi="Avenir" w:cstheme="minorHAnsi"/>
              </w:rPr>
              <w:t>Plan de Travail Annuel Budgétisé</w:t>
            </w:r>
          </w:p>
        </w:tc>
      </w:tr>
      <w:tr w:rsidR="00D06416" w:rsidRPr="00E11FFB" w14:paraId="3ACE93D1"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A7ED093" w14:textId="77777777" w:rsidR="00D06416" w:rsidRPr="00E11FFB" w:rsidRDefault="00D06416" w:rsidP="003A6DE1">
            <w:pPr>
              <w:rPr>
                <w:rFonts w:ascii="Avenir" w:eastAsia="Arial" w:hAnsi="Avenir" w:cstheme="minorHAnsi"/>
              </w:rPr>
            </w:pPr>
            <w:r w:rsidRPr="00E11FFB">
              <w:rPr>
                <w:rFonts w:ascii="Avenir" w:eastAsia="Arial" w:hAnsi="Avenir" w:cstheme="minorHAnsi"/>
              </w:rPr>
              <w:t>PIREDD</w:t>
            </w:r>
          </w:p>
        </w:tc>
        <w:tc>
          <w:tcPr>
            <w:tcW w:w="7458" w:type="dxa"/>
            <w:tcBorders>
              <w:top w:val="single" w:sz="8" w:space="0" w:color="C0C0C0"/>
              <w:left w:val="single" w:sz="8" w:space="0" w:color="C0C0C0"/>
              <w:bottom w:val="single" w:sz="8" w:space="0" w:color="C0C0C0"/>
              <w:right w:val="single" w:sz="8" w:space="0" w:color="C0C0C0"/>
            </w:tcBorders>
          </w:tcPr>
          <w:p w14:paraId="0E144603" w14:textId="77777777" w:rsidR="00D06416" w:rsidRPr="00E11FFB" w:rsidRDefault="00D06416" w:rsidP="003A6DE1">
            <w:pPr>
              <w:rPr>
                <w:rFonts w:ascii="Avenir" w:eastAsia="Arial" w:hAnsi="Avenir" w:cstheme="minorHAnsi"/>
              </w:rPr>
            </w:pPr>
            <w:r w:rsidRPr="00E11FFB">
              <w:rPr>
                <w:rFonts w:ascii="Avenir" w:eastAsia="Arial" w:hAnsi="Avenir" w:cstheme="minorHAnsi"/>
              </w:rPr>
              <w:t>Programme Intégré REDD+</w:t>
            </w:r>
          </w:p>
        </w:tc>
      </w:tr>
      <w:tr w:rsidR="00D06416" w:rsidRPr="00E11FFB" w14:paraId="7ECF4867"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220991A5" w14:textId="77777777" w:rsidR="00D06416" w:rsidRPr="00E11FFB" w:rsidRDefault="00D06416" w:rsidP="003A6DE1">
            <w:pPr>
              <w:rPr>
                <w:rFonts w:ascii="Avenir" w:eastAsia="Arial" w:hAnsi="Avenir" w:cstheme="minorHAnsi"/>
              </w:rPr>
            </w:pPr>
            <w:r w:rsidRPr="00E11FFB">
              <w:rPr>
                <w:rFonts w:ascii="Avenir" w:eastAsia="Arial" w:hAnsi="Avenir" w:cstheme="minorHAnsi"/>
              </w:rPr>
              <w:t>REDD+</w:t>
            </w:r>
          </w:p>
        </w:tc>
        <w:tc>
          <w:tcPr>
            <w:tcW w:w="7458" w:type="dxa"/>
            <w:tcBorders>
              <w:top w:val="single" w:sz="8" w:space="0" w:color="C0C0C0"/>
              <w:left w:val="single" w:sz="8" w:space="0" w:color="C0C0C0"/>
              <w:bottom w:val="single" w:sz="8" w:space="0" w:color="C0C0C0"/>
              <w:right w:val="single" w:sz="8" w:space="0" w:color="C0C0C0"/>
            </w:tcBorders>
          </w:tcPr>
          <w:p w14:paraId="64251CD0" w14:textId="77777777" w:rsidR="00D06416" w:rsidRPr="00E11FFB" w:rsidRDefault="00D06416" w:rsidP="003A6DE1">
            <w:pPr>
              <w:rPr>
                <w:rFonts w:ascii="Avenir" w:eastAsia="Arial" w:hAnsi="Avenir" w:cstheme="minorHAnsi"/>
              </w:rPr>
            </w:pPr>
            <w:r w:rsidRPr="00E11FFB">
              <w:rPr>
                <w:rFonts w:ascii="Avenir" w:eastAsia="Arial" w:hAnsi="Avenir" w:cstheme="minorHAnsi"/>
              </w:rPr>
              <w:t>Réduction des émissions liées à la déforestation et à la dégradation des forêts</w:t>
            </w:r>
          </w:p>
        </w:tc>
      </w:tr>
      <w:tr w:rsidR="00D06416" w:rsidRPr="00E11FFB" w14:paraId="2F3DB8CF"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71198662" w14:textId="77777777" w:rsidR="00D06416" w:rsidRPr="00E11FFB" w:rsidRDefault="00D06416" w:rsidP="003A6DE1">
            <w:pPr>
              <w:rPr>
                <w:rFonts w:ascii="Avenir" w:eastAsia="Arial" w:hAnsi="Avenir" w:cstheme="minorHAnsi"/>
              </w:rPr>
            </w:pPr>
            <w:r w:rsidRPr="00E11FFB">
              <w:rPr>
                <w:rFonts w:ascii="Avenir" w:eastAsia="Arial" w:hAnsi="Avenir" w:cstheme="minorHAnsi"/>
              </w:rPr>
              <w:t>RDC</w:t>
            </w:r>
          </w:p>
        </w:tc>
        <w:tc>
          <w:tcPr>
            <w:tcW w:w="7458" w:type="dxa"/>
            <w:tcBorders>
              <w:top w:val="single" w:sz="8" w:space="0" w:color="C0C0C0"/>
              <w:left w:val="single" w:sz="8" w:space="0" w:color="C0C0C0"/>
              <w:bottom w:val="single" w:sz="8" w:space="0" w:color="C0C0C0"/>
              <w:right w:val="single" w:sz="8" w:space="0" w:color="C0C0C0"/>
            </w:tcBorders>
          </w:tcPr>
          <w:p w14:paraId="7B455E40" w14:textId="77777777" w:rsidR="00D06416" w:rsidRPr="00E11FFB" w:rsidRDefault="00D06416" w:rsidP="003A6DE1">
            <w:pPr>
              <w:rPr>
                <w:rFonts w:ascii="Avenir" w:eastAsia="Arial" w:hAnsi="Avenir" w:cstheme="minorHAnsi"/>
              </w:rPr>
            </w:pPr>
            <w:r w:rsidRPr="00E11FFB">
              <w:rPr>
                <w:rFonts w:ascii="Avenir" w:eastAsia="Arial" w:hAnsi="Avenir" w:cstheme="minorHAnsi"/>
              </w:rPr>
              <w:t>République Démocratique du Congo</w:t>
            </w:r>
          </w:p>
        </w:tc>
      </w:tr>
      <w:tr w:rsidR="00D06416" w:rsidRPr="00E11FFB" w14:paraId="36CB8C30"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DE7A4E7" w14:textId="77777777" w:rsidR="00D06416" w:rsidRPr="00E11FFB" w:rsidRDefault="00D06416" w:rsidP="003A6DE1">
            <w:pPr>
              <w:rPr>
                <w:rFonts w:ascii="Avenir" w:eastAsia="Arial" w:hAnsi="Avenir" w:cstheme="minorHAnsi"/>
              </w:rPr>
            </w:pPr>
            <w:r w:rsidRPr="00E11FFB">
              <w:rPr>
                <w:rFonts w:ascii="Avenir" w:eastAsia="Arial" w:hAnsi="Avenir" w:cstheme="minorHAnsi"/>
              </w:rPr>
              <w:t>SG</w:t>
            </w:r>
          </w:p>
        </w:tc>
        <w:tc>
          <w:tcPr>
            <w:tcW w:w="7458" w:type="dxa"/>
            <w:tcBorders>
              <w:top w:val="single" w:sz="8" w:space="0" w:color="C0C0C0"/>
              <w:left w:val="single" w:sz="8" w:space="0" w:color="C0C0C0"/>
              <w:bottom w:val="single" w:sz="8" w:space="0" w:color="C0C0C0"/>
              <w:right w:val="single" w:sz="8" w:space="0" w:color="C0C0C0"/>
            </w:tcBorders>
          </w:tcPr>
          <w:p w14:paraId="6AAE2B99" w14:textId="77777777" w:rsidR="00D06416" w:rsidRPr="00E11FFB" w:rsidRDefault="00D06416" w:rsidP="003A6DE1">
            <w:pPr>
              <w:rPr>
                <w:rFonts w:ascii="Avenir" w:eastAsia="Arial" w:hAnsi="Avenir" w:cstheme="minorHAnsi"/>
              </w:rPr>
            </w:pPr>
            <w:r w:rsidRPr="00E11FFB">
              <w:rPr>
                <w:rFonts w:ascii="Avenir" w:eastAsia="Arial" w:hAnsi="Avenir" w:cstheme="minorHAnsi"/>
              </w:rPr>
              <w:t>Secrétariat Général</w:t>
            </w:r>
          </w:p>
        </w:tc>
      </w:tr>
      <w:tr w:rsidR="00D06416" w:rsidRPr="00E11FFB" w14:paraId="496C81E7"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39CDCDBA"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SNAT </w:t>
            </w:r>
          </w:p>
        </w:tc>
        <w:tc>
          <w:tcPr>
            <w:tcW w:w="7458" w:type="dxa"/>
            <w:tcBorders>
              <w:top w:val="single" w:sz="8" w:space="0" w:color="C0C0C0"/>
              <w:left w:val="single" w:sz="8" w:space="0" w:color="C0C0C0"/>
              <w:bottom w:val="single" w:sz="8" w:space="0" w:color="C0C0C0"/>
              <w:right w:val="single" w:sz="8" w:space="0" w:color="C0C0C0"/>
            </w:tcBorders>
          </w:tcPr>
          <w:p w14:paraId="275A2C91" w14:textId="77777777" w:rsidR="00D06416" w:rsidRPr="00E11FFB" w:rsidRDefault="00D06416" w:rsidP="003A6DE1">
            <w:pPr>
              <w:rPr>
                <w:rFonts w:ascii="Avenir" w:eastAsia="Arial" w:hAnsi="Avenir" w:cstheme="minorHAnsi"/>
              </w:rPr>
            </w:pPr>
            <w:r w:rsidRPr="00E11FFB">
              <w:rPr>
                <w:rFonts w:ascii="Avenir" w:eastAsia="Arial" w:hAnsi="Avenir" w:cstheme="minorHAnsi"/>
              </w:rPr>
              <w:t>Schéma National d’Aménagement du territoire</w:t>
            </w:r>
          </w:p>
        </w:tc>
      </w:tr>
      <w:tr w:rsidR="00D06416" w:rsidRPr="00E11FFB" w14:paraId="5FDE16A3"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2C062D7" w14:textId="77777777" w:rsidR="00D06416" w:rsidRPr="00E11FFB" w:rsidRDefault="00D06416" w:rsidP="003A6DE1">
            <w:pPr>
              <w:rPr>
                <w:rFonts w:ascii="Avenir" w:eastAsia="Arial" w:hAnsi="Avenir" w:cstheme="minorHAnsi"/>
              </w:rPr>
            </w:pPr>
            <w:r w:rsidRPr="00E11FFB">
              <w:rPr>
                <w:rFonts w:ascii="Avenir" w:eastAsia="Arial" w:hAnsi="Avenir" w:cstheme="minorHAnsi"/>
              </w:rPr>
              <w:t>SNSF</w:t>
            </w:r>
          </w:p>
        </w:tc>
        <w:tc>
          <w:tcPr>
            <w:tcW w:w="7458" w:type="dxa"/>
            <w:tcBorders>
              <w:top w:val="single" w:sz="8" w:space="0" w:color="C0C0C0"/>
              <w:left w:val="single" w:sz="8" w:space="0" w:color="C0C0C0"/>
              <w:bottom w:val="single" w:sz="8" w:space="0" w:color="C0C0C0"/>
              <w:right w:val="single" w:sz="8" w:space="0" w:color="C0C0C0"/>
            </w:tcBorders>
          </w:tcPr>
          <w:p w14:paraId="099CCFD7" w14:textId="77777777" w:rsidR="00D06416" w:rsidRPr="00E11FFB" w:rsidRDefault="00D06416" w:rsidP="003A6DE1">
            <w:pPr>
              <w:rPr>
                <w:rFonts w:ascii="Avenir" w:eastAsia="Arial" w:hAnsi="Avenir" w:cstheme="minorHAnsi"/>
              </w:rPr>
            </w:pPr>
            <w:r w:rsidRPr="00E11FFB">
              <w:rPr>
                <w:rFonts w:ascii="Calibri" w:hAnsi="Calibri" w:cs="Calibri"/>
                <w:color w:val="000000"/>
                <w:lang w:eastAsia="fr-FR"/>
              </w:rPr>
              <w:t>Système National de Surveillance Forestière</w:t>
            </w:r>
          </w:p>
        </w:tc>
      </w:tr>
      <w:tr w:rsidR="00D06416" w:rsidRPr="00E11FFB" w14:paraId="109E0705"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66175982" w14:textId="77777777" w:rsidR="00D06416" w:rsidRPr="00E11FFB" w:rsidRDefault="00D06416" w:rsidP="003A6DE1">
            <w:pPr>
              <w:rPr>
                <w:rFonts w:ascii="Avenir" w:eastAsia="Arial" w:hAnsi="Avenir" w:cstheme="minorHAnsi"/>
              </w:rPr>
            </w:pPr>
            <w:r w:rsidRPr="00E11FFB">
              <w:rPr>
                <w:rFonts w:ascii="Avenir" w:eastAsia="Arial" w:hAnsi="Avenir" w:cstheme="minorHAnsi"/>
              </w:rPr>
              <w:t>SPANB</w:t>
            </w:r>
          </w:p>
        </w:tc>
        <w:tc>
          <w:tcPr>
            <w:tcW w:w="7458" w:type="dxa"/>
            <w:tcBorders>
              <w:top w:val="single" w:sz="8" w:space="0" w:color="C0C0C0"/>
              <w:left w:val="single" w:sz="8" w:space="0" w:color="C0C0C0"/>
              <w:bottom w:val="single" w:sz="8" w:space="0" w:color="C0C0C0"/>
              <w:right w:val="single" w:sz="8" w:space="0" w:color="C0C0C0"/>
            </w:tcBorders>
          </w:tcPr>
          <w:p w14:paraId="28D1B874" w14:textId="77777777" w:rsidR="00D06416" w:rsidRPr="00E11FFB" w:rsidRDefault="00D06416" w:rsidP="003A6DE1">
            <w:pPr>
              <w:ind w:left="15" w:right="15"/>
              <w:jc w:val="both"/>
              <w:rPr>
                <w:rFonts w:ascii="Avenir" w:eastAsia="Arial" w:hAnsi="Avenir" w:cstheme="minorHAnsi"/>
              </w:rPr>
            </w:pPr>
            <w:r w:rsidRPr="00E11FFB">
              <w:rPr>
                <w:rFonts w:ascii="Avenir" w:eastAsia="Arial" w:hAnsi="Avenir" w:cstheme="minorHAnsi"/>
              </w:rPr>
              <w:t>Stratégie et plan d'action Nationale pour la Biodiversité</w:t>
            </w:r>
          </w:p>
        </w:tc>
      </w:tr>
      <w:tr w:rsidR="00D06416" w:rsidRPr="00E11FFB" w14:paraId="2A2E846D"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19800C3B" w14:textId="77777777" w:rsidR="00D06416" w:rsidRPr="00E11FFB" w:rsidRDefault="00D06416" w:rsidP="003A6DE1">
            <w:pPr>
              <w:rPr>
                <w:rFonts w:ascii="Avenir" w:eastAsia="Arial" w:hAnsi="Avenir" w:cstheme="minorHAnsi"/>
              </w:rPr>
            </w:pPr>
            <w:r w:rsidRPr="00E11FFB">
              <w:rPr>
                <w:rFonts w:ascii="Avenir" w:eastAsia="Arial" w:hAnsi="Avenir" w:cstheme="minorHAnsi"/>
              </w:rPr>
              <w:t xml:space="preserve">TDRs </w:t>
            </w:r>
          </w:p>
        </w:tc>
        <w:tc>
          <w:tcPr>
            <w:tcW w:w="7458" w:type="dxa"/>
            <w:tcBorders>
              <w:top w:val="single" w:sz="8" w:space="0" w:color="C0C0C0"/>
              <w:left w:val="single" w:sz="8" w:space="0" w:color="C0C0C0"/>
              <w:bottom w:val="single" w:sz="8" w:space="0" w:color="C0C0C0"/>
              <w:right w:val="single" w:sz="8" w:space="0" w:color="C0C0C0"/>
            </w:tcBorders>
          </w:tcPr>
          <w:p w14:paraId="6061FCDD" w14:textId="77777777" w:rsidR="00D06416" w:rsidRPr="00E11FFB" w:rsidRDefault="00D06416" w:rsidP="003A6DE1">
            <w:pPr>
              <w:ind w:left="15" w:right="15"/>
              <w:jc w:val="both"/>
              <w:rPr>
                <w:rFonts w:ascii="Avenir" w:eastAsia="Arial" w:hAnsi="Avenir" w:cstheme="minorHAnsi"/>
              </w:rPr>
            </w:pPr>
            <w:r w:rsidRPr="00E11FFB">
              <w:rPr>
                <w:rFonts w:ascii="Avenir" w:eastAsia="Arial" w:hAnsi="Avenir" w:cstheme="minorHAnsi"/>
              </w:rPr>
              <w:t xml:space="preserve">Terme de References </w:t>
            </w:r>
          </w:p>
        </w:tc>
      </w:tr>
      <w:tr w:rsidR="00D06416" w:rsidRPr="00E11FFB" w14:paraId="73E01109" w14:textId="77777777" w:rsidTr="00D06416">
        <w:trPr>
          <w:trHeight w:val="20"/>
        </w:trPr>
        <w:tc>
          <w:tcPr>
            <w:tcW w:w="1444" w:type="dxa"/>
            <w:tcBorders>
              <w:top w:val="single" w:sz="8" w:space="0" w:color="C0C0C0"/>
              <w:left w:val="single" w:sz="8" w:space="0" w:color="C0C0C0"/>
              <w:bottom w:val="single" w:sz="8" w:space="0" w:color="C0C0C0"/>
              <w:right w:val="single" w:sz="8" w:space="0" w:color="C0C0C0"/>
            </w:tcBorders>
          </w:tcPr>
          <w:p w14:paraId="559B10C7" w14:textId="77777777" w:rsidR="00D06416" w:rsidRPr="00E11FFB" w:rsidRDefault="00D06416" w:rsidP="003A6DE1">
            <w:pPr>
              <w:rPr>
                <w:rFonts w:ascii="Avenir" w:eastAsia="Arial" w:hAnsi="Avenir" w:cstheme="minorHAnsi"/>
              </w:rPr>
            </w:pPr>
            <w:r w:rsidRPr="00E11FFB">
              <w:rPr>
                <w:rFonts w:ascii="Avenir" w:eastAsia="Avenir" w:hAnsi="Avenir" w:cs="Avenir"/>
                <w:color w:val="000000"/>
              </w:rPr>
              <w:t>UNDG</w:t>
            </w:r>
          </w:p>
        </w:tc>
        <w:tc>
          <w:tcPr>
            <w:tcW w:w="7458" w:type="dxa"/>
            <w:tcBorders>
              <w:top w:val="single" w:sz="8" w:space="0" w:color="C0C0C0"/>
              <w:left w:val="single" w:sz="8" w:space="0" w:color="C0C0C0"/>
              <w:bottom w:val="single" w:sz="8" w:space="0" w:color="C0C0C0"/>
              <w:right w:val="single" w:sz="8" w:space="0" w:color="C0C0C0"/>
            </w:tcBorders>
          </w:tcPr>
          <w:p w14:paraId="38DF9190" w14:textId="77777777" w:rsidR="00D06416" w:rsidRPr="00E11FFB" w:rsidRDefault="00D06416" w:rsidP="003A6DE1">
            <w:pPr>
              <w:ind w:left="15" w:right="15"/>
              <w:jc w:val="both"/>
              <w:rPr>
                <w:rFonts w:ascii="Avenir" w:eastAsia="Arial" w:hAnsi="Avenir" w:cstheme="minorHAnsi"/>
              </w:rPr>
            </w:pPr>
            <w:r w:rsidRPr="00E11FFB">
              <w:rPr>
                <w:rFonts w:ascii="Avenir" w:eastAsia="Arial" w:hAnsi="Avenir" w:cstheme="minorHAnsi"/>
              </w:rPr>
              <w:t xml:space="preserve">United Nations Development Group </w:t>
            </w:r>
          </w:p>
        </w:tc>
      </w:tr>
    </w:tbl>
    <w:p w14:paraId="1C0FE3B8" w14:textId="77777777" w:rsidR="00501361" w:rsidRPr="00E11FFB" w:rsidRDefault="00501361" w:rsidP="00501361">
      <w:pPr>
        <w:rPr>
          <w:rFonts w:ascii="Avenir" w:hAnsi="Avenir" w:cstheme="minorHAnsi"/>
          <w:b/>
          <w:bCs/>
          <w:sz w:val="32"/>
          <w:szCs w:val="32"/>
        </w:rPr>
      </w:pPr>
    </w:p>
    <w:p w14:paraId="04659790" w14:textId="77777777" w:rsidR="00D06416" w:rsidRPr="00E11FFB" w:rsidRDefault="00D06416" w:rsidP="00501361">
      <w:pPr>
        <w:rPr>
          <w:rFonts w:ascii="Avenir" w:hAnsi="Avenir" w:cstheme="minorHAnsi"/>
          <w:b/>
          <w:bCs/>
          <w:sz w:val="32"/>
          <w:szCs w:val="32"/>
        </w:rPr>
      </w:pPr>
    </w:p>
    <w:p w14:paraId="29F1965C" w14:textId="77777777" w:rsidR="00D06416" w:rsidRPr="00E11FFB" w:rsidRDefault="00D06416" w:rsidP="00501361">
      <w:pPr>
        <w:rPr>
          <w:rFonts w:ascii="Avenir" w:hAnsi="Avenir" w:cstheme="minorHAnsi"/>
          <w:b/>
          <w:bCs/>
          <w:sz w:val="32"/>
          <w:szCs w:val="32"/>
        </w:rPr>
      </w:pPr>
    </w:p>
    <w:p w14:paraId="18E4E13C" w14:textId="77777777" w:rsidR="00D06416" w:rsidRPr="00E11FFB" w:rsidRDefault="00D06416" w:rsidP="00501361">
      <w:pPr>
        <w:rPr>
          <w:rFonts w:ascii="Avenir" w:hAnsi="Avenir" w:cstheme="minorHAnsi"/>
          <w:b/>
          <w:bCs/>
          <w:sz w:val="32"/>
          <w:szCs w:val="32"/>
        </w:rPr>
      </w:pPr>
    </w:p>
    <w:p w14:paraId="1157CADA" w14:textId="77777777" w:rsidR="00D06416" w:rsidRPr="00E11FFB" w:rsidRDefault="00D06416" w:rsidP="00501361">
      <w:pPr>
        <w:rPr>
          <w:rFonts w:ascii="Avenir" w:hAnsi="Avenir" w:cstheme="minorHAnsi"/>
          <w:b/>
          <w:bCs/>
          <w:sz w:val="32"/>
          <w:szCs w:val="32"/>
        </w:rPr>
      </w:pPr>
    </w:p>
    <w:p w14:paraId="4283AE4E" w14:textId="77777777" w:rsidR="0024617D" w:rsidRPr="00E11FFB" w:rsidRDefault="0024617D">
      <w:pPr>
        <w:spacing w:after="5" w:line="271" w:lineRule="auto"/>
        <w:ind w:left="20" w:right="28" w:hanging="10"/>
        <w:jc w:val="both"/>
        <w:rPr>
          <w:rFonts w:ascii="Avenir" w:eastAsia="Avenir" w:hAnsi="Avenir" w:cs="Avenir"/>
          <w:color w:val="000000"/>
          <w:sz w:val="21"/>
          <w:szCs w:val="21"/>
        </w:rPr>
      </w:pPr>
    </w:p>
    <w:p w14:paraId="50C2BBAE" w14:textId="77777777" w:rsidR="0024617D" w:rsidRPr="00E11FFB" w:rsidRDefault="0024617D">
      <w:pPr>
        <w:spacing w:after="5" w:line="271" w:lineRule="auto"/>
        <w:ind w:left="20" w:right="28" w:hanging="10"/>
        <w:jc w:val="both"/>
        <w:rPr>
          <w:rFonts w:ascii="Avenir" w:eastAsia="Avenir" w:hAnsi="Avenir" w:cs="Avenir"/>
          <w:color w:val="000000"/>
          <w:sz w:val="21"/>
          <w:szCs w:val="21"/>
        </w:rPr>
      </w:pPr>
    </w:p>
    <w:p w14:paraId="59A6D7C7" w14:textId="77777777" w:rsidR="0024617D" w:rsidRPr="00E11FFB" w:rsidRDefault="0024617D">
      <w:pPr>
        <w:spacing w:after="5" w:line="271" w:lineRule="auto"/>
        <w:ind w:left="20" w:right="28" w:hanging="10"/>
        <w:jc w:val="both"/>
        <w:rPr>
          <w:rFonts w:ascii="Avenir" w:eastAsia="Avenir" w:hAnsi="Avenir" w:cs="Avenir"/>
          <w:color w:val="000000"/>
          <w:sz w:val="21"/>
          <w:szCs w:val="21"/>
        </w:rPr>
      </w:pPr>
    </w:p>
    <w:p w14:paraId="70B0D7C3" w14:textId="77777777" w:rsidR="0024617D" w:rsidRPr="00E11FFB" w:rsidRDefault="0024617D">
      <w:pPr>
        <w:spacing w:after="5" w:line="271" w:lineRule="auto"/>
        <w:ind w:left="20" w:right="28" w:hanging="10"/>
        <w:jc w:val="both"/>
        <w:rPr>
          <w:rFonts w:ascii="Avenir" w:eastAsia="Avenir" w:hAnsi="Avenir" w:cs="Avenir"/>
          <w:color w:val="000000"/>
          <w:sz w:val="21"/>
          <w:szCs w:val="21"/>
        </w:rPr>
      </w:pPr>
    </w:p>
    <w:p w14:paraId="4B525850" w14:textId="77777777" w:rsidR="0024617D" w:rsidRPr="00E11FFB" w:rsidRDefault="0024617D">
      <w:pPr>
        <w:spacing w:after="5" w:line="271" w:lineRule="auto"/>
        <w:ind w:left="20" w:right="28" w:hanging="10"/>
        <w:jc w:val="both"/>
        <w:rPr>
          <w:rFonts w:ascii="Avenir" w:eastAsia="Avenir" w:hAnsi="Avenir" w:cs="Avenir"/>
          <w:color w:val="000000"/>
          <w:sz w:val="21"/>
          <w:szCs w:val="21"/>
        </w:rPr>
      </w:pPr>
    </w:p>
    <w:p w14:paraId="6AE16D25" w14:textId="77777777" w:rsidR="0024617D" w:rsidRPr="00E11FFB" w:rsidRDefault="00C83F85">
      <w:pPr>
        <w:rPr>
          <w:rFonts w:ascii="Avenir" w:eastAsia="Avenir" w:hAnsi="Avenir" w:cs="Avenir"/>
          <w:color w:val="000000"/>
          <w:sz w:val="21"/>
          <w:szCs w:val="21"/>
        </w:rPr>
      </w:pPr>
      <w:r w:rsidRPr="00E11FFB">
        <w:br w:type="page"/>
      </w:r>
    </w:p>
    <w:p w14:paraId="652505B2" w14:textId="77777777" w:rsidR="0024617D" w:rsidRPr="00E11FFB" w:rsidRDefault="00C83F85">
      <w:pPr>
        <w:keepNext/>
        <w:keepLines/>
        <w:pBdr>
          <w:top w:val="nil"/>
          <w:left w:val="nil"/>
          <w:bottom w:val="nil"/>
          <w:right w:val="nil"/>
          <w:between w:val="nil"/>
        </w:pBdr>
        <w:spacing w:before="240"/>
        <w:rPr>
          <w:rFonts w:ascii="Avenir" w:eastAsia="Avenir" w:hAnsi="Avenir" w:cs="Avenir"/>
          <w:color w:val="2F5496"/>
        </w:rPr>
      </w:pPr>
      <w:r w:rsidRPr="00E11FFB">
        <w:rPr>
          <w:rFonts w:ascii="Avenir" w:eastAsia="Avenir" w:hAnsi="Avenir" w:cs="Avenir"/>
          <w:color w:val="2F5496"/>
        </w:rPr>
        <w:t>Table des matières</w:t>
      </w:r>
    </w:p>
    <w:sdt>
      <w:sdtPr>
        <w:rPr>
          <w:rFonts w:ascii="Times New Roman" w:eastAsia="Times New Roman" w:hAnsi="Times New Roman" w:cs="Times New Roman"/>
          <w:color w:val="auto"/>
          <w:sz w:val="24"/>
          <w:szCs w:val="24"/>
          <w:lang w:val="fr-FR" w:eastAsia="en-US"/>
        </w:rPr>
        <w:id w:val="-1175724317"/>
        <w:docPartObj>
          <w:docPartGallery w:val="Table of Contents"/>
          <w:docPartUnique/>
        </w:docPartObj>
      </w:sdtPr>
      <w:sdtEndPr>
        <w:rPr>
          <w:b/>
          <w:bCs/>
        </w:rPr>
      </w:sdtEndPr>
      <w:sdtContent>
        <w:p w14:paraId="001EB4EC" w14:textId="5481C341" w:rsidR="00174FA1" w:rsidRDefault="00174FA1" w:rsidP="00174FA1">
          <w:pPr>
            <w:pStyle w:val="En-ttedetabledesmatires"/>
            <w:spacing w:before="0"/>
          </w:pPr>
          <w:r>
            <w:rPr>
              <w:lang w:val="fr-FR"/>
            </w:rPr>
            <w:t>Table des matières</w:t>
          </w:r>
        </w:p>
        <w:p w14:paraId="133285EE" w14:textId="58B317B8" w:rsidR="00941794" w:rsidRDefault="00174FA1">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r>
            <w:fldChar w:fldCharType="begin"/>
          </w:r>
          <w:r>
            <w:instrText xml:space="preserve"> TOC \o "1-3" \h \z \u </w:instrText>
          </w:r>
          <w:r>
            <w:fldChar w:fldCharType="separate"/>
          </w:r>
          <w:hyperlink w:anchor="_Toc224044701" w:history="1">
            <w:r w:rsidR="00941794" w:rsidRPr="002377F3">
              <w:rPr>
                <w:rStyle w:val="Lienhypertexte"/>
                <w:noProof/>
              </w:rPr>
              <w:t>1.</w:t>
            </w:r>
            <w:r w:rsidR="00941794">
              <w:rPr>
                <w:rFonts w:asciiTheme="minorHAnsi" w:eastAsiaTheme="minorEastAsia" w:hAnsiTheme="minorHAnsi" w:cstheme="minorBidi"/>
                <w:noProof/>
                <w:kern w:val="2"/>
                <w:lang w:eastAsia="fr-CD"/>
                <w14:ligatures w14:val="standardContextual"/>
              </w:rPr>
              <w:tab/>
            </w:r>
            <w:r w:rsidR="00941794" w:rsidRPr="002377F3">
              <w:rPr>
                <w:rStyle w:val="Lienhypertexte"/>
                <w:noProof/>
              </w:rPr>
              <w:t>Données clés du projet</w:t>
            </w:r>
            <w:r w:rsidR="00941794">
              <w:rPr>
                <w:noProof/>
                <w:webHidden/>
              </w:rPr>
              <w:tab/>
            </w:r>
            <w:r w:rsidR="00941794">
              <w:rPr>
                <w:noProof/>
                <w:webHidden/>
              </w:rPr>
              <w:fldChar w:fldCharType="begin"/>
            </w:r>
            <w:r w:rsidR="00941794">
              <w:rPr>
                <w:noProof/>
                <w:webHidden/>
              </w:rPr>
              <w:instrText xml:space="preserve"> PAGEREF _Toc224044701 \h </w:instrText>
            </w:r>
            <w:r w:rsidR="00941794">
              <w:rPr>
                <w:noProof/>
                <w:webHidden/>
              </w:rPr>
            </w:r>
            <w:r w:rsidR="00941794">
              <w:rPr>
                <w:noProof/>
                <w:webHidden/>
              </w:rPr>
              <w:fldChar w:fldCharType="separate"/>
            </w:r>
            <w:r w:rsidR="00941794">
              <w:rPr>
                <w:noProof/>
                <w:webHidden/>
              </w:rPr>
              <w:t>6</w:t>
            </w:r>
            <w:r w:rsidR="00941794">
              <w:rPr>
                <w:noProof/>
                <w:webHidden/>
              </w:rPr>
              <w:fldChar w:fldCharType="end"/>
            </w:r>
          </w:hyperlink>
        </w:p>
        <w:p w14:paraId="1448B8C1" w14:textId="0036C213"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02" w:history="1">
            <w:r w:rsidRPr="002377F3">
              <w:rPr>
                <w:rStyle w:val="Lienhypertexte"/>
                <w:noProof/>
              </w:rPr>
              <w:t>2.</w:t>
            </w:r>
            <w:r>
              <w:rPr>
                <w:rFonts w:asciiTheme="minorHAnsi" w:eastAsiaTheme="minorEastAsia" w:hAnsiTheme="minorHAnsi" w:cstheme="minorBidi"/>
                <w:noProof/>
                <w:kern w:val="2"/>
                <w:lang w:eastAsia="fr-CD"/>
                <w14:ligatures w14:val="standardContextual"/>
              </w:rPr>
              <w:tab/>
            </w:r>
            <w:r w:rsidRPr="002377F3">
              <w:rPr>
                <w:rStyle w:val="Lienhypertexte"/>
                <w:noProof/>
              </w:rPr>
              <w:t>Résumé des progrès réalisés par le projet</w:t>
            </w:r>
            <w:r>
              <w:rPr>
                <w:noProof/>
                <w:webHidden/>
              </w:rPr>
              <w:tab/>
            </w:r>
            <w:r>
              <w:rPr>
                <w:noProof/>
                <w:webHidden/>
              </w:rPr>
              <w:fldChar w:fldCharType="begin"/>
            </w:r>
            <w:r>
              <w:rPr>
                <w:noProof/>
                <w:webHidden/>
              </w:rPr>
              <w:instrText xml:space="preserve"> PAGEREF _Toc224044702 \h </w:instrText>
            </w:r>
            <w:r>
              <w:rPr>
                <w:noProof/>
                <w:webHidden/>
              </w:rPr>
            </w:r>
            <w:r>
              <w:rPr>
                <w:noProof/>
                <w:webHidden/>
              </w:rPr>
              <w:fldChar w:fldCharType="separate"/>
            </w:r>
            <w:r>
              <w:rPr>
                <w:noProof/>
                <w:webHidden/>
              </w:rPr>
              <w:t>8</w:t>
            </w:r>
            <w:r>
              <w:rPr>
                <w:noProof/>
                <w:webHidden/>
              </w:rPr>
              <w:fldChar w:fldCharType="end"/>
            </w:r>
          </w:hyperlink>
        </w:p>
        <w:p w14:paraId="44E48DEB" w14:textId="1614B9A7"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03" w:history="1">
            <w:r w:rsidRPr="002377F3">
              <w:rPr>
                <w:rStyle w:val="Lienhypertexte"/>
                <w:noProof/>
              </w:rPr>
              <w:t>3.</w:t>
            </w:r>
            <w:r>
              <w:rPr>
                <w:rFonts w:asciiTheme="minorHAnsi" w:eastAsiaTheme="minorEastAsia" w:hAnsiTheme="minorHAnsi" w:cstheme="minorBidi"/>
                <w:noProof/>
                <w:kern w:val="2"/>
                <w:lang w:eastAsia="fr-CD"/>
                <w14:ligatures w14:val="standardContextual"/>
              </w:rPr>
              <w:tab/>
            </w:r>
            <w:r w:rsidRPr="002377F3">
              <w:rPr>
                <w:rStyle w:val="Lienhypertexte"/>
                <w:noProof/>
              </w:rPr>
              <w:t>Défis de mise en œuvre</w:t>
            </w:r>
            <w:r>
              <w:rPr>
                <w:noProof/>
                <w:webHidden/>
              </w:rPr>
              <w:tab/>
            </w:r>
            <w:r>
              <w:rPr>
                <w:noProof/>
                <w:webHidden/>
              </w:rPr>
              <w:fldChar w:fldCharType="begin"/>
            </w:r>
            <w:r>
              <w:rPr>
                <w:noProof/>
                <w:webHidden/>
              </w:rPr>
              <w:instrText xml:space="preserve"> PAGEREF _Toc224044703 \h </w:instrText>
            </w:r>
            <w:r>
              <w:rPr>
                <w:noProof/>
                <w:webHidden/>
              </w:rPr>
            </w:r>
            <w:r>
              <w:rPr>
                <w:noProof/>
                <w:webHidden/>
              </w:rPr>
              <w:fldChar w:fldCharType="separate"/>
            </w:r>
            <w:r>
              <w:rPr>
                <w:noProof/>
                <w:webHidden/>
              </w:rPr>
              <w:t>12</w:t>
            </w:r>
            <w:r>
              <w:rPr>
                <w:noProof/>
                <w:webHidden/>
              </w:rPr>
              <w:fldChar w:fldCharType="end"/>
            </w:r>
          </w:hyperlink>
        </w:p>
        <w:p w14:paraId="0F2546FE" w14:textId="3F310297" w:rsidR="00941794" w:rsidRDefault="00941794">
          <w:pPr>
            <w:pStyle w:val="TM2"/>
            <w:tabs>
              <w:tab w:val="left" w:pos="960"/>
              <w:tab w:val="right" w:leader="dot" w:pos="8751"/>
            </w:tabs>
            <w:rPr>
              <w:rFonts w:asciiTheme="minorHAnsi" w:eastAsiaTheme="minorEastAsia" w:hAnsiTheme="minorHAnsi" w:cstheme="minorBidi"/>
              <w:noProof/>
              <w:kern w:val="2"/>
              <w:lang w:eastAsia="fr-CD"/>
              <w14:ligatures w14:val="standardContextual"/>
            </w:rPr>
          </w:pPr>
          <w:hyperlink w:anchor="_Toc224044704" w:history="1">
            <w:r w:rsidRPr="002377F3">
              <w:rPr>
                <w:rStyle w:val="Lienhypertexte"/>
                <w:noProof/>
              </w:rPr>
              <w:t>3.1</w:t>
            </w:r>
            <w:r>
              <w:rPr>
                <w:rFonts w:asciiTheme="minorHAnsi" w:eastAsiaTheme="minorEastAsia" w:hAnsiTheme="minorHAnsi" w:cstheme="minorBidi"/>
                <w:noProof/>
                <w:kern w:val="2"/>
                <w:lang w:eastAsia="fr-CD"/>
                <w14:ligatures w14:val="standardContextual"/>
              </w:rPr>
              <w:tab/>
            </w:r>
            <w:r w:rsidRPr="002377F3">
              <w:rPr>
                <w:rStyle w:val="Lienhypertexte"/>
                <w:noProof/>
              </w:rPr>
              <w:t>Défis liés au contexte du pays</w:t>
            </w:r>
            <w:r>
              <w:rPr>
                <w:noProof/>
                <w:webHidden/>
              </w:rPr>
              <w:tab/>
            </w:r>
            <w:r>
              <w:rPr>
                <w:noProof/>
                <w:webHidden/>
              </w:rPr>
              <w:fldChar w:fldCharType="begin"/>
            </w:r>
            <w:r>
              <w:rPr>
                <w:noProof/>
                <w:webHidden/>
              </w:rPr>
              <w:instrText xml:space="preserve"> PAGEREF _Toc224044704 \h </w:instrText>
            </w:r>
            <w:r>
              <w:rPr>
                <w:noProof/>
                <w:webHidden/>
              </w:rPr>
            </w:r>
            <w:r>
              <w:rPr>
                <w:noProof/>
                <w:webHidden/>
              </w:rPr>
              <w:fldChar w:fldCharType="separate"/>
            </w:r>
            <w:r>
              <w:rPr>
                <w:noProof/>
                <w:webHidden/>
              </w:rPr>
              <w:t>12</w:t>
            </w:r>
            <w:r>
              <w:rPr>
                <w:noProof/>
                <w:webHidden/>
              </w:rPr>
              <w:fldChar w:fldCharType="end"/>
            </w:r>
          </w:hyperlink>
        </w:p>
        <w:p w14:paraId="242130DA" w14:textId="061E16B3"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05" w:history="1">
            <w:r w:rsidRPr="002377F3">
              <w:rPr>
                <w:rStyle w:val="Lienhypertexte"/>
                <w:noProof/>
              </w:rPr>
              <w:t>3.2 Défis inhérents au projet</w:t>
            </w:r>
            <w:r>
              <w:rPr>
                <w:noProof/>
                <w:webHidden/>
              </w:rPr>
              <w:tab/>
            </w:r>
            <w:r>
              <w:rPr>
                <w:noProof/>
                <w:webHidden/>
              </w:rPr>
              <w:fldChar w:fldCharType="begin"/>
            </w:r>
            <w:r>
              <w:rPr>
                <w:noProof/>
                <w:webHidden/>
              </w:rPr>
              <w:instrText xml:space="preserve"> PAGEREF _Toc224044705 \h </w:instrText>
            </w:r>
            <w:r>
              <w:rPr>
                <w:noProof/>
                <w:webHidden/>
              </w:rPr>
            </w:r>
            <w:r>
              <w:rPr>
                <w:noProof/>
                <w:webHidden/>
              </w:rPr>
              <w:fldChar w:fldCharType="separate"/>
            </w:r>
            <w:r>
              <w:rPr>
                <w:noProof/>
                <w:webHidden/>
              </w:rPr>
              <w:t>12</w:t>
            </w:r>
            <w:r>
              <w:rPr>
                <w:noProof/>
                <w:webHidden/>
              </w:rPr>
              <w:fldChar w:fldCharType="end"/>
            </w:r>
          </w:hyperlink>
        </w:p>
        <w:p w14:paraId="285BE5FA" w14:textId="46148553"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06" w:history="1">
            <w:r w:rsidRPr="002377F3">
              <w:rPr>
                <w:rStyle w:val="Lienhypertexte"/>
                <w:noProof/>
              </w:rPr>
              <w:t>3.3 Commentaires</w:t>
            </w:r>
            <w:r>
              <w:rPr>
                <w:noProof/>
                <w:webHidden/>
              </w:rPr>
              <w:tab/>
            </w:r>
            <w:r>
              <w:rPr>
                <w:noProof/>
                <w:webHidden/>
              </w:rPr>
              <w:fldChar w:fldCharType="begin"/>
            </w:r>
            <w:r>
              <w:rPr>
                <w:noProof/>
                <w:webHidden/>
              </w:rPr>
              <w:instrText xml:space="preserve"> PAGEREF _Toc224044706 \h </w:instrText>
            </w:r>
            <w:r>
              <w:rPr>
                <w:noProof/>
                <w:webHidden/>
              </w:rPr>
            </w:r>
            <w:r>
              <w:rPr>
                <w:noProof/>
                <w:webHidden/>
              </w:rPr>
              <w:fldChar w:fldCharType="separate"/>
            </w:r>
            <w:r>
              <w:rPr>
                <w:noProof/>
                <w:webHidden/>
              </w:rPr>
              <w:t>13</w:t>
            </w:r>
            <w:r>
              <w:rPr>
                <w:noProof/>
                <w:webHidden/>
              </w:rPr>
              <w:fldChar w:fldCharType="end"/>
            </w:r>
          </w:hyperlink>
        </w:p>
        <w:p w14:paraId="689265EF" w14:textId="1DA7FB60"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07" w:history="1">
            <w:r w:rsidRPr="002377F3">
              <w:rPr>
                <w:rStyle w:val="Lienhypertexte"/>
                <w:noProof/>
              </w:rPr>
              <w:t>4.</w:t>
            </w:r>
            <w:r>
              <w:rPr>
                <w:rFonts w:asciiTheme="minorHAnsi" w:eastAsiaTheme="minorEastAsia" w:hAnsiTheme="minorHAnsi" w:cstheme="minorBidi"/>
                <w:noProof/>
                <w:kern w:val="2"/>
                <w:lang w:eastAsia="fr-CD"/>
                <w14:ligatures w14:val="standardContextual"/>
              </w:rPr>
              <w:tab/>
            </w:r>
            <w:r w:rsidRPr="002377F3">
              <w:rPr>
                <w:rStyle w:val="Lienhypertexte"/>
                <w:noProof/>
              </w:rPr>
              <w:t>Evaluation de la performance du projet</w:t>
            </w:r>
            <w:r>
              <w:rPr>
                <w:noProof/>
                <w:webHidden/>
              </w:rPr>
              <w:tab/>
            </w:r>
            <w:r>
              <w:rPr>
                <w:noProof/>
                <w:webHidden/>
              </w:rPr>
              <w:fldChar w:fldCharType="begin"/>
            </w:r>
            <w:r>
              <w:rPr>
                <w:noProof/>
                <w:webHidden/>
              </w:rPr>
              <w:instrText xml:space="preserve"> PAGEREF _Toc224044707 \h </w:instrText>
            </w:r>
            <w:r>
              <w:rPr>
                <w:noProof/>
                <w:webHidden/>
              </w:rPr>
            </w:r>
            <w:r>
              <w:rPr>
                <w:noProof/>
                <w:webHidden/>
              </w:rPr>
              <w:fldChar w:fldCharType="separate"/>
            </w:r>
            <w:r>
              <w:rPr>
                <w:noProof/>
                <w:webHidden/>
              </w:rPr>
              <w:t>0</w:t>
            </w:r>
            <w:r>
              <w:rPr>
                <w:noProof/>
                <w:webHidden/>
              </w:rPr>
              <w:fldChar w:fldCharType="end"/>
            </w:r>
          </w:hyperlink>
        </w:p>
        <w:p w14:paraId="535D71EB" w14:textId="0EBB3917"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08" w:history="1">
            <w:r w:rsidRPr="002377F3">
              <w:rPr>
                <w:rStyle w:val="Lienhypertexte"/>
                <w:noProof/>
              </w:rPr>
              <w:t>4.1 Evaluation de la performance du projet sur base des indicateurs du cadre logique</w:t>
            </w:r>
            <w:r>
              <w:rPr>
                <w:noProof/>
                <w:webHidden/>
              </w:rPr>
              <w:tab/>
            </w:r>
            <w:r>
              <w:rPr>
                <w:noProof/>
                <w:webHidden/>
              </w:rPr>
              <w:fldChar w:fldCharType="begin"/>
            </w:r>
            <w:r>
              <w:rPr>
                <w:noProof/>
                <w:webHidden/>
              </w:rPr>
              <w:instrText xml:space="preserve"> PAGEREF _Toc224044708 \h </w:instrText>
            </w:r>
            <w:r>
              <w:rPr>
                <w:noProof/>
                <w:webHidden/>
              </w:rPr>
            </w:r>
            <w:r>
              <w:rPr>
                <w:noProof/>
                <w:webHidden/>
              </w:rPr>
              <w:fldChar w:fldCharType="separate"/>
            </w:r>
            <w:r>
              <w:rPr>
                <w:noProof/>
                <w:webHidden/>
              </w:rPr>
              <w:t>0</w:t>
            </w:r>
            <w:r>
              <w:rPr>
                <w:noProof/>
                <w:webHidden/>
              </w:rPr>
              <w:fldChar w:fldCharType="end"/>
            </w:r>
          </w:hyperlink>
        </w:p>
        <w:p w14:paraId="42E81405" w14:textId="27B6A261"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09" w:history="1">
            <w:r w:rsidRPr="002377F3">
              <w:rPr>
                <w:rStyle w:val="Lienhypertexte"/>
                <w:noProof/>
              </w:rPr>
              <w:t>4.2 Etat d’avancement de mise en œuvre des activités du projet pour la période de rapportage</w:t>
            </w:r>
            <w:r>
              <w:rPr>
                <w:noProof/>
                <w:webHidden/>
              </w:rPr>
              <w:tab/>
            </w:r>
            <w:r>
              <w:rPr>
                <w:noProof/>
                <w:webHidden/>
              </w:rPr>
              <w:fldChar w:fldCharType="begin"/>
            </w:r>
            <w:r>
              <w:rPr>
                <w:noProof/>
                <w:webHidden/>
              </w:rPr>
              <w:instrText xml:space="preserve"> PAGEREF _Toc224044709 \h </w:instrText>
            </w:r>
            <w:r>
              <w:rPr>
                <w:noProof/>
                <w:webHidden/>
              </w:rPr>
            </w:r>
            <w:r>
              <w:rPr>
                <w:noProof/>
                <w:webHidden/>
              </w:rPr>
              <w:fldChar w:fldCharType="separate"/>
            </w:r>
            <w:r>
              <w:rPr>
                <w:noProof/>
                <w:webHidden/>
              </w:rPr>
              <w:t>27</w:t>
            </w:r>
            <w:r>
              <w:rPr>
                <w:noProof/>
                <w:webHidden/>
              </w:rPr>
              <w:fldChar w:fldCharType="end"/>
            </w:r>
          </w:hyperlink>
        </w:p>
        <w:p w14:paraId="5C54E0E0" w14:textId="639A9DA1"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10" w:history="1">
            <w:r w:rsidRPr="002377F3">
              <w:rPr>
                <w:rStyle w:val="Lienhypertexte"/>
                <w:noProof/>
              </w:rPr>
              <w:t>5.</w:t>
            </w:r>
            <w:r>
              <w:rPr>
                <w:rFonts w:asciiTheme="minorHAnsi" w:eastAsiaTheme="minorEastAsia" w:hAnsiTheme="minorHAnsi" w:cstheme="minorBidi"/>
                <w:noProof/>
                <w:kern w:val="2"/>
                <w:lang w:eastAsia="fr-CD"/>
                <w14:ligatures w14:val="standardContextual"/>
              </w:rPr>
              <w:tab/>
            </w:r>
            <w:r w:rsidRPr="002377F3">
              <w:rPr>
                <w:rStyle w:val="Lienhypertexte"/>
                <w:noProof/>
              </w:rPr>
              <w:t>Résultats du Projet</w:t>
            </w:r>
            <w:r>
              <w:rPr>
                <w:noProof/>
                <w:webHidden/>
              </w:rPr>
              <w:tab/>
            </w:r>
            <w:r>
              <w:rPr>
                <w:noProof/>
                <w:webHidden/>
              </w:rPr>
              <w:fldChar w:fldCharType="begin"/>
            </w:r>
            <w:r>
              <w:rPr>
                <w:noProof/>
                <w:webHidden/>
              </w:rPr>
              <w:instrText xml:space="preserve"> PAGEREF _Toc224044710 \h </w:instrText>
            </w:r>
            <w:r>
              <w:rPr>
                <w:noProof/>
                <w:webHidden/>
              </w:rPr>
            </w:r>
            <w:r>
              <w:rPr>
                <w:noProof/>
                <w:webHidden/>
              </w:rPr>
              <w:fldChar w:fldCharType="separate"/>
            </w:r>
            <w:r>
              <w:rPr>
                <w:noProof/>
                <w:webHidden/>
              </w:rPr>
              <w:t>0</w:t>
            </w:r>
            <w:r>
              <w:rPr>
                <w:noProof/>
                <w:webHidden/>
              </w:rPr>
              <w:fldChar w:fldCharType="end"/>
            </w:r>
          </w:hyperlink>
        </w:p>
        <w:p w14:paraId="3F43E224" w14:textId="759B9506"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1" w:history="1">
            <w:r w:rsidRPr="002377F3">
              <w:rPr>
                <w:rStyle w:val="Lienhypertexte"/>
                <w:noProof/>
              </w:rPr>
              <w:t>5.1 Contributions du projet à l’atteinte des indicateurs du cadre de résultats de CAFI</w:t>
            </w:r>
            <w:r>
              <w:rPr>
                <w:noProof/>
                <w:webHidden/>
              </w:rPr>
              <w:tab/>
            </w:r>
            <w:r>
              <w:rPr>
                <w:noProof/>
                <w:webHidden/>
              </w:rPr>
              <w:fldChar w:fldCharType="begin"/>
            </w:r>
            <w:r>
              <w:rPr>
                <w:noProof/>
                <w:webHidden/>
              </w:rPr>
              <w:instrText xml:space="preserve"> PAGEREF _Toc224044711 \h </w:instrText>
            </w:r>
            <w:r>
              <w:rPr>
                <w:noProof/>
                <w:webHidden/>
              </w:rPr>
            </w:r>
            <w:r>
              <w:rPr>
                <w:noProof/>
                <w:webHidden/>
              </w:rPr>
              <w:fldChar w:fldCharType="separate"/>
            </w:r>
            <w:r>
              <w:rPr>
                <w:noProof/>
                <w:webHidden/>
              </w:rPr>
              <w:t>0</w:t>
            </w:r>
            <w:r>
              <w:rPr>
                <w:noProof/>
                <w:webHidden/>
              </w:rPr>
              <w:fldChar w:fldCharType="end"/>
            </w:r>
          </w:hyperlink>
        </w:p>
        <w:p w14:paraId="2A476715" w14:textId="5E470E6B"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2" w:history="1">
            <w:r w:rsidRPr="002377F3">
              <w:rPr>
                <w:rStyle w:val="Lienhypertexte"/>
                <w:noProof/>
              </w:rPr>
              <w:t>5.2 Contributions du projet à l’atteinte des jalons de la Lettre d’intention</w:t>
            </w:r>
            <w:r>
              <w:rPr>
                <w:noProof/>
                <w:webHidden/>
              </w:rPr>
              <w:tab/>
            </w:r>
            <w:r>
              <w:rPr>
                <w:noProof/>
                <w:webHidden/>
              </w:rPr>
              <w:fldChar w:fldCharType="begin"/>
            </w:r>
            <w:r>
              <w:rPr>
                <w:noProof/>
                <w:webHidden/>
              </w:rPr>
              <w:instrText xml:space="preserve"> PAGEREF _Toc224044712 \h </w:instrText>
            </w:r>
            <w:r>
              <w:rPr>
                <w:noProof/>
                <w:webHidden/>
              </w:rPr>
            </w:r>
            <w:r>
              <w:rPr>
                <w:noProof/>
                <w:webHidden/>
              </w:rPr>
              <w:fldChar w:fldCharType="separate"/>
            </w:r>
            <w:r>
              <w:rPr>
                <w:noProof/>
                <w:webHidden/>
              </w:rPr>
              <w:t>1</w:t>
            </w:r>
            <w:r>
              <w:rPr>
                <w:noProof/>
                <w:webHidden/>
              </w:rPr>
              <w:fldChar w:fldCharType="end"/>
            </w:r>
          </w:hyperlink>
        </w:p>
        <w:p w14:paraId="104A489B" w14:textId="2AB13708"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13" w:history="1">
            <w:r w:rsidRPr="002377F3">
              <w:rPr>
                <w:rStyle w:val="Lienhypertexte"/>
                <w:noProof/>
              </w:rPr>
              <w:t>6.</w:t>
            </w:r>
            <w:r>
              <w:rPr>
                <w:rFonts w:asciiTheme="minorHAnsi" w:eastAsiaTheme="minorEastAsia" w:hAnsiTheme="minorHAnsi" w:cstheme="minorBidi"/>
                <w:noProof/>
                <w:kern w:val="2"/>
                <w:lang w:eastAsia="fr-CD"/>
                <w14:ligatures w14:val="standardContextual"/>
              </w:rPr>
              <w:tab/>
            </w:r>
            <w:r w:rsidRPr="002377F3">
              <w:rPr>
                <w:rStyle w:val="Lienhypertexte"/>
                <w:noProof/>
              </w:rPr>
              <w:t>Communication et promotion</w:t>
            </w:r>
            <w:r>
              <w:rPr>
                <w:noProof/>
                <w:webHidden/>
              </w:rPr>
              <w:tab/>
            </w:r>
            <w:r>
              <w:rPr>
                <w:noProof/>
                <w:webHidden/>
              </w:rPr>
              <w:fldChar w:fldCharType="begin"/>
            </w:r>
            <w:r>
              <w:rPr>
                <w:noProof/>
                <w:webHidden/>
              </w:rPr>
              <w:instrText xml:space="preserve"> PAGEREF _Toc224044713 \h </w:instrText>
            </w:r>
            <w:r>
              <w:rPr>
                <w:noProof/>
                <w:webHidden/>
              </w:rPr>
            </w:r>
            <w:r>
              <w:rPr>
                <w:noProof/>
                <w:webHidden/>
              </w:rPr>
              <w:fldChar w:fldCharType="separate"/>
            </w:r>
            <w:r>
              <w:rPr>
                <w:noProof/>
                <w:webHidden/>
              </w:rPr>
              <w:t>9</w:t>
            </w:r>
            <w:r>
              <w:rPr>
                <w:noProof/>
                <w:webHidden/>
              </w:rPr>
              <w:fldChar w:fldCharType="end"/>
            </w:r>
          </w:hyperlink>
        </w:p>
        <w:p w14:paraId="0CD009B9" w14:textId="68D0BBCC"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4" w:history="1">
            <w:r w:rsidRPr="002377F3">
              <w:rPr>
                <w:rStyle w:val="Lienhypertexte"/>
                <w:noProof/>
              </w:rPr>
              <w:t>6.1 Illustration spécifique – Photos et vidéos HD</w:t>
            </w:r>
            <w:r>
              <w:rPr>
                <w:noProof/>
                <w:webHidden/>
              </w:rPr>
              <w:tab/>
            </w:r>
            <w:r>
              <w:rPr>
                <w:noProof/>
                <w:webHidden/>
              </w:rPr>
              <w:fldChar w:fldCharType="begin"/>
            </w:r>
            <w:r>
              <w:rPr>
                <w:noProof/>
                <w:webHidden/>
              </w:rPr>
              <w:instrText xml:space="preserve"> PAGEREF _Toc224044714 \h </w:instrText>
            </w:r>
            <w:r>
              <w:rPr>
                <w:noProof/>
                <w:webHidden/>
              </w:rPr>
            </w:r>
            <w:r>
              <w:rPr>
                <w:noProof/>
                <w:webHidden/>
              </w:rPr>
              <w:fldChar w:fldCharType="separate"/>
            </w:r>
            <w:r>
              <w:rPr>
                <w:noProof/>
                <w:webHidden/>
              </w:rPr>
              <w:t>9</w:t>
            </w:r>
            <w:r>
              <w:rPr>
                <w:noProof/>
                <w:webHidden/>
              </w:rPr>
              <w:fldChar w:fldCharType="end"/>
            </w:r>
          </w:hyperlink>
        </w:p>
        <w:p w14:paraId="2411C684" w14:textId="5B3D3ABC"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5" w:history="1">
            <w:r w:rsidRPr="002377F3">
              <w:rPr>
                <w:rStyle w:val="Lienhypertexte"/>
                <w:noProof/>
              </w:rPr>
              <w:t>6.2 Stratégie et plan de communication</w:t>
            </w:r>
            <w:r>
              <w:rPr>
                <w:noProof/>
                <w:webHidden/>
              </w:rPr>
              <w:tab/>
            </w:r>
            <w:r>
              <w:rPr>
                <w:noProof/>
                <w:webHidden/>
              </w:rPr>
              <w:fldChar w:fldCharType="begin"/>
            </w:r>
            <w:r>
              <w:rPr>
                <w:noProof/>
                <w:webHidden/>
              </w:rPr>
              <w:instrText xml:space="preserve"> PAGEREF _Toc224044715 \h </w:instrText>
            </w:r>
            <w:r>
              <w:rPr>
                <w:noProof/>
                <w:webHidden/>
              </w:rPr>
            </w:r>
            <w:r>
              <w:rPr>
                <w:noProof/>
                <w:webHidden/>
              </w:rPr>
              <w:fldChar w:fldCharType="separate"/>
            </w:r>
            <w:r>
              <w:rPr>
                <w:noProof/>
                <w:webHidden/>
              </w:rPr>
              <w:t>11</w:t>
            </w:r>
            <w:r>
              <w:rPr>
                <w:noProof/>
                <w:webHidden/>
              </w:rPr>
              <w:fldChar w:fldCharType="end"/>
            </w:r>
          </w:hyperlink>
        </w:p>
        <w:p w14:paraId="58F9744B" w14:textId="2F56EAA5"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16" w:history="1">
            <w:r w:rsidRPr="002377F3">
              <w:rPr>
                <w:rStyle w:val="Lienhypertexte"/>
                <w:noProof/>
              </w:rPr>
              <w:t>7.</w:t>
            </w:r>
            <w:r>
              <w:rPr>
                <w:rFonts w:asciiTheme="minorHAnsi" w:eastAsiaTheme="minorEastAsia" w:hAnsiTheme="minorHAnsi" w:cstheme="minorBidi"/>
                <w:noProof/>
                <w:kern w:val="2"/>
                <w:lang w:eastAsia="fr-CD"/>
                <w14:ligatures w14:val="standardContextual"/>
              </w:rPr>
              <w:tab/>
            </w:r>
            <w:r w:rsidRPr="002377F3">
              <w:rPr>
                <w:rStyle w:val="Lienhypertexte"/>
                <w:noProof/>
              </w:rPr>
              <w:t>Exécution financière</w:t>
            </w:r>
            <w:r>
              <w:rPr>
                <w:noProof/>
                <w:webHidden/>
              </w:rPr>
              <w:tab/>
            </w:r>
            <w:r>
              <w:rPr>
                <w:noProof/>
                <w:webHidden/>
              </w:rPr>
              <w:fldChar w:fldCharType="begin"/>
            </w:r>
            <w:r>
              <w:rPr>
                <w:noProof/>
                <w:webHidden/>
              </w:rPr>
              <w:instrText xml:space="preserve"> PAGEREF _Toc224044716 \h </w:instrText>
            </w:r>
            <w:r>
              <w:rPr>
                <w:noProof/>
                <w:webHidden/>
              </w:rPr>
            </w:r>
            <w:r>
              <w:rPr>
                <w:noProof/>
                <w:webHidden/>
              </w:rPr>
              <w:fldChar w:fldCharType="separate"/>
            </w:r>
            <w:r>
              <w:rPr>
                <w:noProof/>
                <w:webHidden/>
              </w:rPr>
              <w:t>13</w:t>
            </w:r>
            <w:r>
              <w:rPr>
                <w:noProof/>
                <w:webHidden/>
              </w:rPr>
              <w:fldChar w:fldCharType="end"/>
            </w:r>
          </w:hyperlink>
        </w:p>
        <w:p w14:paraId="74EF3FE1" w14:textId="73811AEB"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7" w:history="1">
            <w:r w:rsidRPr="002377F3">
              <w:rPr>
                <w:rStyle w:val="Lienhypertexte"/>
                <w:noProof/>
              </w:rPr>
              <w:t>7.1 Décaissements</w:t>
            </w:r>
            <w:r>
              <w:rPr>
                <w:noProof/>
                <w:webHidden/>
              </w:rPr>
              <w:tab/>
            </w:r>
            <w:r>
              <w:rPr>
                <w:noProof/>
                <w:webHidden/>
              </w:rPr>
              <w:fldChar w:fldCharType="begin"/>
            </w:r>
            <w:r>
              <w:rPr>
                <w:noProof/>
                <w:webHidden/>
              </w:rPr>
              <w:instrText xml:space="preserve"> PAGEREF _Toc224044717 \h </w:instrText>
            </w:r>
            <w:r>
              <w:rPr>
                <w:noProof/>
                <w:webHidden/>
              </w:rPr>
            </w:r>
            <w:r>
              <w:rPr>
                <w:noProof/>
                <w:webHidden/>
              </w:rPr>
              <w:fldChar w:fldCharType="separate"/>
            </w:r>
            <w:r>
              <w:rPr>
                <w:noProof/>
                <w:webHidden/>
              </w:rPr>
              <w:t>13</w:t>
            </w:r>
            <w:r>
              <w:rPr>
                <w:noProof/>
                <w:webHidden/>
              </w:rPr>
              <w:fldChar w:fldCharType="end"/>
            </w:r>
          </w:hyperlink>
        </w:p>
        <w:p w14:paraId="19728464" w14:textId="079D1DF8"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8" w:history="1">
            <w:r w:rsidRPr="002377F3">
              <w:rPr>
                <w:rStyle w:val="Lienhypertexte"/>
                <w:noProof/>
              </w:rPr>
              <w:t>7.2 Suivi des Contrats</w:t>
            </w:r>
            <w:r>
              <w:rPr>
                <w:noProof/>
                <w:webHidden/>
              </w:rPr>
              <w:tab/>
            </w:r>
            <w:r>
              <w:rPr>
                <w:noProof/>
                <w:webHidden/>
              </w:rPr>
              <w:fldChar w:fldCharType="begin"/>
            </w:r>
            <w:r>
              <w:rPr>
                <w:noProof/>
                <w:webHidden/>
              </w:rPr>
              <w:instrText xml:space="preserve"> PAGEREF _Toc224044718 \h </w:instrText>
            </w:r>
            <w:r>
              <w:rPr>
                <w:noProof/>
                <w:webHidden/>
              </w:rPr>
            </w:r>
            <w:r>
              <w:rPr>
                <w:noProof/>
                <w:webHidden/>
              </w:rPr>
              <w:fldChar w:fldCharType="separate"/>
            </w:r>
            <w:r>
              <w:rPr>
                <w:noProof/>
                <w:webHidden/>
              </w:rPr>
              <w:t>24</w:t>
            </w:r>
            <w:r>
              <w:rPr>
                <w:noProof/>
                <w:webHidden/>
              </w:rPr>
              <w:fldChar w:fldCharType="end"/>
            </w:r>
          </w:hyperlink>
        </w:p>
        <w:p w14:paraId="594DA84C" w14:textId="7C7FBB7A"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19" w:history="1">
            <w:r w:rsidRPr="002377F3">
              <w:rPr>
                <w:rStyle w:val="Lienhypertexte"/>
                <w:noProof/>
              </w:rPr>
              <w:t>7.3 Gestion financière, approvisionnement et ressources humaines</w:t>
            </w:r>
            <w:r>
              <w:rPr>
                <w:noProof/>
                <w:webHidden/>
              </w:rPr>
              <w:tab/>
            </w:r>
            <w:r>
              <w:rPr>
                <w:noProof/>
                <w:webHidden/>
              </w:rPr>
              <w:fldChar w:fldCharType="begin"/>
            </w:r>
            <w:r>
              <w:rPr>
                <w:noProof/>
                <w:webHidden/>
              </w:rPr>
              <w:instrText xml:space="preserve"> PAGEREF _Toc224044719 \h </w:instrText>
            </w:r>
            <w:r>
              <w:rPr>
                <w:noProof/>
                <w:webHidden/>
              </w:rPr>
            </w:r>
            <w:r>
              <w:rPr>
                <w:noProof/>
                <w:webHidden/>
              </w:rPr>
              <w:fldChar w:fldCharType="separate"/>
            </w:r>
            <w:r>
              <w:rPr>
                <w:noProof/>
                <w:webHidden/>
              </w:rPr>
              <w:t>24</w:t>
            </w:r>
            <w:r>
              <w:rPr>
                <w:noProof/>
                <w:webHidden/>
              </w:rPr>
              <w:fldChar w:fldCharType="end"/>
            </w:r>
          </w:hyperlink>
        </w:p>
        <w:p w14:paraId="133E5FC0" w14:textId="2DD172A1"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0" w:history="1">
            <w:r w:rsidRPr="002377F3">
              <w:rPr>
                <w:rStyle w:val="Lienhypertexte"/>
                <w:noProof/>
              </w:rPr>
              <w:t>7.4 Mobilisation de ressources</w:t>
            </w:r>
            <w:r>
              <w:rPr>
                <w:noProof/>
                <w:webHidden/>
              </w:rPr>
              <w:tab/>
            </w:r>
            <w:r>
              <w:rPr>
                <w:noProof/>
                <w:webHidden/>
              </w:rPr>
              <w:fldChar w:fldCharType="begin"/>
            </w:r>
            <w:r>
              <w:rPr>
                <w:noProof/>
                <w:webHidden/>
              </w:rPr>
              <w:instrText xml:space="preserve"> PAGEREF _Toc224044720 \h </w:instrText>
            </w:r>
            <w:r>
              <w:rPr>
                <w:noProof/>
                <w:webHidden/>
              </w:rPr>
            </w:r>
            <w:r>
              <w:rPr>
                <w:noProof/>
                <w:webHidden/>
              </w:rPr>
              <w:fldChar w:fldCharType="separate"/>
            </w:r>
            <w:r>
              <w:rPr>
                <w:noProof/>
                <w:webHidden/>
              </w:rPr>
              <w:t>25</w:t>
            </w:r>
            <w:r>
              <w:rPr>
                <w:noProof/>
                <w:webHidden/>
              </w:rPr>
              <w:fldChar w:fldCharType="end"/>
            </w:r>
          </w:hyperlink>
        </w:p>
        <w:p w14:paraId="5AEC110E" w14:textId="1D3DDC52"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1" w:history="1">
            <w:r w:rsidRPr="002377F3">
              <w:rPr>
                <w:rStyle w:val="Lienhypertexte"/>
                <w:noProof/>
              </w:rPr>
              <w:t>7.5 Audits</w:t>
            </w:r>
            <w:r>
              <w:rPr>
                <w:noProof/>
                <w:webHidden/>
              </w:rPr>
              <w:tab/>
            </w:r>
            <w:r>
              <w:rPr>
                <w:noProof/>
                <w:webHidden/>
              </w:rPr>
              <w:fldChar w:fldCharType="begin"/>
            </w:r>
            <w:r>
              <w:rPr>
                <w:noProof/>
                <w:webHidden/>
              </w:rPr>
              <w:instrText xml:space="preserve"> PAGEREF _Toc224044721 \h </w:instrText>
            </w:r>
            <w:r>
              <w:rPr>
                <w:noProof/>
                <w:webHidden/>
              </w:rPr>
            </w:r>
            <w:r>
              <w:rPr>
                <w:noProof/>
                <w:webHidden/>
              </w:rPr>
              <w:fldChar w:fldCharType="separate"/>
            </w:r>
            <w:r>
              <w:rPr>
                <w:noProof/>
                <w:webHidden/>
              </w:rPr>
              <w:t>25</w:t>
            </w:r>
            <w:r>
              <w:rPr>
                <w:noProof/>
                <w:webHidden/>
              </w:rPr>
              <w:fldChar w:fldCharType="end"/>
            </w:r>
          </w:hyperlink>
        </w:p>
        <w:p w14:paraId="2D572ACB" w14:textId="6E438109"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2" w:history="1">
            <w:r w:rsidRPr="002377F3">
              <w:rPr>
                <w:rStyle w:val="Lienhypertexte"/>
                <w:noProof/>
              </w:rPr>
              <w:t>7.6 Révisions budgétaires</w:t>
            </w:r>
            <w:r>
              <w:rPr>
                <w:noProof/>
                <w:webHidden/>
              </w:rPr>
              <w:tab/>
            </w:r>
            <w:r>
              <w:rPr>
                <w:noProof/>
                <w:webHidden/>
              </w:rPr>
              <w:fldChar w:fldCharType="begin"/>
            </w:r>
            <w:r>
              <w:rPr>
                <w:noProof/>
                <w:webHidden/>
              </w:rPr>
              <w:instrText xml:space="preserve"> PAGEREF _Toc224044722 \h </w:instrText>
            </w:r>
            <w:r>
              <w:rPr>
                <w:noProof/>
                <w:webHidden/>
              </w:rPr>
            </w:r>
            <w:r>
              <w:rPr>
                <w:noProof/>
                <w:webHidden/>
              </w:rPr>
              <w:fldChar w:fldCharType="separate"/>
            </w:r>
            <w:r>
              <w:rPr>
                <w:noProof/>
                <w:webHidden/>
              </w:rPr>
              <w:t>25</w:t>
            </w:r>
            <w:r>
              <w:rPr>
                <w:noProof/>
                <w:webHidden/>
              </w:rPr>
              <w:fldChar w:fldCharType="end"/>
            </w:r>
          </w:hyperlink>
        </w:p>
        <w:p w14:paraId="04116605" w14:textId="37334404"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23" w:history="1">
            <w:r w:rsidRPr="002377F3">
              <w:rPr>
                <w:rStyle w:val="Lienhypertexte"/>
                <w:noProof/>
              </w:rPr>
              <w:t>8.</w:t>
            </w:r>
            <w:r>
              <w:rPr>
                <w:rFonts w:asciiTheme="minorHAnsi" w:eastAsiaTheme="minorEastAsia" w:hAnsiTheme="minorHAnsi" w:cstheme="minorBidi"/>
                <w:noProof/>
                <w:kern w:val="2"/>
                <w:lang w:eastAsia="fr-CD"/>
                <w14:ligatures w14:val="standardContextual"/>
              </w:rPr>
              <w:tab/>
            </w:r>
            <w:r w:rsidRPr="002377F3">
              <w:rPr>
                <w:rStyle w:val="Lienhypertexte"/>
                <w:noProof/>
              </w:rPr>
              <w:t>Suivi évaluation et apprentissage du projet</w:t>
            </w:r>
            <w:r>
              <w:rPr>
                <w:noProof/>
                <w:webHidden/>
              </w:rPr>
              <w:tab/>
            </w:r>
            <w:r>
              <w:rPr>
                <w:noProof/>
                <w:webHidden/>
              </w:rPr>
              <w:fldChar w:fldCharType="begin"/>
            </w:r>
            <w:r>
              <w:rPr>
                <w:noProof/>
                <w:webHidden/>
              </w:rPr>
              <w:instrText xml:space="preserve"> PAGEREF _Toc224044723 \h </w:instrText>
            </w:r>
            <w:r>
              <w:rPr>
                <w:noProof/>
                <w:webHidden/>
              </w:rPr>
            </w:r>
            <w:r>
              <w:rPr>
                <w:noProof/>
                <w:webHidden/>
              </w:rPr>
              <w:fldChar w:fldCharType="separate"/>
            </w:r>
            <w:r>
              <w:rPr>
                <w:noProof/>
                <w:webHidden/>
              </w:rPr>
              <w:t>25</w:t>
            </w:r>
            <w:r>
              <w:rPr>
                <w:noProof/>
                <w:webHidden/>
              </w:rPr>
              <w:fldChar w:fldCharType="end"/>
            </w:r>
          </w:hyperlink>
        </w:p>
        <w:p w14:paraId="2A83911B" w14:textId="579E7B27"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4" w:history="1">
            <w:r w:rsidRPr="002377F3">
              <w:rPr>
                <w:rStyle w:val="Lienhypertexte"/>
                <w:noProof/>
              </w:rPr>
              <w:t>8.1 Etat d’avancement du plan de suivi du projet</w:t>
            </w:r>
            <w:r>
              <w:rPr>
                <w:noProof/>
                <w:webHidden/>
              </w:rPr>
              <w:tab/>
            </w:r>
            <w:r>
              <w:rPr>
                <w:noProof/>
                <w:webHidden/>
              </w:rPr>
              <w:fldChar w:fldCharType="begin"/>
            </w:r>
            <w:r>
              <w:rPr>
                <w:noProof/>
                <w:webHidden/>
              </w:rPr>
              <w:instrText xml:space="preserve"> PAGEREF _Toc224044724 \h </w:instrText>
            </w:r>
            <w:r>
              <w:rPr>
                <w:noProof/>
                <w:webHidden/>
              </w:rPr>
            </w:r>
            <w:r>
              <w:rPr>
                <w:noProof/>
                <w:webHidden/>
              </w:rPr>
              <w:fldChar w:fldCharType="separate"/>
            </w:r>
            <w:r>
              <w:rPr>
                <w:noProof/>
                <w:webHidden/>
              </w:rPr>
              <w:t>26</w:t>
            </w:r>
            <w:r>
              <w:rPr>
                <w:noProof/>
                <w:webHidden/>
              </w:rPr>
              <w:fldChar w:fldCharType="end"/>
            </w:r>
          </w:hyperlink>
        </w:p>
        <w:p w14:paraId="146270A2" w14:textId="4BEE13F4"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5" w:history="1">
            <w:r w:rsidRPr="002377F3">
              <w:rPr>
                <w:rStyle w:val="Lienhypertexte"/>
                <w:noProof/>
              </w:rPr>
              <w:t>8.2 Evaluations</w:t>
            </w:r>
            <w:r>
              <w:rPr>
                <w:noProof/>
                <w:webHidden/>
              </w:rPr>
              <w:tab/>
            </w:r>
            <w:r>
              <w:rPr>
                <w:noProof/>
                <w:webHidden/>
              </w:rPr>
              <w:fldChar w:fldCharType="begin"/>
            </w:r>
            <w:r>
              <w:rPr>
                <w:noProof/>
                <w:webHidden/>
              </w:rPr>
              <w:instrText xml:space="preserve"> PAGEREF _Toc224044725 \h </w:instrText>
            </w:r>
            <w:r>
              <w:rPr>
                <w:noProof/>
                <w:webHidden/>
              </w:rPr>
            </w:r>
            <w:r>
              <w:rPr>
                <w:noProof/>
                <w:webHidden/>
              </w:rPr>
              <w:fldChar w:fldCharType="separate"/>
            </w:r>
            <w:r>
              <w:rPr>
                <w:noProof/>
                <w:webHidden/>
              </w:rPr>
              <w:t>26</w:t>
            </w:r>
            <w:r>
              <w:rPr>
                <w:noProof/>
                <w:webHidden/>
              </w:rPr>
              <w:fldChar w:fldCharType="end"/>
            </w:r>
          </w:hyperlink>
        </w:p>
        <w:p w14:paraId="1F87B6B1" w14:textId="62101E5A"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6" w:history="1">
            <w:r w:rsidRPr="002377F3">
              <w:rPr>
                <w:rStyle w:val="Lienhypertexte"/>
                <w:noProof/>
              </w:rPr>
              <w:t>8.3 Intégration des leçons apprises</w:t>
            </w:r>
            <w:r>
              <w:rPr>
                <w:noProof/>
                <w:webHidden/>
              </w:rPr>
              <w:tab/>
            </w:r>
            <w:r>
              <w:rPr>
                <w:noProof/>
                <w:webHidden/>
              </w:rPr>
              <w:fldChar w:fldCharType="begin"/>
            </w:r>
            <w:r>
              <w:rPr>
                <w:noProof/>
                <w:webHidden/>
              </w:rPr>
              <w:instrText xml:space="preserve"> PAGEREF _Toc224044726 \h </w:instrText>
            </w:r>
            <w:r>
              <w:rPr>
                <w:noProof/>
                <w:webHidden/>
              </w:rPr>
            </w:r>
            <w:r>
              <w:rPr>
                <w:noProof/>
                <w:webHidden/>
              </w:rPr>
              <w:fldChar w:fldCharType="separate"/>
            </w:r>
            <w:r>
              <w:rPr>
                <w:noProof/>
                <w:webHidden/>
              </w:rPr>
              <w:t>26</w:t>
            </w:r>
            <w:r>
              <w:rPr>
                <w:noProof/>
                <w:webHidden/>
              </w:rPr>
              <w:fldChar w:fldCharType="end"/>
            </w:r>
          </w:hyperlink>
        </w:p>
        <w:p w14:paraId="347874DA" w14:textId="264C4286"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7" w:history="1">
            <w:r w:rsidRPr="002377F3">
              <w:rPr>
                <w:rStyle w:val="Lienhypertexte"/>
                <w:noProof/>
              </w:rPr>
              <w:t>8.4 Révisions programmatiques (le cas échéant)</w:t>
            </w:r>
            <w:r>
              <w:rPr>
                <w:noProof/>
                <w:webHidden/>
              </w:rPr>
              <w:tab/>
            </w:r>
            <w:r>
              <w:rPr>
                <w:noProof/>
                <w:webHidden/>
              </w:rPr>
              <w:fldChar w:fldCharType="begin"/>
            </w:r>
            <w:r>
              <w:rPr>
                <w:noProof/>
                <w:webHidden/>
              </w:rPr>
              <w:instrText xml:space="preserve"> PAGEREF _Toc224044727 \h </w:instrText>
            </w:r>
            <w:r>
              <w:rPr>
                <w:noProof/>
                <w:webHidden/>
              </w:rPr>
            </w:r>
            <w:r>
              <w:rPr>
                <w:noProof/>
                <w:webHidden/>
              </w:rPr>
              <w:fldChar w:fldCharType="separate"/>
            </w:r>
            <w:r>
              <w:rPr>
                <w:noProof/>
                <w:webHidden/>
              </w:rPr>
              <w:t>27</w:t>
            </w:r>
            <w:r>
              <w:rPr>
                <w:noProof/>
                <w:webHidden/>
              </w:rPr>
              <w:fldChar w:fldCharType="end"/>
            </w:r>
          </w:hyperlink>
        </w:p>
        <w:p w14:paraId="0C278CCA" w14:textId="75EE0905" w:rsidR="00941794" w:rsidRDefault="00941794">
          <w:pPr>
            <w:pStyle w:val="TM1"/>
            <w:tabs>
              <w:tab w:val="left" w:pos="480"/>
              <w:tab w:val="right" w:leader="dot" w:pos="8751"/>
            </w:tabs>
            <w:rPr>
              <w:rFonts w:asciiTheme="minorHAnsi" w:eastAsiaTheme="minorEastAsia" w:hAnsiTheme="minorHAnsi" w:cstheme="minorBidi"/>
              <w:noProof/>
              <w:kern w:val="2"/>
              <w:lang w:eastAsia="fr-CD"/>
              <w14:ligatures w14:val="standardContextual"/>
            </w:rPr>
          </w:pPr>
          <w:hyperlink w:anchor="_Toc224044728" w:history="1">
            <w:r w:rsidRPr="002377F3">
              <w:rPr>
                <w:rStyle w:val="Lienhypertexte"/>
                <w:noProof/>
              </w:rPr>
              <w:t>9.</w:t>
            </w:r>
            <w:r>
              <w:rPr>
                <w:rFonts w:asciiTheme="minorHAnsi" w:eastAsiaTheme="minorEastAsia" w:hAnsiTheme="minorHAnsi" w:cstheme="minorBidi"/>
                <w:noProof/>
                <w:kern w:val="2"/>
                <w:lang w:eastAsia="fr-CD"/>
                <w14:ligatures w14:val="standardContextual"/>
              </w:rPr>
              <w:tab/>
            </w:r>
            <w:r w:rsidRPr="002377F3">
              <w:rPr>
                <w:rStyle w:val="Lienhypertexte"/>
                <w:noProof/>
              </w:rPr>
              <w:t>Thèmes transversaux</w:t>
            </w:r>
            <w:r>
              <w:rPr>
                <w:noProof/>
                <w:webHidden/>
              </w:rPr>
              <w:tab/>
            </w:r>
            <w:r>
              <w:rPr>
                <w:noProof/>
                <w:webHidden/>
              </w:rPr>
              <w:fldChar w:fldCharType="begin"/>
            </w:r>
            <w:r>
              <w:rPr>
                <w:noProof/>
                <w:webHidden/>
              </w:rPr>
              <w:instrText xml:space="preserve"> PAGEREF _Toc224044728 \h </w:instrText>
            </w:r>
            <w:r>
              <w:rPr>
                <w:noProof/>
                <w:webHidden/>
              </w:rPr>
            </w:r>
            <w:r>
              <w:rPr>
                <w:noProof/>
                <w:webHidden/>
              </w:rPr>
              <w:fldChar w:fldCharType="separate"/>
            </w:r>
            <w:r>
              <w:rPr>
                <w:noProof/>
                <w:webHidden/>
              </w:rPr>
              <w:t>27</w:t>
            </w:r>
            <w:r>
              <w:rPr>
                <w:noProof/>
                <w:webHidden/>
              </w:rPr>
              <w:fldChar w:fldCharType="end"/>
            </w:r>
          </w:hyperlink>
        </w:p>
        <w:p w14:paraId="6450E0B2" w14:textId="04362CA8"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29" w:history="1">
            <w:r w:rsidRPr="002377F3">
              <w:rPr>
                <w:rStyle w:val="Lienhypertexte"/>
                <w:noProof/>
              </w:rPr>
              <w:t>9.1 Genre, peuples autochtones et autres groupes vulnérables</w:t>
            </w:r>
            <w:r>
              <w:rPr>
                <w:noProof/>
                <w:webHidden/>
              </w:rPr>
              <w:tab/>
            </w:r>
            <w:r>
              <w:rPr>
                <w:noProof/>
                <w:webHidden/>
              </w:rPr>
              <w:fldChar w:fldCharType="begin"/>
            </w:r>
            <w:r>
              <w:rPr>
                <w:noProof/>
                <w:webHidden/>
              </w:rPr>
              <w:instrText xml:space="preserve"> PAGEREF _Toc224044729 \h </w:instrText>
            </w:r>
            <w:r>
              <w:rPr>
                <w:noProof/>
                <w:webHidden/>
              </w:rPr>
            </w:r>
            <w:r>
              <w:rPr>
                <w:noProof/>
                <w:webHidden/>
              </w:rPr>
              <w:fldChar w:fldCharType="separate"/>
            </w:r>
            <w:r>
              <w:rPr>
                <w:noProof/>
                <w:webHidden/>
              </w:rPr>
              <w:t>27</w:t>
            </w:r>
            <w:r>
              <w:rPr>
                <w:noProof/>
                <w:webHidden/>
              </w:rPr>
              <w:fldChar w:fldCharType="end"/>
            </w:r>
          </w:hyperlink>
        </w:p>
        <w:p w14:paraId="0DC8F92A" w14:textId="358F36C6"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30" w:history="1">
            <w:r w:rsidRPr="002377F3">
              <w:rPr>
                <w:rStyle w:val="Lienhypertexte"/>
                <w:noProof/>
              </w:rPr>
              <w:t>9.2 Respect des standards environnementaux et sociaux</w:t>
            </w:r>
            <w:r>
              <w:rPr>
                <w:noProof/>
                <w:webHidden/>
              </w:rPr>
              <w:tab/>
            </w:r>
            <w:r>
              <w:rPr>
                <w:noProof/>
                <w:webHidden/>
              </w:rPr>
              <w:fldChar w:fldCharType="begin"/>
            </w:r>
            <w:r>
              <w:rPr>
                <w:noProof/>
                <w:webHidden/>
              </w:rPr>
              <w:instrText xml:space="preserve"> PAGEREF _Toc224044730 \h </w:instrText>
            </w:r>
            <w:r>
              <w:rPr>
                <w:noProof/>
                <w:webHidden/>
              </w:rPr>
            </w:r>
            <w:r>
              <w:rPr>
                <w:noProof/>
                <w:webHidden/>
              </w:rPr>
              <w:fldChar w:fldCharType="separate"/>
            </w:r>
            <w:r>
              <w:rPr>
                <w:noProof/>
                <w:webHidden/>
              </w:rPr>
              <w:t>28</w:t>
            </w:r>
            <w:r>
              <w:rPr>
                <w:noProof/>
                <w:webHidden/>
              </w:rPr>
              <w:fldChar w:fldCharType="end"/>
            </w:r>
          </w:hyperlink>
        </w:p>
        <w:p w14:paraId="720B7455" w14:textId="5A87BB4D" w:rsidR="00941794" w:rsidRDefault="00941794">
          <w:pPr>
            <w:pStyle w:val="TM1"/>
            <w:tabs>
              <w:tab w:val="left" w:pos="720"/>
              <w:tab w:val="right" w:leader="dot" w:pos="8751"/>
            </w:tabs>
            <w:rPr>
              <w:rFonts w:asciiTheme="minorHAnsi" w:eastAsiaTheme="minorEastAsia" w:hAnsiTheme="minorHAnsi" w:cstheme="minorBidi"/>
              <w:noProof/>
              <w:kern w:val="2"/>
              <w:lang w:eastAsia="fr-CD"/>
              <w14:ligatures w14:val="standardContextual"/>
            </w:rPr>
          </w:pPr>
          <w:hyperlink w:anchor="_Toc224044731" w:history="1">
            <w:r w:rsidRPr="002377F3">
              <w:rPr>
                <w:rStyle w:val="Lienhypertexte"/>
                <w:noProof/>
              </w:rPr>
              <w:t>10.</w:t>
            </w:r>
            <w:r>
              <w:rPr>
                <w:rFonts w:asciiTheme="minorHAnsi" w:eastAsiaTheme="minorEastAsia" w:hAnsiTheme="minorHAnsi" w:cstheme="minorBidi"/>
                <w:noProof/>
                <w:kern w:val="2"/>
                <w:lang w:eastAsia="fr-CD"/>
                <w14:ligatures w14:val="standardContextual"/>
              </w:rPr>
              <w:tab/>
            </w:r>
            <w:r w:rsidRPr="002377F3">
              <w:rPr>
                <w:rStyle w:val="Lienhypertexte"/>
                <w:noProof/>
              </w:rPr>
              <w:t>Gestion des risques</w:t>
            </w:r>
            <w:r>
              <w:rPr>
                <w:noProof/>
                <w:webHidden/>
              </w:rPr>
              <w:tab/>
            </w:r>
            <w:r>
              <w:rPr>
                <w:noProof/>
                <w:webHidden/>
              </w:rPr>
              <w:fldChar w:fldCharType="begin"/>
            </w:r>
            <w:r>
              <w:rPr>
                <w:noProof/>
                <w:webHidden/>
              </w:rPr>
              <w:instrText xml:space="preserve"> PAGEREF _Toc224044731 \h </w:instrText>
            </w:r>
            <w:r>
              <w:rPr>
                <w:noProof/>
                <w:webHidden/>
              </w:rPr>
            </w:r>
            <w:r>
              <w:rPr>
                <w:noProof/>
                <w:webHidden/>
              </w:rPr>
              <w:fldChar w:fldCharType="separate"/>
            </w:r>
            <w:r>
              <w:rPr>
                <w:noProof/>
                <w:webHidden/>
              </w:rPr>
              <w:t>31</w:t>
            </w:r>
            <w:r>
              <w:rPr>
                <w:noProof/>
                <w:webHidden/>
              </w:rPr>
              <w:fldChar w:fldCharType="end"/>
            </w:r>
          </w:hyperlink>
        </w:p>
        <w:p w14:paraId="3C7AC3EF" w14:textId="5F6C31F7"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32" w:history="1">
            <w:r w:rsidRPr="002377F3">
              <w:rPr>
                <w:rStyle w:val="Lienhypertexte"/>
                <w:noProof/>
              </w:rPr>
              <w:t>10.1 Matrice de gestion des risques sur la base de l'analyse effectuée</w:t>
            </w:r>
            <w:r>
              <w:rPr>
                <w:noProof/>
                <w:webHidden/>
              </w:rPr>
              <w:tab/>
            </w:r>
            <w:r>
              <w:rPr>
                <w:noProof/>
                <w:webHidden/>
              </w:rPr>
              <w:fldChar w:fldCharType="begin"/>
            </w:r>
            <w:r>
              <w:rPr>
                <w:noProof/>
                <w:webHidden/>
              </w:rPr>
              <w:instrText xml:space="preserve"> PAGEREF _Toc224044732 \h </w:instrText>
            </w:r>
            <w:r>
              <w:rPr>
                <w:noProof/>
                <w:webHidden/>
              </w:rPr>
            </w:r>
            <w:r>
              <w:rPr>
                <w:noProof/>
                <w:webHidden/>
              </w:rPr>
              <w:fldChar w:fldCharType="separate"/>
            </w:r>
            <w:r>
              <w:rPr>
                <w:noProof/>
                <w:webHidden/>
              </w:rPr>
              <w:t>31</w:t>
            </w:r>
            <w:r>
              <w:rPr>
                <w:noProof/>
                <w:webHidden/>
              </w:rPr>
              <w:fldChar w:fldCharType="end"/>
            </w:r>
          </w:hyperlink>
        </w:p>
        <w:p w14:paraId="4CBB86C2" w14:textId="436058D5" w:rsidR="00941794" w:rsidRDefault="00941794">
          <w:pPr>
            <w:pStyle w:val="TM2"/>
            <w:tabs>
              <w:tab w:val="right" w:leader="dot" w:pos="8751"/>
            </w:tabs>
            <w:rPr>
              <w:rFonts w:asciiTheme="minorHAnsi" w:eastAsiaTheme="minorEastAsia" w:hAnsiTheme="minorHAnsi" w:cstheme="minorBidi"/>
              <w:noProof/>
              <w:kern w:val="2"/>
              <w:lang w:eastAsia="fr-CD"/>
              <w14:ligatures w14:val="standardContextual"/>
            </w:rPr>
          </w:pPr>
          <w:hyperlink w:anchor="_Toc224044733" w:history="1">
            <w:r w:rsidRPr="002377F3">
              <w:rPr>
                <w:rStyle w:val="Lienhypertexte"/>
                <w:noProof/>
              </w:rPr>
              <w:t>10.2 Évaluation de la transparence et de l'intégrité</w:t>
            </w:r>
            <w:r>
              <w:rPr>
                <w:noProof/>
                <w:webHidden/>
              </w:rPr>
              <w:tab/>
            </w:r>
            <w:r>
              <w:rPr>
                <w:noProof/>
                <w:webHidden/>
              </w:rPr>
              <w:fldChar w:fldCharType="begin"/>
            </w:r>
            <w:r>
              <w:rPr>
                <w:noProof/>
                <w:webHidden/>
              </w:rPr>
              <w:instrText xml:space="preserve"> PAGEREF _Toc224044733 \h </w:instrText>
            </w:r>
            <w:r>
              <w:rPr>
                <w:noProof/>
                <w:webHidden/>
              </w:rPr>
            </w:r>
            <w:r>
              <w:rPr>
                <w:noProof/>
                <w:webHidden/>
              </w:rPr>
              <w:fldChar w:fldCharType="separate"/>
            </w:r>
            <w:r>
              <w:rPr>
                <w:noProof/>
                <w:webHidden/>
              </w:rPr>
              <w:t>31</w:t>
            </w:r>
            <w:r>
              <w:rPr>
                <w:noProof/>
                <w:webHidden/>
              </w:rPr>
              <w:fldChar w:fldCharType="end"/>
            </w:r>
          </w:hyperlink>
        </w:p>
        <w:p w14:paraId="512D9FA3" w14:textId="50A6AE55" w:rsidR="00941794" w:rsidRDefault="00941794">
          <w:pPr>
            <w:pStyle w:val="TM1"/>
            <w:tabs>
              <w:tab w:val="left" w:pos="720"/>
              <w:tab w:val="right" w:leader="dot" w:pos="8751"/>
            </w:tabs>
            <w:rPr>
              <w:rFonts w:asciiTheme="minorHAnsi" w:eastAsiaTheme="minorEastAsia" w:hAnsiTheme="minorHAnsi" w:cstheme="minorBidi"/>
              <w:noProof/>
              <w:kern w:val="2"/>
              <w:lang w:eastAsia="fr-CD"/>
              <w14:ligatures w14:val="standardContextual"/>
            </w:rPr>
          </w:pPr>
          <w:hyperlink w:anchor="_Toc224044734" w:history="1">
            <w:r w:rsidRPr="002377F3">
              <w:rPr>
                <w:rStyle w:val="Lienhypertexte"/>
                <w:noProof/>
              </w:rPr>
              <w:t>11.</w:t>
            </w:r>
            <w:r>
              <w:rPr>
                <w:rFonts w:asciiTheme="minorHAnsi" w:eastAsiaTheme="minorEastAsia" w:hAnsiTheme="minorHAnsi" w:cstheme="minorBidi"/>
                <w:noProof/>
                <w:kern w:val="2"/>
                <w:lang w:eastAsia="fr-CD"/>
                <w14:ligatures w14:val="standardContextual"/>
              </w:rPr>
              <w:tab/>
            </w:r>
            <w:r w:rsidRPr="002377F3">
              <w:rPr>
                <w:rStyle w:val="Lienhypertexte"/>
                <w:noProof/>
              </w:rPr>
              <w:t>Récapitulatif des livrables</w:t>
            </w:r>
            <w:r>
              <w:rPr>
                <w:noProof/>
                <w:webHidden/>
              </w:rPr>
              <w:tab/>
            </w:r>
            <w:r>
              <w:rPr>
                <w:noProof/>
                <w:webHidden/>
              </w:rPr>
              <w:fldChar w:fldCharType="begin"/>
            </w:r>
            <w:r>
              <w:rPr>
                <w:noProof/>
                <w:webHidden/>
              </w:rPr>
              <w:instrText xml:space="preserve"> PAGEREF _Toc224044734 \h </w:instrText>
            </w:r>
            <w:r>
              <w:rPr>
                <w:noProof/>
                <w:webHidden/>
              </w:rPr>
            </w:r>
            <w:r>
              <w:rPr>
                <w:noProof/>
                <w:webHidden/>
              </w:rPr>
              <w:fldChar w:fldCharType="separate"/>
            </w:r>
            <w:r>
              <w:rPr>
                <w:noProof/>
                <w:webHidden/>
              </w:rPr>
              <w:t>32</w:t>
            </w:r>
            <w:r>
              <w:rPr>
                <w:noProof/>
                <w:webHidden/>
              </w:rPr>
              <w:fldChar w:fldCharType="end"/>
            </w:r>
          </w:hyperlink>
        </w:p>
        <w:p w14:paraId="5E51FDEA" w14:textId="73CD17D9" w:rsidR="00941794" w:rsidRDefault="00941794">
          <w:pPr>
            <w:pStyle w:val="TM1"/>
            <w:tabs>
              <w:tab w:val="left" w:pos="720"/>
              <w:tab w:val="right" w:leader="dot" w:pos="8751"/>
            </w:tabs>
            <w:rPr>
              <w:rFonts w:asciiTheme="minorHAnsi" w:eastAsiaTheme="minorEastAsia" w:hAnsiTheme="minorHAnsi" w:cstheme="minorBidi"/>
              <w:noProof/>
              <w:kern w:val="2"/>
              <w:lang w:eastAsia="fr-CD"/>
              <w14:ligatures w14:val="standardContextual"/>
            </w:rPr>
          </w:pPr>
          <w:hyperlink w:anchor="_Toc224044735" w:history="1">
            <w:r w:rsidRPr="002377F3">
              <w:rPr>
                <w:rStyle w:val="Lienhypertexte"/>
                <w:noProof/>
              </w:rPr>
              <w:t>12.</w:t>
            </w:r>
            <w:r>
              <w:rPr>
                <w:rFonts w:asciiTheme="minorHAnsi" w:eastAsiaTheme="minorEastAsia" w:hAnsiTheme="minorHAnsi" w:cstheme="minorBidi"/>
                <w:noProof/>
                <w:kern w:val="2"/>
                <w:lang w:eastAsia="fr-CD"/>
                <w14:ligatures w14:val="standardContextual"/>
              </w:rPr>
              <w:tab/>
            </w:r>
            <w:r w:rsidRPr="002377F3">
              <w:rPr>
                <w:rStyle w:val="Lienhypertexte"/>
                <w:noProof/>
              </w:rPr>
              <w:t>Annexes</w:t>
            </w:r>
            <w:r>
              <w:rPr>
                <w:noProof/>
                <w:webHidden/>
              </w:rPr>
              <w:tab/>
            </w:r>
            <w:r>
              <w:rPr>
                <w:noProof/>
                <w:webHidden/>
              </w:rPr>
              <w:fldChar w:fldCharType="begin"/>
            </w:r>
            <w:r>
              <w:rPr>
                <w:noProof/>
                <w:webHidden/>
              </w:rPr>
              <w:instrText xml:space="preserve"> PAGEREF _Toc224044735 \h </w:instrText>
            </w:r>
            <w:r>
              <w:rPr>
                <w:noProof/>
                <w:webHidden/>
              </w:rPr>
            </w:r>
            <w:r>
              <w:rPr>
                <w:noProof/>
                <w:webHidden/>
              </w:rPr>
              <w:fldChar w:fldCharType="separate"/>
            </w:r>
            <w:r>
              <w:rPr>
                <w:noProof/>
                <w:webHidden/>
              </w:rPr>
              <w:t>38</w:t>
            </w:r>
            <w:r>
              <w:rPr>
                <w:noProof/>
                <w:webHidden/>
              </w:rPr>
              <w:fldChar w:fldCharType="end"/>
            </w:r>
          </w:hyperlink>
        </w:p>
        <w:p w14:paraId="350F6F84" w14:textId="593800C1" w:rsidR="00174FA1" w:rsidRDefault="00174FA1" w:rsidP="00174FA1">
          <w:r>
            <w:rPr>
              <w:b/>
              <w:bCs/>
              <w:lang w:val="fr-FR"/>
            </w:rPr>
            <w:fldChar w:fldCharType="end"/>
          </w:r>
        </w:p>
      </w:sdtContent>
    </w:sdt>
    <w:p w14:paraId="44CD3AD4" w14:textId="77777777" w:rsidR="0024617D" w:rsidRPr="00E11FFB" w:rsidRDefault="00C83F85">
      <w:pPr>
        <w:rPr>
          <w:rFonts w:ascii="Avenir" w:eastAsia="Avenir" w:hAnsi="Avenir" w:cs="Avenir"/>
          <w:color w:val="000000"/>
        </w:rPr>
      </w:pPr>
      <w:r w:rsidRPr="00E11FFB">
        <w:br w:type="page"/>
      </w:r>
    </w:p>
    <w:p w14:paraId="6A4CC1E6" w14:textId="77777777" w:rsidR="0024617D" w:rsidRPr="00E11FFB" w:rsidRDefault="00C83F85">
      <w:pPr>
        <w:pStyle w:val="Titre1"/>
        <w:numPr>
          <w:ilvl w:val="0"/>
          <w:numId w:val="1"/>
        </w:numPr>
      </w:pPr>
      <w:bookmarkStart w:id="0" w:name="_Toc224044701"/>
      <w:r w:rsidRPr="00E11FFB">
        <w:t>Données clés du projet</w:t>
      </w:r>
      <w:bookmarkEnd w:id="0"/>
      <w:r w:rsidRPr="00E11FFB">
        <w:t xml:space="preserve"> </w:t>
      </w:r>
    </w:p>
    <w:p w14:paraId="1DB7852D" w14:textId="77777777" w:rsidR="0024617D" w:rsidRPr="00E11FFB" w:rsidRDefault="0024617D">
      <w:pPr>
        <w:jc w:val="both"/>
        <w:rPr>
          <w:rFonts w:ascii="Avenir" w:eastAsia="Avenir" w:hAnsi="Avenir" w:cs="Avenir"/>
          <w:color w:val="000000"/>
        </w:rPr>
      </w:pPr>
    </w:p>
    <w:tbl>
      <w:tblPr>
        <w:tblStyle w:val="22"/>
        <w:tblW w:w="10065" w:type="dxa"/>
        <w:tblInd w:w="-714"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3686"/>
        <w:gridCol w:w="6379"/>
      </w:tblGrid>
      <w:tr w:rsidR="0024617D" w:rsidRPr="00E11FFB" w14:paraId="5CDF8936" w14:textId="77777777" w:rsidTr="005C2203">
        <w:tc>
          <w:tcPr>
            <w:tcW w:w="3686" w:type="dxa"/>
          </w:tcPr>
          <w:p w14:paraId="247CC30D" w14:textId="77777777" w:rsidR="0024617D" w:rsidRPr="002142A2" w:rsidRDefault="00C83F85">
            <w:pPr>
              <w:spacing w:after="5" w:line="271" w:lineRule="auto"/>
              <w:rPr>
                <w:rFonts w:ascii="Avenir" w:eastAsia="Avenir" w:hAnsi="Avenir" w:cs="Avenir"/>
                <w:color w:val="000000"/>
                <w:sz w:val="22"/>
                <w:szCs w:val="22"/>
              </w:rPr>
            </w:pPr>
            <w:r w:rsidRPr="002142A2">
              <w:rPr>
                <w:rFonts w:ascii="Avenir" w:eastAsia="Avenir" w:hAnsi="Avenir" w:cs="Avenir"/>
                <w:color w:val="000000"/>
                <w:sz w:val="22"/>
                <w:szCs w:val="22"/>
              </w:rPr>
              <w:t xml:space="preserve">Titre du projet </w:t>
            </w:r>
          </w:p>
        </w:tc>
        <w:tc>
          <w:tcPr>
            <w:tcW w:w="6379" w:type="dxa"/>
          </w:tcPr>
          <w:p w14:paraId="615389EF" w14:textId="1CC8F52B" w:rsidR="0024617D" w:rsidRPr="002142A2" w:rsidRDefault="00DE66F0">
            <w:pPr>
              <w:spacing w:after="5" w:line="271" w:lineRule="auto"/>
              <w:rPr>
                <w:rFonts w:ascii="Avenir" w:eastAsia="Avenir" w:hAnsi="Avenir" w:cs="Avenir"/>
                <w:color w:val="000000"/>
                <w:sz w:val="22"/>
                <w:szCs w:val="22"/>
              </w:rPr>
            </w:pPr>
            <w:r w:rsidRPr="00E11FFB">
              <w:rPr>
                <w:rFonts w:ascii="Avenir" w:eastAsia="Avenir" w:hAnsi="Avenir" w:cs="Avenir"/>
                <w:sz w:val="22"/>
                <w:szCs w:val="22"/>
              </w:rPr>
              <w:t>Projet d’Appui à l’Atteinte des Jalons de la 2</w:t>
            </w:r>
            <w:r w:rsidRPr="00E11FFB">
              <w:rPr>
                <w:rFonts w:ascii="Avenir" w:eastAsia="Avenir" w:hAnsi="Avenir" w:cs="Avenir"/>
                <w:sz w:val="22"/>
                <w:szCs w:val="22"/>
                <w:vertAlign w:val="superscript"/>
              </w:rPr>
              <w:t>ième</w:t>
            </w:r>
            <w:r w:rsidRPr="00E11FFB">
              <w:rPr>
                <w:rFonts w:ascii="Avenir" w:eastAsia="Avenir" w:hAnsi="Avenir" w:cs="Avenir"/>
                <w:sz w:val="22"/>
                <w:szCs w:val="22"/>
              </w:rPr>
              <w:t xml:space="preserve"> Lettre d’Intention signée entre l’Initiative pour la Forêt de l’Afrique Centrale (CAFI) et la République Démocratique du Congo (RDC) pour la période 2021-2031- PAAJ</w:t>
            </w:r>
          </w:p>
        </w:tc>
      </w:tr>
      <w:tr w:rsidR="00DE66F0" w:rsidRPr="00E11FFB" w14:paraId="1B8C0F11" w14:textId="77777777" w:rsidTr="005C2203">
        <w:tc>
          <w:tcPr>
            <w:tcW w:w="3686" w:type="dxa"/>
          </w:tcPr>
          <w:p w14:paraId="069FD255"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Numéro de référence MPTF du projet</w:t>
            </w:r>
          </w:p>
        </w:tc>
        <w:tc>
          <w:tcPr>
            <w:tcW w:w="6379" w:type="dxa"/>
          </w:tcPr>
          <w:p w14:paraId="3C54C811" w14:textId="03F2BFFB" w:rsidR="00DE66F0" w:rsidRPr="009456A3" w:rsidRDefault="00DE66F0" w:rsidP="00DE66F0">
            <w:pPr>
              <w:spacing w:after="5" w:line="271" w:lineRule="auto"/>
              <w:rPr>
                <w:rFonts w:ascii="Avenir" w:eastAsia="Avenir" w:hAnsi="Avenir" w:cs="Avenir"/>
                <w:color w:val="000000"/>
                <w:sz w:val="22"/>
                <w:szCs w:val="22"/>
              </w:rPr>
            </w:pPr>
            <w:r w:rsidRPr="00E11FFB">
              <w:rPr>
                <w:rFonts w:ascii="Avenir" w:eastAsia="Avenir" w:hAnsi="Avenir" w:cs="Avenir"/>
                <w:sz w:val="22"/>
                <w:szCs w:val="22"/>
              </w:rPr>
              <w:t>00141041</w:t>
            </w:r>
          </w:p>
        </w:tc>
      </w:tr>
      <w:tr w:rsidR="00DE66F0" w:rsidRPr="00E11FFB" w14:paraId="36550485" w14:textId="77777777" w:rsidTr="005C2203">
        <w:tc>
          <w:tcPr>
            <w:tcW w:w="3686" w:type="dxa"/>
          </w:tcPr>
          <w:p w14:paraId="672ABF50"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Hyperlien du document de projet</w:t>
            </w:r>
            <w:r w:rsidRPr="002142A2">
              <w:rPr>
                <w:rFonts w:ascii="Avenir" w:eastAsia="Avenir" w:hAnsi="Avenir" w:cs="Avenir"/>
                <w:i/>
                <w:color w:val="000000"/>
                <w:sz w:val="22"/>
                <w:szCs w:val="22"/>
                <w:vertAlign w:val="superscript"/>
              </w:rPr>
              <w:footnoteReference w:id="2"/>
            </w:r>
            <w:r w:rsidRPr="009456A3">
              <w:rPr>
                <w:rFonts w:ascii="Avenir" w:eastAsia="Avenir" w:hAnsi="Avenir" w:cs="Avenir"/>
                <w:color w:val="000000"/>
                <w:sz w:val="22"/>
                <w:szCs w:val="22"/>
              </w:rPr>
              <w:t> </w:t>
            </w:r>
          </w:p>
        </w:tc>
        <w:tc>
          <w:tcPr>
            <w:tcW w:w="6379" w:type="dxa"/>
          </w:tcPr>
          <w:p w14:paraId="6DFA4C7B" w14:textId="40D12913" w:rsidR="00DE66F0" w:rsidRPr="009456A3" w:rsidRDefault="001146CB" w:rsidP="00DE66F0">
            <w:pPr>
              <w:spacing w:after="5" w:line="271" w:lineRule="auto"/>
              <w:rPr>
                <w:rFonts w:ascii="Avenir" w:eastAsia="Avenir" w:hAnsi="Avenir" w:cs="Avenir"/>
                <w:color w:val="000000"/>
                <w:sz w:val="22"/>
                <w:szCs w:val="22"/>
              </w:rPr>
            </w:pPr>
            <w:hyperlink r:id="rId11" w:history="1">
              <w:r w:rsidRPr="009456A3">
                <w:rPr>
                  <w:rStyle w:val="Lienhypertexte"/>
                  <w:rFonts w:ascii="Avenir" w:eastAsia="Avenir" w:hAnsi="Avenir" w:cs="Avenir"/>
                  <w:sz w:val="22"/>
                  <w:szCs w:val="22"/>
                </w:rPr>
                <w:t>https://drive.google.com/drive/folders/1VklJbDlhN8eyJUNNlaOjpUm5IB2ayyTo</w:t>
              </w:r>
            </w:hyperlink>
            <w:r w:rsidRPr="009456A3">
              <w:rPr>
                <w:rFonts w:ascii="Avenir" w:eastAsia="Avenir" w:hAnsi="Avenir" w:cs="Avenir"/>
                <w:color w:val="000000"/>
                <w:sz w:val="22"/>
                <w:szCs w:val="22"/>
              </w:rPr>
              <w:t xml:space="preserve"> </w:t>
            </w:r>
          </w:p>
        </w:tc>
      </w:tr>
      <w:tr w:rsidR="00DE66F0" w:rsidRPr="00E11FFB" w14:paraId="37A6FCBB" w14:textId="77777777" w:rsidTr="005C2203">
        <w:tc>
          <w:tcPr>
            <w:tcW w:w="3686" w:type="dxa"/>
          </w:tcPr>
          <w:p w14:paraId="769B2347"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Zone(s) d’intervention(s) du projet</w:t>
            </w:r>
          </w:p>
        </w:tc>
        <w:tc>
          <w:tcPr>
            <w:tcW w:w="6379" w:type="dxa"/>
          </w:tcPr>
          <w:p w14:paraId="38A54724" w14:textId="77AF5514" w:rsidR="00DE66F0" w:rsidRPr="009456A3" w:rsidRDefault="00DE66F0" w:rsidP="00DE66F0">
            <w:pPr>
              <w:spacing w:after="5" w:line="271" w:lineRule="auto"/>
              <w:rPr>
                <w:rFonts w:ascii="Avenir" w:eastAsia="Avenir" w:hAnsi="Avenir" w:cs="Avenir"/>
                <w:color w:val="000000"/>
                <w:sz w:val="22"/>
                <w:szCs w:val="22"/>
              </w:rPr>
            </w:pPr>
            <w:r w:rsidRPr="00E11FFB">
              <w:rPr>
                <w:rFonts w:ascii="Avenir" w:eastAsia="Avenir" w:hAnsi="Avenir" w:cs="Avenir"/>
                <w:sz w:val="22"/>
                <w:szCs w:val="22"/>
              </w:rPr>
              <w:t>Nationale</w:t>
            </w:r>
          </w:p>
        </w:tc>
      </w:tr>
      <w:tr w:rsidR="00DE66F0" w:rsidRPr="00E11FFB" w14:paraId="5869E180" w14:textId="77777777" w:rsidTr="005C2203">
        <w:tc>
          <w:tcPr>
            <w:tcW w:w="3686" w:type="dxa"/>
          </w:tcPr>
          <w:p w14:paraId="1C3A64CF"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Institutions ou ministères de tutelle</w:t>
            </w:r>
          </w:p>
        </w:tc>
        <w:tc>
          <w:tcPr>
            <w:tcW w:w="6379" w:type="dxa"/>
          </w:tcPr>
          <w:p w14:paraId="073A08A2" w14:textId="77777777" w:rsidR="00DE66F0" w:rsidRPr="009456A3" w:rsidRDefault="00DE66F0" w:rsidP="00DE66F0">
            <w:pPr>
              <w:spacing w:after="5" w:line="271" w:lineRule="auto"/>
              <w:rPr>
                <w:rFonts w:ascii="Avenir" w:eastAsia="Avenir" w:hAnsi="Avenir" w:cs="Avenir"/>
                <w:color w:val="000000"/>
                <w:sz w:val="22"/>
                <w:szCs w:val="22"/>
              </w:rPr>
            </w:pPr>
          </w:p>
        </w:tc>
      </w:tr>
      <w:tr w:rsidR="00DE66F0" w:rsidRPr="00E11FFB" w14:paraId="2004D52A" w14:textId="77777777" w:rsidTr="005C2203">
        <w:tc>
          <w:tcPr>
            <w:tcW w:w="3686" w:type="dxa"/>
          </w:tcPr>
          <w:p w14:paraId="70FCE39B"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 xml:space="preserve">Organisations partenaires participantes de niveau 1 </w:t>
            </w:r>
            <w:r w:rsidRPr="002142A2">
              <w:rPr>
                <w:rFonts w:ascii="Avenir" w:eastAsia="Avenir" w:hAnsi="Avenir" w:cs="Avenir"/>
                <w:i/>
                <w:color w:val="000000"/>
                <w:sz w:val="22"/>
                <w:szCs w:val="22"/>
                <w:vertAlign w:val="superscript"/>
              </w:rPr>
              <w:footnoteReference w:id="3"/>
            </w:r>
          </w:p>
        </w:tc>
        <w:tc>
          <w:tcPr>
            <w:tcW w:w="6379" w:type="dxa"/>
          </w:tcPr>
          <w:p w14:paraId="2904AC2C"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Ministère de l’Aménagement du Territoire (MINAT)/Fonds National d’Aménagement du Territoire (FONAT)</w:t>
            </w:r>
          </w:p>
          <w:p w14:paraId="334DDB04"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Ministère de l’Agriculture et Sécurité Alimentaire (MINAGRISA)/Secrétariat Général</w:t>
            </w:r>
          </w:p>
          <w:p w14:paraId="4CD809C9"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xml:space="preserve">- Ministère de l’Environnement et du Développement Durable (MEDD)/ Secrétariat Général </w:t>
            </w:r>
          </w:p>
          <w:p w14:paraId="16FC3BFD"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Ministère du Plan et de la Coordination de l’Aide au Développement /Observatoire Congolais de Développement Durable (OCDD)</w:t>
            </w:r>
          </w:p>
          <w:p w14:paraId="659615D3"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xml:space="preserve">- Ministère des Mines (MINIMIN) ; </w:t>
            </w:r>
          </w:p>
          <w:p w14:paraId="49D03357"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Ministère des hydrocarbures (MINHYDRO)</w:t>
            </w:r>
          </w:p>
          <w:p w14:paraId="534E7BD4"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xml:space="preserve">- Initiative pour la Transparence des Industries Extractives (ITIE) ; </w:t>
            </w:r>
          </w:p>
          <w:p w14:paraId="04F14B16" w14:textId="77777777" w:rsidR="00DE66F0" w:rsidRPr="009456A3" w:rsidRDefault="00DE66F0" w:rsidP="00DE66F0">
            <w:pPr>
              <w:rPr>
                <w:rFonts w:ascii="Avenir" w:eastAsia="Avenir" w:hAnsi="Avenir" w:cs="Avenir"/>
                <w:sz w:val="22"/>
                <w:szCs w:val="22"/>
              </w:rPr>
            </w:pPr>
            <w:r w:rsidRPr="009456A3">
              <w:rPr>
                <w:rFonts w:ascii="Avenir" w:eastAsia="Avenir" w:hAnsi="Avenir" w:cs="Avenir"/>
                <w:sz w:val="22"/>
                <w:szCs w:val="22"/>
              </w:rPr>
              <w:t xml:space="preserve">- Agence Congolaise de l’Environnement (ACE) ; </w:t>
            </w:r>
          </w:p>
          <w:p w14:paraId="30B4B808" w14:textId="7C480C00" w:rsidR="00DE66F0" w:rsidRPr="005C2203" w:rsidRDefault="00DE66F0" w:rsidP="005C2203">
            <w:pPr>
              <w:rPr>
                <w:rFonts w:ascii="Avenir" w:eastAsia="Avenir" w:hAnsi="Avenir" w:cs="Avenir"/>
                <w:sz w:val="22"/>
                <w:szCs w:val="22"/>
              </w:rPr>
            </w:pPr>
            <w:r w:rsidRPr="009456A3">
              <w:rPr>
                <w:rFonts w:ascii="Avenir" w:eastAsia="Avenir" w:hAnsi="Avenir" w:cs="Avenir"/>
                <w:sz w:val="22"/>
                <w:szCs w:val="22"/>
              </w:rPr>
              <w:t>- Comité Technique de Suivi des Réformes (CTR)</w:t>
            </w:r>
          </w:p>
        </w:tc>
      </w:tr>
      <w:tr w:rsidR="00DE66F0" w:rsidRPr="00E11FFB" w14:paraId="1866C13C" w14:textId="77777777" w:rsidTr="005C2203">
        <w:tc>
          <w:tcPr>
            <w:tcW w:w="3686" w:type="dxa"/>
          </w:tcPr>
          <w:p w14:paraId="74725FF5"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Budget total du projet (USD)</w:t>
            </w:r>
          </w:p>
        </w:tc>
        <w:tc>
          <w:tcPr>
            <w:tcW w:w="6379" w:type="dxa"/>
          </w:tcPr>
          <w:p w14:paraId="62D82094" w14:textId="64FB4274" w:rsidR="00DE66F0" w:rsidRPr="009456A3" w:rsidRDefault="00DE66F0" w:rsidP="00DE66F0">
            <w:pPr>
              <w:spacing w:after="5" w:line="271" w:lineRule="auto"/>
              <w:rPr>
                <w:rFonts w:ascii="Avenir" w:eastAsia="Avenir" w:hAnsi="Avenir" w:cs="Avenir"/>
                <w:color w:val="000000"/>
                <w:sz w:val="22"/>
                <w:szCs w:val="22"/>
              </w:rPr>
            </w:pPr>
            <w:r w:rsidRPr="00E11FFB">
              <w:rPr>
                <w:rFonts w:ascii="Avenir" w:eastAsia="Avenir" w:hAnsi="Avenir" w:cs="Avenir"/>
                <w:sz w:val="22"/>
                <w:szCs w:val="22"/>
              </w:rPr>
              <w:t>8 000 000 USD</w:t>
            </w:r>
          </w:p>
        </w:tc>
      </w:tr>
      <w:tr w:rsidR="00DE66F0" w:rsidRPr="00E11FFB" w14:paraId="53D3BEF9" w14:textId="77777777" w:rsidTr="005C2203">
        <w:trPr>
          <w:trHeight w:val="253"/>
        </w:trPr>
        <w:tc>
          <w:tcPr>
            <w:tcW w:w="3686" w:type="dxa"/>
          </w:tcPr>
          <w:p w14:paraId="390FCAC0"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Durée totale du projet (mois)</w:t>
            </w:r>
          </w:p>
        </w:tc>
        <w:tc>
          <w:tcPr>
            <w:tcW w:w="6379" w:type="dxa"/>
          </w:tcPr>
          <w:p w14:paraId="2DE20B2E" w14:textId="1631505B" w:rsidR="00DE66F0" w:rsidRPr="009456A3" w:rsidRDefault="00DE66F0" w:rsidP="00DE66F0">
            <w:pPr>
              <w:spacing w:after="5" w:line="271" w:lineRule="auto"/>
              <w:rPr>
                <w:rFonts w:ascii="Avenir" w:eastAsia="Avenir" w:hAnsi="Avenir" w:cs="Avenir"/>
                <w:color w:val="000000"/>
                <w:sz w:val="22"/>
                <w:szCs w:val="22"/>
              </w:rPr>
            </w:pPr>
            <w:r w:rsidRPr="00E11FFB">
              <w:rPr>
                <w:rFonts w:ascii="Avenir" w:eastAsia="Avenir" w:hAnsi="Avenir" w:cs="Avenir"/>
                <w:sz w:val="22"/>
                <w:szCs w:val="22"/>
              </w:rPr>
              <w:t>18 mois</w:t>
            </w:r>
          </w:p>
        </w:tc>
      </w:tr>
      <w:tr w:rsidR="00DE66F0" w:rsidRPr="00E11FFB" w14:paraId="7B470B34" w14:textId="77777777" w:rsidTr="005C2203">
        <w:trPr>
          <w:trHeight w:val="253"/>
        </w:trPr>
        <w:tc>
          <w:tcPr>
            <w:tcW w:w="3686" w:type="dxa"/>
          </w:tcPr>
          <w:p w14:paraId="7D52396F"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Date d’approbation du projet par le Conseil d’administration de CAFI ou le Comité de pilotage du FONAREDD</w:t>
            </w:r>
          </w:p>
        </w:tc>
        <w:tc>
          <w:tcPr>
            <w:tcW w:w="6379" w:type="dxa"/>
          </w:tcPr>
          <w:p w14:paraId="56725581" w14:textId="29E75A51" w:rsidR="00DE66F0" w:rsidRPr="009456A3" w:rsidRDefault="00DE66F0" w:rsidP="00DE66F0">
            <w:pPr>
              <w:spacing w:after="5" w:line="271" w:lineRule="auto"/>
              <w:rPr>
                <w:rFonts w:ascii="Avenir" w:eastAsia="Avenir" w:hAnsi="Avenir" w:cs="Avenir"/>
                <w:color w:val="000000" w:themeColor="text1"/>
                <w:sz w:val="22"/>
                <w:szCs w:val="22"/>
              </w:rPr>
            </w:pPr>
            <w:r w:rsidRPr="009456A3">
              <w:rPr>
                <w:rFonts w:ascii="Avenir" w:eastAsia="Avenir" w:hAnsi="Avenir" w:cs="Avenir"/>
                <w:color w:val="000000" w:themeColor="text1"/>
                <w:sz w:val="22"/>
                <w:szCs w:val="22"/>
              </w:rPr>
              <w:t>Novembre 2024</w:t>
            </w:r>
          </w:p>
        </w:tc>
      </w:tr>
      <w:tr w:rsidR="00DE66F0" w:rsidRPr="00E11FFB" w14:paraId="5E541DC4" w14:textId="77777777" w:rsidTr="005C2203">
        <w:trPr>
          <w:trHeight w:val="253"/>
        </w:trPr>
        <w:tc>
          <w:tcPr>
            <w:tcW w:w="3686" w:type="dxa"/>
          </w:tcPr>
          <w:p w14:paraId="6F85C5D2"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Date de réception des premiers fonds du MPTF</w:t>
            </w:r>
          </w:p>
        </w:tc>
        <w:tc>
          <w:tcPr>
            <w:tcW w:w="6379" w:type="dxa"/>
          </w:tcPr>
          <w:p w14:paraId="7A02F3E9" w14:textId="096A897F" w:rsidR="00DE66F0" w:rsidRPr="009456A3" w:rsidRDefault="00DE66F0" w:rsidP="00DE66F0">
            <w:pPr>
              <w:spacing w:after="5" w:line="271" w:lineRule="auto"/>
              <w:rPr>
                <w:rFonts w:ascii="Avenir" w:eastAsia="Avenir" w:hAnsi="Avenir" w:cs="Avenir"/>
                <w:color w:val="000000"/>
                <w:sz w:val="22"/>
                <w:szCs w:val="22"/>
              </w:rPr>
            </w:pPr>
            <w:r w:rsidRPr="00E11FFB">
              <w:rPr>
                <w:rFonts w:ascii="Avenir" w:eastAsia="Avenir" w:hAnsi="Avenir" w:cs="Avenir"/>
                <w:sz w:val="22"/>
                <w:szCs w:val="22"/>
              </w:rPr>
              <w:t xml:space="preserve">18 </w:t>
            </w:r>
            <w:r w:rsidR="001146CB" w:rsidRPr="00E11FFB">
              <w:rPr>
                <w:rFonts w:ascii="Avenir" w:eastAsia="Avenir" w:hAnsi="Avenir" w:cs="Avenir"/>
                <w:sz w:val="22"/>
                <w:szCs w:val="22"/>
              </w:rPr>
              <w:t>février</w:t>
            </w:r>
            <w:r w:rsidRPr="00E11FFB">
              <w:rPr>
                <w:rFonts w:ascii="Avenir" w:eastAsia="Avenir" w:hAnsi="Avenir" w:cs="Avenir"/>
                <w:sz w:val="22"/>
                <w:szCs w:val="22"/>
              </w:rPr>
              <w:t xml:space="preserve"> 2025</w:t>
            </w:r>
          </w:p>
        </w:tc>
      </w:tr>
      <w:tr w:rsidR="00DE66F0" w:rsidRPr="00E11FFB" w14:paraId="31013064" w14:textId="77777777" w:rsidTr="005C2203">
        <w:tc>
          <w:tcPr>
            <w:tcW w:w="3686" w:type="dxa"/>
          </w:tcPr>
          <w:p w14:paraId="5C06C63D"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Date d’approbation du 1</w:t>
            </w:r>
            <w:r w:rsidRPr="009456A3">
              <w:rPr>
                <w:rFonts w:ascii="Avenir" w:eastAsia="Avenir" w:hAnsi="Avenir" w:cs="Avenir"/>
                <w:color w:val="000000"/>
                <w:sz w:val="22"/>
                <w:szCs w:val="22"/>
                <w:vertAlign w:val="superscript"/>
              </w:rPr>
              <w:t>er</w:t>
            </w:r>
            <w:r w:rsidRPr="009456A3">
              <w:rPr>
                <w:rFonts w:ascii="Avenir" w:eastAsia="Avenir" w:hAnsi="Avenir" w:cs="Avenir"/>
                <w:color w:val="000000"/>
                <w:sz w:val="22"/>
                <w:szCs w:val="22"/>
              </w:rPr>
              <w:t xml:space="preserve"> Plan de Travail Budgétisé Annuel par le comité de pilotage du projet</w:t>
            </w:r>
          </w:p>
        </w:tc>
        <w:tc>
          <w:tcPr>
            <w:tcW w:w="6379" w:type="dxa"/>
          </w:tcPr>
          <w:p w14:paraId="0AEFEA6E" w14:textId="0509EFB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Calibri" w:hAnsi="Avenir" w:cs="Calibri"/>
                <w:color w:val="000000"/>
                <w:sz w:val="22"/>
                <w:szCs w:val="22"/>
              </w:rPr>
              <w:t xml:space="preserve">8 </w:t>
            </w:r>
            <w:r w:rsidR="001146CB" w:rsidRPr="009456A3">
              <w:rPr>
                <w:rFonts w:ascii="Avenir" w:eastAsia="Calibri" w:hAnsi="Avenir" w:cs="Calibri"/>
                <w:color w:val="000000"/>
                <w:sz w:val="22"/>
                <w:szCs w:val="22"/>
              </w:rPr>
              <w:t>avril</w:t>
            </w:r>
            <w:r w:rsidRPr="009456A3">
              <w:rPr>
                <w:rFonts w:ascii="Avenir" w:eastAsia="Calibri" w:hAnsi="Avenir" w:cs="Calibri"/>
                <w:color w:val="000000"/>
                <w:sz w:val="22"/>
                <w:szCs w:val="22"/>
              </w:rPr>
              <w:t xml:space="preserve"> 2025</w:t>
            </w:r>
          </w:p>
        </w:tc>
      </w:tr>
      <w:tr w:rsidR="00DE66F0" w:rsidRPr="00E11FFB" w14:paraId="0AF64FF4" w14:textId="77777777" w:rsidTr="005C2203">
        <w:trPr>
          <w:trHeight w:val="281"/>
        </w:trPr>
        <w:tc>
          <w:tcPr>
            <w:tcW w:w="3686" w:type="dxa"/>
          </w:tcPr>
          <w:p w14:paraId="15AA292C" w14:textId="47486B20" w:rsidR="00DE66F0" w:rsidRPr="009456A3" w:rsidRDefault="00DE66F0" w:rsidP="009456A3">
            <w:pPr>
              <w:tabs>
                <w:tab w:val="left" w:pos="3068"/>
              </w:tabs>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 xml:space="preserve">Date de clôture </w:t>
            </w:r>
            <w:r w:rsidR="009456A3" w:rsidRPr="009456A3">
              <w:rPr>
                <w:rFonts w:ascii="Avenir" w:eastAsia="Avenir" w:hAnsi="Avenir" w:cs="Avenir"/>
                <w:color w:val="000000"/>
                <w:sz w:val="22"/>
                <w:szCs w:val="22"/>
              </w:rPr>
              <w:t xml:space="preserve">initiale </w:t>
            </w:r>
            <w:r w:rsidR="009456A3" w:rsidRPr="009456A3">
              <w:rPr>
                <w:rFonts w:ascii="Avenir" w:eastAsia="Avenir" w:hAnsi="Avenir" w:cs="Avenir"/>
                <w:color w:val="000000"/>
                <w:sz w:val="22"/>
                <w:szCs w:val="22"/>
              </w:rPr>
              <w:tab/>
            </w:r>
          </w:p>
        </w:tc>
        <w:tc>
          <w:tcPr>
            <w:tcW w:w="6379" w:type="dxa"/>
          </w:tcPr>
          <w:sdt>
            <w:sdtPr>
              <w:rPr>
                <w:rFonts w:ascii="Avenir" w:eastAsia="Avenir" w:hAnsi="Avenir" w:cstheme="minorHAnsi"/>
                <w:color w:val="000000"/>
                <w:sz w:val="22"/>
                <w:szCs w:val="22"/>
              </w:rPr>
              <w:id w:val="-1554853385"/>
              <w:placeholder>
                <w:docPart w:val="0D5A1F675D86499E84C900AA5EF7C5C1"/>
              </w:placeholder>
              <w:date w:fullDate="2026-05-31T00:00:00Z">
                <w:dateFormat w:val="dd/MM/yyyy"/>
                <w:lid w:val="en-GB"/>
                <w:storeMappedDataAs w:val="dateTime"/>
                <w:calendar w:val="gregorian"/>
              </w:date>
            </w:sdtPr>
            <w:sdtEndPr/>
            <w:sdtContent>
              <w:p w14:paraId="3BFA4358" w14:textId="4F86B46E" w:rsidR="00DE66F0" w:rsidRPr="009456A3" w:rsidRDefault="00DE66F0" w:rsidP="002142A2">
                <w:pPr>
                  <w:spacing w:line="259" w:lineRule="auto"/>
                  <w:rPr>
                    <w:rFonts w:ascii="Avenir" w:eastAsia="Avenir" w:hAnsi="Avenir" w:cs="Avenir"/>
                    <w:color w:val="000000"/>
                    <w:sz w:val="22"/>
                    <w:szCs w:val="22"/>
                  </w:rPr>
                </w:pPr>
                <w:r w:rsidRPr="009456A3">
                  <w:rPr>
                    <w:rFonts w:ascii="Avenir" w:eastAsia="Avenir" w:hAnsi="Avenir" w:cstheme="minorHAnsi"/>
                    <w:color w:val="000000"/>
                    <w:sz w:val="22"/>
                    <w:szCs w:val="22"/>
                  </w:rPr>
                  <w:t>31/05/2026</w:t>
                </w:r>
              </w:p>
            </w:sdtContent>
          </w:sdt>
        </w:tc>
      </w:tr>
      <w:tr w:rsidR="00DE66F0" w:rsidRPr="00E11FFB" w14:paraId="21295A06" w14:textId="77777777" w:rsidTr="005C2203">
        <w:tc>
          <w:tcPr>
            <w:tcW w:w="3686" w:type="dxa"/>
          </w:tcPr>
          <w:p w14:paraId="2665F3F9"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 xml:space="preserve">Date de clôture révisée le cas échéant </w:t>
            </w:r>
          </w:p>
        </w:tc>
        <w:tc>
          <w:tcPr>
            <w:tcW w:w="6379" w:type="dxa"/>
          </w:tcPr>
          <w:p w14:paraId="304D5101" w14:textId="1FE90C06" w:rsidR="00DE66F0" w:rsidRPr="009456A3" w:rsidRDefault="0031427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NA</w:t>
            </w:r>
          </w:p>
        </w:tc>
      </w:tr>
      <w:tr w:rsidR="00DE66F0" w:rsidRPr="00E11FFB" w14:paraId="7ED8C9B4" w14:textId="77777777" w:rsidTr="005C2203">
        <w:tc>
          <w:tcPr>
            <w:tcW w:w="3686" w:type="dxa"/>
          </w:tcPr>
          <w:p w14:paraId="4A6F56AB"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Dépenses du 01/01 au 31/12 de l’année de rapportage</w:t>
            </w:r>
          </w:p>
        </w:tc>
        <w:tc>
          <w:tcPr>
            <w:tcW w:w="6379" w:type="dxa"/>
          </w:tcPr>
          <w:p w14:paraId="2C5CCAB2" w14:textId="44B67CFB" w:rsidR="00DE66F0" w:rsidRPr="009456A3" w:rsidRDefault="0050758C" w:rsidP="00DE66F0">
            <w:pPr>
              <w:spacing w:after="5" w:line="271" w:lineRule="auto"/>
              <w:rPr>
                <w:rFonts w:ascii="Avenir" w:eastAsia="Avenir" w:hAnsi="Avenir" w:cs="Avenir"/>
                <w:color w:val="000000"/>
                <w:sz w:val="22"/>
                <w:szCs w:val="22"/>
              </w:rPr>
            </w:pPr>
            <w:r w:rsidRPr="0050758C">
              <w:rPr>
                <w:rFonts w:ascii="Avenir" w:eastAsia="Avenir" w:hAnsi="Avenir" w:cs="Avenir"/>
                <w:color w:val="000000"/>
                <w:sz w:val="22"/>
                <w:szCs w:val="22"/>
              </w:rPr>
              <w:t>2 369 046,95</w:t>
            </w:r>
          </w:p>
        </w:tc>
      </w:tr>
      <w:tr w:rsidR="00DE66F0" w:rsidRPr="00E11FFB" w14:paraId="28DFAAA8" w14:textId="77777777" w:rsidTr="005C2203">
        <w:tc>
          <w:tcPr>
            <w:tcW w:w="3686" w:type="dxa"/>
          </w:tcPr>
          <w:p w14:paraId="5DBF03B0"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Dépenses globales cumulatives (USD) au 31/12 de l’année de rapportage</w:t>
            </w:r>
          </w:p>
        </w:tc>
        <w:tc>
          <w:tcPr>
            <w:tcW w:w="6379" w:type="dxa"/>
          </w:tcPr>
          <w:p w14:paraId="03FD562D" w14:textId="7E0D6B2B" w:rsidR="00DE66F0" w:rsidRPr="009456A3" w:rsidRDefault="00E015D9" w:rsidP="00DE66F0">
            <w:pPr>
              <w:spacing w:after="5" w:line="271" w:lineRule="auto"/>
              <w:rPr>
                <w:rFonts w:ascii="Avenir" w:eastAsia="Avenir" w:hAnsi="Avenir" w:cs="Avenir"/>
                <w:color w:val="000000"/>
                <w:sz w:val="22"/>
                <w:szCs w:val="22"/>
              </w:rPr>
            </w:pPr>
            <w:r w:rsidRPr="00E015D9">
              <w:rPr>
                <w:rFonts w:ascii="Avenir" w:eastAsia="Avenir" w:hAnsi="Avenir" w:cs="Avenir"/>
                <w:color w:val="000000"/>
                <w:sz w:val="22"/>
                <w:szCs w:val="22"/>
              </w:rPr>
              <w:t>2 593 395,95</w:t>
            </w:r>
          </w:p>
        </w:tc>
      </w:tr>
      <w:tr w:rsidR="00DE66F0" w:rsidRPr="00E11FFB" w14:paraId="4F3FE4BB" w14:textId="77777777" w:rsidTr="005C2203">
        <w:tc>
          <w:tcPr>
            <w:tcW w:w="3686" w:type="dxa"/>
          </w:tcPr>
          <w:p w14:paraId="27A2AC40"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Taux de consommation sur l’ensemble des tranches reçues</w:t>
            </w:r>
          </w:p>
        </w:tc>
        <w:tc>
          <w:tcPr>
            <w:tcW w:w="6379" w:type="dxa"/>
          </w:tcPr>
          <w:p w14:paraId="26B6D617" w14:textId="6BAF3346" w:rsidR="00DE66F0" w:rsidRPr="009456A3" w:rsidRDefault="00E015D9" w:rsidP="00DE66F0">
            <w:pPr>
              <w:spacing w:after="5" w:line="271" w:lineRule="auto"/>
              <w:rPr>
                <w:rFonts w:ascii="Avenir" w:eastAsia="Avenir" w:hAnsi="Avenir" w:cs="Avenir"/>
                <w:color w:val="000000"/>
                <w:sz w:val="22"/>
                <w:szCs w:val="22"/>
              </w:rPr>
            </w:pPr>
            <w:r w:rsidRPr="00E015D9">
              <w:rPr>
                <w:rFonts w:ascii="Avenir" w:eastAsia="Avenir" w:hAnsi="Avenir" w:cs="Avenir"/>
                <w:color w:val="000000"/>
                <w:sz w:val="22"/>
                <w:szCs w:val="22"/>
              </w:rPr>
              <w:t>6</w:t>
            </w:r>
            <w:r w:rsidR="0091157C">
              <w:rPr>
                <w:rFonts w:ascii="Avenir" w:eastAsia="Avenir" w:hAnsi="Avenir" w:cs="Avenir"/>
                <w:color w:val="000000"/>
                <w:sz w:val="22"/>
                <w:szCs w:val="22"/>
              </w:rPr>
              <w:t>5</w:t>
            </w:r>
            <w:r w:rsidR="0050758C">
              <w:rPr>
                <w:rFonts w:ascii="Avenir" w:eastAsia="Avenir" w:hAnsi="Avenir" w:cs="Avenir"/>
                <w:color w:val="000000"/>
                <w:sz w:val="22"/>
                <w:szCs w:val="22"/>
              </w:rPr>
              <w:t>%</w:t>
            </w:r>
          </w:p>
        </w:tc>
      </w:tr>
      <w:tr w:rsidR="00DE66F0" w:rsidRPr="002142A2" w14:paraId="388DD932" w14:textId="77777777" w:rsidTr="005C2203">
        <w:tc>
          <w:tcPr>
            <w:tcW w:w="3686" w:type="dxa"/>
            <w:vMerge w:val="restart"/>
          </w:tcPr>
          <w:p w14:paraId="6136B27F"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 xml:space="preserve">Date et hyperlien de l’évaluation à mi-parcours le cas échéant </w:t>
            </w:r>
          </w:p>
        </w:tc>
        <w:tc>
          <w:tcPr>
            <w:tcW w:w="6379" w:type="dxa"/>
          </w:tcPr>
          <w:p w14:paraId="0A6AA6CE" w14:textId="5439CEFC" w:rsidR="00DE66F0" w:rsidRPr="007C2141" w:rsidRDefault="0091157C" w:rsidP="00DE66F0">
            <w:pPr>
              <w:spacing w:after="5" w:line="271" w:lineRule="auto"/>
              <w:rPr>
                <w:rFonts w:ascii="Avenir" w:eastAsia="Avenir" w:hAnsi="Avenir" w:cs="Avenir"/>
                <w:color w:val="000000"/>
                <w:sz w:val="22"/>
                <w:szCs w:val="22"/>
                <w:lang w:val="en-US"/>
              </w:rPr>
            </w:pPr>
            <w:r>
              <w:rPr>
                <w:rFonts w:ascii="Avenir" w:eastAsia="Avenir" w:hAnsi="Avenir" w:cs="Avenir"/>
                <w:color w:val="808080"/>
                <w:sz w:val="22"/>
                <w:szCs w:val="22"/>
                <w:lang w:val="en-US"/>
              </w:rPr>
              <w:t>Programmé en f</w:t>
            </w:r>
            <w:r w:rsidR="00E015D9">
              <w:rPr>
                <w:rFonts w:ascii="Avenir" w:eastAsia="Avenir" w:hAnsi="Avenir" w:cs="Avenir"/>
                <w:color w:val="808080"/>
                <w:sz w:val="22"/>
                <w:szCs w:val="22"/>
                <w:lang w:val="en-US"/>
              </w:rPr>
              <w:t>évrier 2026</w:t>
            </w:r>
            <w:r w:rsidR="00DE66F0" w:rsidRPr="007C2141">
              <w:rPr>
                <w:rFonts w:ascii="Avenir" w:eastAsia="Avenir" w:hAnsi="Avenir" w:cs="Avenir"/>
                <w:color w:val="808080"/>
                <w:sz w:val="22"/>
                <w:szCs w:val="22"/>
                <w:lang w:val="en-US"/>
              </w:rPr>
              <w:t>.</w:t>
            </w:r>
          </w:p>
        </w:tc>
      </w:tr>
      <w:tr w:rsidR="00DE66F0" w:rsidRPr="00E11FFB" w14:paraId="30CF59E7" w14:textId="77777777" w:rsidTr="005C2203">
        <w:tc>
          <w:tcPr>
            <w:tcW w:w="3686" w:type="dxa"/>
            <w:vMerge/>
          </w:tcPr>
          <w:p w14:paraId="34D21B05" w14:textId="77777777" w:rsidR="00DE66F0" w:rsidRPr="007C2141" w:rsidRDefault="00DE66F0" w:rsidP="00DE66F0">
            <w:pPr>
              <w:widowControl w:val="0"/>
              <w:pBdr>
                <w:top w:val="nil"/>
                <w:left w:val="nil"/>
                <w:bottom w:val="nil"/>
                <w:right w:val="nil"/>
                <w:between w:val="nil"/>
              </w:pBdr>
              <w:spacing w:line="276" w:lineRule="auto"/>
              <w:ind w:left="0" w:right="0" w:firstLine="0"/>
              <w:jc w:val="left"/>
              <w:rPr>
                <w:rFonts w:ascii="Avenir" w:eastAsia="Avenir" w:hAnsi="Avenir" w:cs="Avenir"/>
                <w:color w:val="000000"/>
                <w:sz w:val="22"/>
                <w:szCs w:val="22"/>
                <w:lang w:val="en-US"/>
              </w:rPr>
            </w:pPr>
          </w:p>
        </w:tc>
        <w:tc>
          <w:tcPr>
            <w:tcW w:w="6379" w:type="dxa"/>
          </w:tcPr>
          <w:p w14:paraId="7B637012" w14:textId="77777777" w:rsidR="00DE66F0" w:rsidRPr="009456A3" w:rsidRDefault="00DE66F0" w:rsidP="00DE66F0">
            <w:pPr>
              <w:spacing w:after="5" w:line="271" w:lineRule="auto"/>
              <w:rPr>
                <w:rFonts w:ascii="Avenir" w:eastAsia="Avenir" w:hAnsi="Avenir" w:cs="Avenir"/>
                <w:color w:val="000000"/>
                <w:sz w:val="22"/>
                <w:szCs w:val="22"/>
              </w:rPr>
            </w:pPr>
            <w:r w:rsidRPr="009456A3">
              <w:rPr>
                <w:rFonts w:ascii="Avenir" w:eastAsia="Avenir" w:hAnsi="Avenir" w:cs="Avenir"/>
                <w:color w:val="000000"/>
                <w:sz w:val="22"/>
                <w:szCs w:val="22"/>
              </w:rPr>
              <w:t>Insérer hyperlien si l’évaluation est publique</w:t>
            </w:r>
          </w:p>
        </w:tc>
      </w:tr>
    </w:tbl>
    <w:p w14:paraId="1DB8B408" w14:textId="77777777" w:rsidR="0024617D" w:rsidRPr="00E11FFB" w:rsidRDefault="0024617D">
      <w:pPr>
        <w:spacing w:after="5"/>
        <w:ind w:left="20" w:right="28" w:hanging="10"/>
        <w:jc w:val="both"/>
        <w:rPr>
          <w:rFonts w:ascii="Avenir" w:eastAsia="Avenir" w:hAnsi="Avenir" w:cs="Avenir"/>
          <w:color w:val="000000"/>
        </w:rPr>
      </w:pPr>
    </w:p>
    <w:p w14:paraId="51DF6AD3" w14:textId="77777777" w:rsidR="0024617D" w:rsidRPr="00E11FFB" w:rsidRDefault="00C83F85">
      <w:pPr>
        <w:rPr>
          <w:rFonts w:ascii="Avenir" w:eastAsia="Avenir" w:hAnsi="Avenir" w:cs="Avenir"/>
          <w:color w:val="000000"/>
        </w:rPr>
      </w:pPr>
      <w:r w:rsidRPr="00E11FFB">
        <w:br w:type="page"/>
      </w:r>
    </w:p>
    <w:p w14:paraId="03120B48" w14:textId="77777777" w:rsidR="0024617D" w:rsidRPr="00E11FFB" w:rsidRDefault="00C83F85">
      <w:pPr>
        <w:pStyle w:val="Titre1"/>
        <w:numPr>
          <w:ilvl w:val="0"/>
          <w:numId w:val="1"/>
        </w:numPr>
      </w:pPr>
      <w:bookmarkStart w:id="1" w:name="_Toc224044702"/>
      <w:r w:rsidRPr="00E11FFB">
        <w:t>Résumé des progrès réalisés par le projet</w:t>
      </w:r>
      <w:bookmarkEnd w:id="1"/>
      <w:r w:rsidRPr="00E11FFB">
        <w:t xml:space="preserve"> </w:t>
      </w:r>
    </w:p>
    <w:p w14:paraId="634BA896" w14:textId="13F05ABF" w:rsidR="000F0E04" w:rsidRPr="006D79E9" w:rsidRDefault="0091157C" w:rsidP="006D79E9">
      <w:pPr>
        <w:spacing w:before="240"/>
        <w:jc w:val="both"/>
        <w:rPr>
          <w:rFonts w:ascii="Avenir" w:hAnsi="Avenir"/>
          <w:sz w:val="22"/>
          <w:szCs w:val="22"/>
        </w:rPr>
      </w:pPr>
      <w:r w:rsidRPr="006D79E9">
        <w:rPr>
          <w:rFonts w:ascii="Avenir" w:hAnsi="Avenir"/>
          <w:sz w:val="22"/>
          <w:szCs w:val="22"/>
        </w:rPr>
        <w:t xml:space="preserve">Ce résumé présente les réalisations spécifiques de chaque entité de mise en œuvre du projet, soient 6 ministères sectoriels et deux entités spécialisées. </w:t>
      </w:r>
    </w:p>
    <w:p w14:paraId="31C1B7C4" w14:textId="77777777" w:rsidR="0091157C" w:rsidRPr="00E11FFB" w:rsidRDefault="0091157C" w:rsidP="00710B90">
      <w:pPr>
        <w:pStyle w:val="Paragraphedeliste"/>
      </w:pPr>
    </w:p>
    <w:tbl>
      <w:tblPr>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377"/>
        <w:gridCol w:w="4377"/>
      </w:tblGrid>
      <w:tr w:rsidR="000F0E04" w:rsidRPr="00E11FFB" w14:paraId="1D9DEFE1" w14:textId="77777777" w:rsidTr="003A6DE1">
        <w:trPr>
          <w:trHeight w:val="656"/>
          <w:tblHeader/>
          <w:jc w:val="center"/>
        </w:trPr>
        <w:tc>
          <w:tcPr>
            <w:tcW w:w="4377" w:type="dxa"/>
            <w:shd w:val="clear" w:color="auto" w:fill="5B9BD5"/>
            <w:vAlign w:val="center"/>
          </w:tcPr>
          <w:p w14:paraId="688F7715" w14:textId="446F172C" w:rsidR="000F0E04" w:rsidRPr="00E11FFB" w:rsidRDefault="000F0E04" w:rsidP="003A6DE1">
            <w:pPr>
              <w:spacing w:after="5" w:line="271" w:lineRule="auto"/>
              <w:jc w:val="center"/>
              <w:rPr>
                <w:rFonts w:ascii="Avenir" w:eastAsia="Avenir" w:hAnsi="Avenir" w:cs="Avenir"/>
                <w:b/>
                <w:color w:val="000000"/>
                <w:sz w:val="18"/>
                <w:szCs w:val="18"/>
              </w:rPr>
            </w:pPr>
            <w:r w:rsidRPr="00E11FFB">
              <w:rPr>
                <w:rFonts w:ascii="Avenir" w:eastAsia="Avenir" w:hAnsi="Avenir" w:cs="Avenir"/>
                <w:b/>
                <w:color w:val="000000"/>
                <w:sz w:val="18"/>
                <w:szCs w:val="18"/>
              </w:rPr>
              <w:t>Progrès ou résultats obtenus au cours d</w:t>
            </w:r>
            <w:r w:rsidRPr="00E11FFB">
              <w:rPr>
                <w:rFonts w:ascii="Avenir" w:eastAsia="Avenir" w:hAnsi="Avenir" w:cs="Avenir"/>
                <w:b/>
                <w:sz w:val="18"/>
                <w:szCs w:val="18"/>
              </w:rPr>
              <w:t xml:space="preserve">e </w:t>
            </w:r>
            <w:r w:rsidR="005D0092">
              <w:rPr>
                <w:rFonts w:ascii="Avenir" w:eastAsia="Avenir" w:hAnsi="Avenir" w:cs="Avenir"/>
                <w:b/>
                <w:sz w:val="18"/>
                <w:szCs w:val="18"/>
              </w:rPr>
              <w:t xml:space="preserve">la période de rapportage (année </w:t>
            </w:r>
            <w:r w:rsidRPr="00E11FFB">
              <w:rPr>
                <w:rFonts w:ascii="Avenir" w:eastAsia="Avenir" w:hAnsi="Avenir" w:cs="Avenir"/>
                <w:b/>
                <w:sz w:val="18"/>
                <w:szCs w:val="18"/>
              </w:rPr>
              <w:t>2025</w:t>
            </w:r>
            <w:r w:rsidR="005D0092">
              <w:rPr>
                <w:rFonts w:ascii="Avenir" w:eastAsia="Avenir" w:hAnsi="Avenir" w:cs="Avenir"/>
                <w:b/>
                <w:sz w:val="18"/>
                <w:szCs w:val="18"/>
              </w:rPr>
              <w:t>)</w:t>
            </w:r>
          </w:p>
        </w:tc>
        <w:tc>
          <w:tcPr>
            <w:tcW w:w="4377" w:type="dxa"/>
            <w:shd w:val="clear" w:color="auto" w:fill="5B9BD5"/>
            <w:vAlign w:val="center"/>
          </w:tcPr>
          <w:p w14:paraId="62D84362" w14:textId="77777777" w:rsidR="000F0E04" w:rsidRPr="00E11FFB" w:rsidRDefault="000F0E04" w:rsidP="003A6DE1">
            <w:pPr>
              <w:spacing w:after="5" w:line="271" w:lineRule="auto"/>
              <w:jc w:val="center"/>
              <w:rPr>
                <w:rFonts w:ascii="Avenir" w:eastAsia="Avenir" w:hAnsi="Avenir" w:cs="Avenir"/>
                <w:b/>
                <w:color w:val="000000"/>
                <w:sz w:val="18"/>
                <w:szCs w:val="18"/>
              </w:rPr>
            </w:pPr>
            <w:r w:rsidRPr="00E11FFB">
              <w:rPr>
                <w:rFonts w:ascii="Avenir" w:eastAsia="Avenir" w:hAnsi="Avenir" w:cs="Avenir"/>
                <w:b/>
                <w:color w:val="000000"/>
                <w:sz w:val="18"/>
                <w:szCs w:val="18"/>
              </w:rPr>
              <w:t>Résultats obtenus de manière cumulative depuis le d</w:t>
            </w:r>
            <w:r w:rsidRPr="00E11FFB">
              <w:rPr>
                <w:rFonts w:ascii="Avenir" w:eastAsia="Avenir" w:hAnsi="Avenir" w:cs="Avenir"/>
                <w:b/>
                <w:sz w:val="18"/>
                <w:szCs w:val="18"/>
              </w:rPr>
              <w:t>ébut du projet</w:t>
            </w:r>
          </w:p>
        </w:tc>
      </w:tr>
      <w:tr w:rsidR="000F0E04" w:rsidRPr="00E11FFB" w14:paraId="0B756814" w14:textId="77777777" w:rsidTr="003A6DE1">
        <w:trPr>
          <w:jc w:val="center"/>
        </w:trPr>
        <w:tc>
          <w:tcPr>
            <w:tcW w:w="8754" w:type="dxa"/>
            <w:gridSpan w:val="2"/>
            <w:shd w:val="clear" w:color="auto" w:fill="E7E6E6"/>
            <w:vAlign w:val="center"/>
          </w:tcPr>
          <w:p w14:paraId="4F084615" w14:textId="77777777" w:rsidR="000F0E04" w:rsidRPr="00E11FFB" w:rsidRDefault="000F0E04" w:rsidP="003A6DE1">
            <w:pPr>
              <w:spacing w:after="5" w:line="271" w:lineRule="auto"/>
              <w:jc w:val="center"/>
              <w:rPr>
                <w:rFonts w:ascii="Avenir" w:eastAsia="Avenir" w:hAnsi="Avenir" w:cs="Avenir"/>
                <w:b/>
                <w:color w:val="000000"/>
                <w:sz w:val="16"/>
                <w:szCs w:val="16"/>
              </w:rPr>
            </w:pPr>
            <w:r w:rsidRPr="00E11FFB">
              <w:rPr>
                <w:rFonts w:ascii="Avenir" w:eastAsia="Avenir" w:hAnsi="Avenir" w:cs="Avenir"/>
                <w:b/>
                <w:color w:val="000000"/>
                <w:sz w:val="20"/>
                <w:szCs w:val="20"/>
              </w:rPr>
              <w:t>Effet 1 : Les décisions en matière d’aménagement du territoire assurent une représentation équilibrée des intérêts sectoriels et maintiennent les forêts debout, et une meilleure sécurité foncière n’encourage pas la conversion par les individus ou les communautés (AT)</w:t>
            </w:r>
          </w:p>
        </w:tc>
      </w:tr>
      <w:tr w:rsidR="000F0E04" w:rsidRPr="00E11FFB" w14:paraId="07934FF8" w14:textId="77777777" w:rsidTr="003A6DE1">
        <w:trPr>
          <w:jc w:val="center"/>
        </w:trPr>
        <w:tc>
          <w:tcPr>
            <w:tcW w:w="8754" w:type="dxa"/>
            <w:gridSpan w:val="2"/>
            <w:shd w:val="clear" w:color="auto" w:fill="E7E6E6"/>
            <w:vAlign w:val="center"/>
          </w:tcPr>
          <w:p w14:paraId="32266F94" w14:textId="77777777" w:rsidR="000F0E04" w:rsidRPr="00E11FFB" w:rsidRDefault="000F0E04" w:rsidP="003A6DE1">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1</w:t>
            </w:r>
            <w:r w:rsidRPr="00E11FFB">
              <w:rPr>
                <w:rFonts w:ascii="Avenir" w:eastAsia="Avenir" w:hAnsi="Avenir" w:cs="Avenir"/>
                <w:b/>
                <w:color w:val="000000"/>
                <w:sz w:val="16"/>
                <w:szCs w:val="16"/>
                <w:vertAlign w:val="superscript"/>
              </w:rPr>
              <w:t>er</w:t>
            </w:r>
            <w:r w:rsidRPr="00E11FFB">
              <w:rPr>
                <w:rFonts w:ascii="Avenir" w:eastAsia="Avenir" w:hAnsi="Avenir" w:cs="Avenir"/>
                <w:b/>
                <w:color w:val="000000"/>
                <w:sz w:val="16"/>
                <w:szCs w:val="16"/>
              </w:rPr>
              <w:t xml:space="preserve"> indicateur effet 1 : </w:t>
            </w:r>
            <w:r w:rsidRPr="00E11FFB">
              <w:rPr>
                <w:rFonts w:ascii="Avenir" w:eastAsia="Avenir" w:hAnsi="Avenir" w:cs="Avenir"/>
                <w:color w:val="000000"/>
                <w:sz w:val="16"/>
                <w:szCs w:val="16"/>
              </w:rPr>
              <w:t>Textes d’application élaborés, adoptés et vulgarisés (Décret, arrêtés et édits</w:t>
            </w:r>
          </w:p>
        </w:tc>
      </w:tr>
      <w:tr w:rsidR="000F0E04" w:rsidRPr="00E11FFB" w14:paraId="38439BD6" w14:textId="77777777" w:rsidTr="003A6DE1">
        <w:trPr>
          <w:jc w:val="center"/>
        </w:trPr>
        <w:tc>
          <w:tcPr>
            <w:tcW w:w="4377" w:type="dxa"/>
            <w:vAlign w:val="center"/>
          </w:tcPr>
          <w:p w14:paraId="396F9058" w14:textId="77777777" w:rsidR="000F0E04" w:rsidRPr="00E11FFB" w:rsidRDefault="000F0E04" w:rsidP="003A6DE1">
            <w:pPr>
              <w:rPr>
                <w:rFonts w:ascii="Avenir" w:eastAsia="Avenir" w:hAnsi="Avenir" w:cs="Avenir"/>
                <w:b/>
                <w:color w:val="000000"/>
                <w:sz w:val="16"/>
                <w:szCs w:val="16"/>
              </w:rPr>
            </w:pPr>
            <w:r w:rsidRPr="00E11FFB">
              <w:rPr>
                <w:rFonts w:ascii="Avenir" w:eastAsia="Avenir" w:hAnsi="Avenir" w:cs="Avenir"/>
                <w:color w:val="000000"/>
                <w:sz w:val="16"/>
                <w:szCs w:val="16"/>
              </w:rPr>
              <w:t>La loi AT promulguée ; 1 Décret CNAT adopté au 63</w:t>
            </w:r>
            <w:r w:rsidRPr="00E11FFB">
              <w:rPr>
                <w:rFonts w:ascii="Avenir" w:eastAsia="Avenir" w:hAnsi="Avenir" w:cs="Avenir"/>
                <w:color w:val="000000"/>
                <w:sz w:val="16"/>
                <w:szCs w:val="16"/>
                <w:vertAlign w:val="superscript"/>
              </w:rPr>
              <w:t>ième</w:t>
            </w:r>
            <w:r w:rsidRPr="00E11FFB">
              <w:rPr>
                <w:rFonts w:ascii="Avenir" w:eastAsia="Avenir" w:hAnsi="Avenir" w:cs="Avenir"/>
                <w:color w:val="000000"/>
                <w:sz w:val="16"/>
                <w:szCs w:val="16"/>
              </w:rPr>
              <w:t xml:space="preserve"> conseil de ministre ; 1 CPAT dans le PIREDD Kasaï oriental</w:t>
            </w:r>
          </w:p>
        </w:tc>
        <w:tc>
          <w:tcPr>
            <w:tcW w:w="4377" w:type="dxa"/>
            <w:vAlign w:val="center"/>
          </w:tcPr>
          <w:p w14:paraId="0801631A" w14:textId="32B3A14C" w:rsidR="000F0E04" w:rsidRPr="00E11FFB" w:rsidRDefault="00431C8A" w:rsidP="003A6DE1">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La loi AT promulguée ; 1 Décret CNAT adopté au 63</w:t>
            </w:r>
            <w:r w:rsidRPr="00E11FFB">
              <w:rPr>
                <w:rFonts w:ascii="Avenir" w:eastAsia="Avenir" w:hAnsi="Avenir" w:cs="Avenir"/>
                <w:color w:val="000000"/>
                <w:sz w:val="16"/>
                <w:szCs w:val="16"/>
                <w:vertAlign w:val="superscript"/>
              </w:rPr>
              <w:t>ième</w:t>
            </w:r>
            <w:r w:rsidRPr="00E11FFB">
              <w:rPr>
                <w:rFonts w:ascii="Avenir" w:eastAsia="Avenir" w:hAnsi="Avenir" w:cs="Avenir"/>
                <w:color w:val="000000"/>
                <w:sz w:val="16"/>
                <w:szCs w:val="16"/>
              </w:rPr>
              <w:t xml:space="preserve"> conseil de ministre ; 1 CPAT dans le PIREDD Kasaï oriental</w:t>
            </w:r>
          </w:p>
        </w:tc>
      </w:tr>
      <w:tr w:rsidR="000F0E04" w:rsidRPr="00E11FFB" w14:paraId="5EF18DC9" w14:textId="77777777" w:rsidTr="003A6DE1">
        <w:trPr>
          <w:jc w:val="center"/>
        </w:trPr>
        <w:tc>
          <w:tcPr>
            <w:tcW w:w="8754" w:type="dxa"/>
            <w:gridSpan w:val="2"/>
            <w:shd w:val="clear" w:color="auto" w:fill="D9D9D9"/>
            <w:vAlign w:val="center"/>
          </w:tcPr>
          <w:p w14:paraId="14BE2DD9" w14:textId="77777777" w:rsidR="000F0E04" w:rsidRPr="00E11FFB" w:rsidRDefault="000F0E04" w:rsidP="003A6DE1">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2ème indicateur effet 1 : </w:t>
            </w:r>
            <w:r w:rsidRPr="00E11FFB">
              <w:rPr>
                <w:rFonts w:ascii="Avenir" w:eastAsia="Avenir" w:hAnsi="Avenir" w:cs="Avenir"/>
                <w:bCs/>
                <w:color w:val="000000"/>
                <w:sz w:val="16"/>
                <w:szCs w:val="16"/>
              </w:rPr>
              <w:t xml:space="preserve">Nombre des groupes thématiques opérationnels qui font la collecte des données de l'Annuaire </w:t>
            </w:r>
          </w:p>
        </w:tc>
      </w:tr>
      <w:tr w:rsidR="000F0E04" w:rsidRPr="00E11FFB" w14:paraId="0E30EA32" w14:textId="77777777" w:rsidTr="002142A2">
        <w:trPr>
          <w:trHeight w:val="388"/>
          <w:jc w:val="center"/>
        </w:trPr>
        <w:tc>
          <w:tcPr>
            <w:tcW w:w="4377" w:type="dxa"/>
          </w:tcPr>
          <w:p w14:paraId="73D93B72" w14:textId="77777777" w:rsidR="000F0E04" w:rsidRPr="00E11FFB" w:rsidRDefault="000F0E04" w:rsidP="003A6DE1">
            <w:pPr>
              <w:rPr>
                <w:rFonts w:ascii="Avenir" w:eastAsia="Avenir" w:hAnsi="Avenir" w:cs="Avenir"/>
                <w:b/>
                <w:color w:val="000000"/>
                <w:sz w:val="16"/>
                <w:szCs w:val="16"/>
              </w:rPr>
            </w:pPr>
            <w:r w:rsidRPr="00E11FFB">
              <w:rPr>
                <w:rFonts w:ascii="Avenir" w:eastAsia="Avenir" w:hAnsi="Avenir" w:cs="Avenir"/>
                <w:color w:val="000000"/>
                <w:sz w:val="16"/>
                <w:szCs w:val="16"/>
              </w:rPr>
              <w:t>10 groupes thématiques mises en place, données collectées. Une retraite des groupes thématiques organisée à Bibwa.</w:t>
            </w:r>
          </w:p>
        </w:tc>
        <w:tc>
          <w:tcPr>
            <w:tcW w:w="4377" w:type="dxa"/>
            <w:vAlign w:val="center"/>
          </w:tcPr>
          <w:p w14:paraId="56E0EEAB" w14:textId="40584BA0" w:rsidR="000F0E04" w:rsidRPr="00E11FFB" w:rsidRDefault="00431C8A" w:rsidP="003A6DE1">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10 groupes thématiques mises en place, données collectées. Une retraite des groupes thématiques organisée à Bibwa</w:t>
            </w:r>
          </w:p>
        </w:tc>
      </w:tr>
      <w:tr w:rsidR="000F0E04" w:rsidRPr="00E11FFB" w14:paraId="46C5B971" w14:textId="77777777" w:rsidTr="003A6DE1">
        <w:trPr>
          <w:jc w:val="center"/>
        </w:trPr>
        <w:tc>
          <w:tcPr>
            <w:tcW w:w="8754" w:type="dxa"/>
            <w:gridSpan w:val="2"/>
            <w:shd w:val="clear" w:color="auto" w:fill="D9D9D9" w:themeFill="background1" w:themeFillShade="D9"/>
            <w:vAlign w:val="center"/>
          </w:tcPr>
          <w:p w14:paraId="05952C00" w14:textId="00805EDD" w:rsidR="000F0E04" w:rsidRPr="00E11FFB" w:rsidRDefault="000F0E04" w:rsidP="003A6DE1">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3ième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bCs/>
                <w:color w:val="000000"/>
                <w:sz w:val="16"/>
                <w:szCs w:val="16"/>
              </w:rPr>
              <w:t>Nbre de mini-atelier d’analyse et traitement des données collectées par le Comité technique.</w:t>
            </w:r>
          </w:p>
        </w:tc>
      </w:tr>
      <w:tr w:rsidR="000F0E04" w:rsidRPr="00E11FFB" w14:paraId="3954A3F4" w14:textId="77777777" w:rsidTr="003A6DE1">
        <w:trPr>
          <w:trHeight w:val="359"/>
          <w:jc w:val="center"/>
        </w:trPr>
        <w:tc>
          <w:tcPr>
            <w:tcW w:w="4377" w:type="dxa"/>
          </w:tcPr>
          <w:p w14:paraId="2A67FBCB" w14:textId="77777777" w:rsidR="000F0E04" w:rsidRPr="00E11FFB" w:rsidRDefault="000F0E04" w:rsidP="003A6DE1">
            <w:pPr>
              <w:rPr>
                <w:rFonts w:ascii="Avenir" w:eastAsia="Avenir" w:hAnsi="Avenir" w:cs="Avenir"/>
                <w:color w:val="000000"/>
                <w:sz w:val="16"/>
                <w:szCs w:val="16"/>
              </w:rPr>
            </w:pPr>
            <w:r w:rsidRPr="00E11FFB">
              <w:rPr>
                <w:rFonts w:ascii="Avenir" w:eastAsia="Avenir" w:hAnsi="Avenir" w:cs="Avenir"/>
                <w:color w:val="000000"/>
                <w:sz w:val="16"/>
                <w:szCs w:val="16"/>
              </w:rPr>
              <w:t>1 mini atelier pour la production de l’annuaire de ressources naturelles et du sous-sol</w:t>
            </w:r>
          </w:p>
        </w:tc>
        <w:tc>
          <w:tcPr>
            <w:tcW w:w="4377" w:type="dxa"/>
            <w:vAlign w:val="center"/>
          </w:tcPr>
          <w:p w14:paraId="7233691E" w14:textId="0334D36C" w:rsidR="000F0E04" w:rsidRPr="00E11FFB" w:rsidRDefault="00431C8A" w:rsidP="003A6DE1">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1 mini atelier pour la production de l’annuaire de ressources naturelles et du sous-sol</w:t>
            </w:r>
          </w:p>
        </w:tc>
      </w:tr>
      <w:tr w:rsidR="000F0E04" w:rsidRPr="00E11FFB" w14:paraId="6B4CA360" w14:textId="77777777" w:rsidTr="003A6DE1">
        <w:trPr>
          <w:jc w:val="center"/>
        </w:trPr>
        <w:tc>
          <w:tcPr>
            <w:tcW w:w="8754" w:type="dxa"/>
            <w:gridSpan w:val="2"/>
            <w:shd w:val="clear" w:color="auto" w:fill="D9D9D9" w:themeFill="background1" w:themeFillShade="D9"/>
          </w:tcPr>
          <w:p w14:paraId="7F228B72" w14:textId="6FD37189" w:rsidR="000F0E04" w:rsidRPr="00E11FFB" w:rsidRDefault="000F0E04" w:rsidP="003A6DE1">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4ième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color w:val="000000"/>
                <w:sz w:val="16"/>
                <w:szCs w:val="16"/>
              </w:rPr>
              <w:t>Nbre de consultations (en ateliers) d’identification des conflits d'affectation des terres et de superposition des usages à analyser.</w:t>
            </w:r>
          </w:p>
        </w:tc>
      </w:tr>
      <w:tr w:rsidR="000F0E04" w:rsidRPr="00E11FFB" w14:paraId="32BE2A94" w14:textId="77777777" w:rsidTr="003A6DE1">
        <w:trPr>
          <w:jc w:val="center"/>
        </w:trPr>
        <w:tc>
          <w:tcPr>
            <w:tcW w:w="4377" w:type="dxa"/>
          </w:tcPr>
          <w:p w14:paraId="76248997" w14:textId="77777777" w:rsidR="000F0E04" w:rsidRPr="00E11FFB" w:rsidRDefault="000F0E04" w:rsidP="003A6DE1">
            <w:pPr>
              <w:rPr>
                <w:rFonts w:ascii="Avenir" w:eastAsia="Avenir" w:hAnsi="Avenir" w:cs="Avenir"/>
                <w:color w:val="000000"/>
                <w:sz w:val="16"/>
                <w:szCs w:val="16"/>
              </w:rPr>
            </w:pPr>
            <w:r w:rsidRPr="00E11FFB">
              <w:rPr>
                <w:rFonts w:ascii="Avenir" w:eastAsia="Avenir" w:hAnsi="Avenir" w:cs="Avenir"/>
                <w:color w:val="000000"/>
                <w:sz w:val="16"/>
                <w:szCs w:val="16"/>
              </w:rPr>
              <w:t>2 consultations sur l’identification des conflits (Equateur, Tshopo)</w:t>
            </w:r>
          </w:p>
        </w:tc>
        <w:tc>
          <w:tcPr>
            <w:tcW w:w="4377" w:type="dxa"/>
            <w:vAlign w:val="center"/>
          </w:tcPr>
          <w:p w14:paraId="72BF5F76" w14:textId="2B51F1BB" w:rsidR="000F0E04" w:rsidRPr="00E11FFB" w:rsidRDefault="00431C8A" w:rsidP="003A6DE1">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2 consultations sur l’identification des conflits (Equateur, Tshopo)</w:t>
            </w:r>
          </w:p>
        </w:tc>
      </w:tr>
      <w:tr w:rsidR="000F0E04" w:rsidRPr="00E11FFB" w14:paraId="3A10A9D0" w14:textId="77777777" w:rsidTr="003A6DE1">
        <w:trPr>
          <w:jc w:val="center"/>
        </w:trPr>
        <w:tc>
          <w:tcPr>
            <w:tcW w:w="8754" w:type="dxa"/>
            <w:gridSpan w:val="2"/>
            <w:shd w:val="clear" w:color="auto" w:fill="D9D9D9" w:themeFill="background1" w:themeFillShade="D9"/>
          </w:tcPr>
          <w:p w14:paraId="44743B38" w14:textId="34A4A552" w:rsidR="000F0E04" w:rsidRPr="00E11FFB" w:rsidRDefault="000F0E04" w:rsidP="003A6DE1">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5ième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color w:val="000000"/>
                <w:sz w:val="16"/>
                <w:szCs w:val="16"/>
              </w:rPr>
              <w:t>Nbre des cartographes mobilisés pour la cartographie des zones des conflits d'affectation des terres</w:t>
            </w:r>
          </w:p>
        </w:tc>
      </w:tr>
      <w:tr w:rsidR="000F0E04" w:rsidRPr="00E11FFB" w14:paraId="5D203C64" w14:textId="77777777" w:rsidTr="003A6DE1">
        <w:trPr>
          <w:jc w:val="center"/>
        </w:trPr>
        <w:tc>
          <w:tcPr>
            <w:tcW w:w="4377" w:type="dxa"/>
          </w:tcPr>
          <w:p w14:paraId="2C4F5B91" w14:textId="77777777" w:rsidR="000F0E04" w:rsidRPr="00E11FFB" w:rsidRDefault="000F0E04" w:rsidP="003A6DE1">
            <w:pPr>
              <w:rPr>
                <w:rFonts w:ascii="Avenir" w:eastAsia="Avenir" w:hAnsi="Avenir" w:cs="Avenir"/>
                <w:color w:val="000000"/>
                <w:sz w:val="16"/>
                <w:szCs w:val="16"/>
              </w:rPr>
            </w:pPr>
            <w:r w:rsidRPr="00E11FFB">
              <w:rPr>
                <w:rFonts w:ascii="Avenir" w:eastAsia="Avenir" w:hAnsi="Avenir" w:cs="Avenir"/>
                <w:color w:val="000000"/>
                <w:sz w:val="16"/>
                <w:szCs w:val="16"/>
              </w:rPr>
              <w:t>3 cartographes</w:t>
            </w:r>
          </w:p>
        </w:tc>
        <w:tc>
          <w:tcPr>
            <w:tcW w:w="4377" w:type="dxa"/>
            <w:vAlign w:val="center"/>
          </w:tcPr>
          <w:p w14:paraId="7B789CB1" w14:textId="77777777" w:rsidR="000F0E04" w:rsidRPr="00E11FFB" w:rsidRDefault="000F0E04" w:rsidP="003A6DE1">
            <w:pPr>
              <w:spacing w:after="5" w:line="271" w:lineRule="auto"/>
              <w:rPr>
                <w:rFonts w:ascii="Avenir" w:eastAsia="Avenir" w:hAnsi="Avenir" w:cs="Avenir"/>
                <w:b/>
                <w:color w:val="000000"/>
                <w:sz w:val="16"/>
                <w:szCs w:val="16"/>
              </w:rPr>
            </w:pPr>
          </w:p>
        </w:tc>
      </w:tr>
      <w:tr w:rsidR="000F0E04" w:rsidRPr="00E11FFB" w14:paraId="48F5EA99" w14:textId="77777777" w:rsidTr="003A6DE1">
        <w:trPr>
          <w:jc w:val="center"/>
        </w:trPr>
        <w:tc>
          <w:tcPr>
            <w:tcW w:w="8754" w:type="dxa"/>
            <w:gridSpan w:val="2"/>
            <w:shd w:val="clear" w:color="auto" w:fill="D9D9D9" w:themeFill="background1" w:themeFillShade="D9"/>
          </w:tcPr>
          <w:p w14:paraId="38B9BF8A" w14:textId="6C1231D3" w:rsidR="000F0E04" w:rsidRPr="00E11FFB" w:rsidRDefault="000F0E04" w:rsidP="003A6DE1">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6ième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color w:val="000000"/>
                <w:sz w:val="16"/>
                <w:szCs w:val="16"/>
              </w:rPr>
              <w:t>Nbre de missions de Collecte des données auprès des ministères sectoriels à Kinshasa sur les contrats d’affectation des terres (y compris données géo- référencées).</w:t>
            </w:r>
          </w:p>
        </w:tc>
      </w:tr>
      <w:tr w:rsidR="00431C8A" w:rsidRPr="00E11FFB" w14:paraId="294AC974" w14:textId="77777777" w:rsidTr="009456A3">
        <w:trPr>
          <w:jc w:val="center"/>
        </w:trPr>
        <w:tc>
          <w:tcPr>
            <w:tcW w:w="4377" w:type="dxa"/>
          </w:tcPr>
          <w:p w14:paraId="1D35C4C7" w14:textId="636C15B1" w:rsidR="00431C8A" w:rsidRPr="00E11FFB" w:rsidRDefault="00431C8A" w:rsidP="00431C8A">
            <w:pPr>
              <w:rPr>
                <w:rFonts w:ascii="Avenir" w:eastAsia="Avenir" w:hAnsi="Avenir" w:cs="Avenir"/>
                <w:color w:val="000000"/>
                <w:sz w:val="16"/>
                <w:szCs w:val="16"/>
              </w:rPr>
            </w:pPr>
            <w:r w:rsidRPr="00E11FFB">
              <w:rPr>
                <w:rFonts w:ascii="Avenir" w:eastAsia="Avenir" w:hAnsi="Avenir" w:cs="Avenir"/>
                <w:color w:val="000000"/>
                <w:sz w:val="16"/>
                <w:szCs w:val="16"/>
              </w:rPr>
              <w:t>5 missions effectuées, données collectées sur les concessions forestières</w:t>
            </w:r>
            <w:r w:rsidRPr="00E11FFB">
              <w:rPr>
                <w:rFonts w:ascii="Avenir" w:eastAsia="Avenir" w:hAnsi="Avenir" w:cs="Avenir"/>
                <w:bCs/>
                <w:color w:val="000000"/>
                <w:sz w:val="16"/>
                <w:szCs w:val="16"/>
              </w:rPr>
              <w:t xml:space="preserve"> Certains contrats sont publiés sur les sites de certains ministères dont les mines, les hydrocarbures. ITIE a publié une partie des contrats de forêts</w:t>
            </w:r>
          </w:p>
        </w:tc>
        <w:tc>
          <w:tcPr>
            <w:tcW w:w="4377" w:type="dxa"/>
          </w:tcPr>
          <w:p w14:paraId="32CACDED" w14:textId="34AE3593"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color w:val="000000"/>
                <w:sz w:val="16"/>
                <w:szCs w:val="16"/>
              </w:rPr>
              <w:t>5 missions effectuées, données collectées sur les concessions forestières</w:t>
            </w:r>
            <w:r w:rsidRPr="00E11FFB">
              <w:rPr>
                <w:rFonts w:ascii="Avenir" w:eastAsia="Avenir" w:hAnsi="Avenir" w:cs="Avenir"/>
                <w:bCs/>
                <w:color w:val="000000"/>
                <w:sz w:val="16"/>
                <w:szCs w:val="16"/>
              </w:rPr>
              <w:t xml:space="preserve"> Certains contrats sont publiés sur les sites de certains ministères dont les mines, les hydrocarbures. ITIE a publié une partie des contrats de forêts</w:t>
            </w:r>
          </w:p>
        </w:tc>
      </w:tr>
      <w:tr w:rsidR="00431C8A" w:rsidRPr="00E11FFB" w14:paraId="05D40AFF" w14:textId="77777777" w:rsidTr="003A6DE1">
        <w:trPr>
          <w:jc w:val="center"/>
        </w:trPr>
        <w:tc>
          <w:tcPr>
            <w:tcW w:w="8754" w:type="dxa"/>
            <w:gridSpan w:val="2"/>
            <w:shd w:val="clear" w:color="auto" w:fill="D9D9D9" w:themeFill="background1" w:themeFillShade="D9"/>
          </w:tcPr>
          <w:p w14:paraId="351F1E24" w14:textId="6367BDFE"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
                <w:color w:val="000000"/>
                <w:sz w:val="16"/>
                <w:szCs w:val="16"/>
              </w:rPr>
              <w:t xml:space="preserve">7ième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bCs/>
                <w:color w:val="000000"/>
                <w:sz w:val="16"/>
                <w:szCs w:val="16"/>
              </w:rPr>
              <w:t>Base de données géoréférencées de tous les contrats d'affectation des terres mise en ligne est actualisée annuellement.</w:t>
            </w:r>
          </w:p>
        </w:tc>
      </w:tr>
      <w:tr w:rsidR="00431C8A" w:rsidRPr="00E11FFB" w14:paraId="2CB62609" w14:textId="77777777" w:rsidTr="009456A3">
        <w:trPr>
          <w:jc w:val="center"/>
        </w:trPr>
        <w:tc>
          <w:tcPr>
            <w:tcW w:w="4377" w:type="dxa"/>
          </w:tcPr>
          <w:p w14:paraId="32B689CA" w14:textId="77777777" w:rsidR="00431C8A" w:rsidRPr="00E11FFB" w:rsidRDefault="00431C8A" w:rsidP="00431C8A">
            <w:pPr>
              <w:rPr>
                <w:rFonts w:ascii="Avenir" w:eastAsia="Avenir" w:hAnsi="Avenir" w:cs="Avenir"/>
                <w:color w:val="000000"/>
                <w:sz w:val="16"/>
                <w:szCs w:val="16"/>
              </w:rPr>
            </w:pPr>
            <w:r w:rsidRPr="00E11FFB">
              <w:rPr>
                <w:rFonts w:ascii="Avenir" w:eastAsia="Avenir" w:hAnsi="Avenir" w:cs="Avenir"/>
                <w:color w:val="000000"/>
                <w:sz w:val="16"/>
                <w:szCs w:val="16"/>
              </w:rPr>
              <w:t>1 base de données publiée sur les sites respectifs des ministères des mines, des hydrocarbures</w:t>
            </w:r>
          </w:p>
        </w:tc>
        <w:tc>
          <w:tcPr>
            <w:tcW w:w="4377" w:type="dxa"/>
          </w:tcPr>
          <w:p w14:paraId="1FD0EA38" w14:textId="109F8E05"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1 base de données publiée sur les sites respectifs des ministères des mines, des hydrocarbures</w:t>
            </w:r>
          </w:p>
        </w:tc>
      </w:tr>
      <w:tr w:rsidR="00431C8A" w:rsidRPr="00E11FFB" w14:paraId="766248EF" w14:textId="77777777" w:rsidTr="003A6DE1">
        <w:trPr>
          <w:jc w:val="center"/>
        </w:trPr>
        <w:tc>
          <w:tcPr>
            <w:tcW w:w="8754" w:type="dxa"/>
            <w:gridSpan w:val="2"/>
            <w:shd w:val="clear" w:color="auto" w:fill="D9D9D9" w:themeFill="background1" w:themeFillShade="D9"/>
          </w:tcPr>
          <w:p w14:paraId="62DDE9E1" w14:textId="02158007"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9ième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bCs/>
                <w:color w:val="000000"/>
                <w:sz w:val="16"/>
                <w:szCs w:val="16"/>
              </w:rPr>
              <w:t>Nb (calculé) de personnes touchées par les campagnes de communication visant principalement à informer sur le projet.</w:t>
            </w:r>
          </w:p>
        </w:tc>
      </w:tr>
      <w:tr w:rsidR="00431C8A" w:rsidRPr="00E11FFB" w14:paraId="74C38E09" w14:textId="77777777" w:rsidTr="003A6DE1">
        <w:trPr>
          <w:jc w:val="center"/>
        </w:trPr>
        <w:tc>
          <w:tcPr>
            <w:tcW w:w="4377" w:type="dxa"/>
          </w:tcPr>
          <w:p w14:paraId="3394DDC1" w14:textId="563236C8" w:rsidR="00431C8A" w:rsidRPr="00E11FFB" w:rsidRDefault="00C65DC4" w:rsidP="00431C8A">
            <w:pPr>
              <w:rPr>
                <w:rFonts w:ascii="Avenir" w:eastAsia="Avenir" w:hAnsi="Avenir" w:cs="Avenir"/>
                <w:color w:val="000000"/>
                <w:sz w:val="16"/>
                <w:szCs w:val="16"/>
              </w:rPr>
            </w:pPr>
            <w:r w:rsidRPr="00E11FFB">
              <w:rPr>
                <w:rFonts w:ascii="Avenir" w:eastAsia="Avenir" w:hAnsi="Avenir" w:cs="Avenir"/>
                <w:color w:val="000000"/>
                <w:sz w:val="16"/>
                <w:szCs w:val="16"/>
              </w:rPr>
              <w:t>370 (16% femmes, 84% hommes)</w:t>
            </w:r>
          </w:p>
        </w:tc>
        <w:tc>
          <w:tcPr>
            <w:tcW w:w="4377" w:type="dxa"/>
            <w:vAlign w:val="center"/>
          </w:tcPr>
          <w:p w14:paraId="710C025D" w14:textId="15FAE9E4" w:rsidR="00431C8A" w:rsidRPr="00E11FFB" w:rsidRDefault="00C65DC4" w:rsidP="00431C8A">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370 (16% femmes, 84% hommes)</w:t>
            </w:r>
          </w:p>
        </w:tc>
      </w:tr>
      <w:tr w:rsidR="00431C8A" w:rsidRPr="00E11FFB" w14:paraId="1025441F" w14:textId="77777777" w:rsidTr="003A6DE1">
        <w:trPr>
          <w:jc w:val="center"/>
        </w:trPr>
        <w:tc>
          <w:tcPr>
            <w:tcW w:w="8754" w:type="dxa"/>
            <w:gridSpan w:val="2"/>
            <w:shd w:val="clear" w:color="auto" w:fill="D9D9D9" w:themeFill="background1" w:themeFillShade="D9"/>
          </w:tcPr>
          <w:p w14:paraId="0D2CF0F9" w14:textId="591ED4D1"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10ième indicateur effet </w:t>
            </w:r>
            <w:r w:rsidR="00C65DC4" w:rsidRPr="00E11FFB">
              <w:rPr>
                <w:rFonts w:ascii="Avenir" w:eastAsia="Avenir" w:hAnsi="Avenir" w:cs="Avenir"/>
                <w:b/>
                <w:color w:val="000000"/>
                <w:sz w:val="16"/>
                <w:szCs w:val="16"/>
              </w:rPr>
              <w:t xml:space="preserve">1 </w:t>
            </w:r>
            <w:r w:rsidRPr="00E11FFB">
              <w:rPr>
                <w:rFonts w:ascii="Avenir" w:eastAsia="Avenir" w:hAnsi="Avenir" w:cs="Avenir"/>
                <w:b/>
                <w:color w:val="000000"/>
                <w:sz w:val="16"/>
                <w:szCs w:val="16"/>
              </w:rPr>
              <w:t xml:space="preserve">: </w:t>
            </w:r>
            <w:r w:rsidRPr="00E11FFB">
              <w:rPr>
                <w:rFonts w:ascii="Avenir" w:eastAsia="Avenir" w:hAnsi="Avenir" w:cs="Avenir"/>
                <w:bCs/>
                <w:color w:val="000000"/>
                <w:sz w:val="16"/>
                <w:szCs w:val="16"/>
              </w:rPr>
              <w:t>Nb (calculé) de personnes touchées par les campagnes de communication visant principalement à modifier les attitudes et pratiques.</w:t>
            </w:r>
          </w:p>
        </w:tc>
      </w:tr>
      <w:tr w:rsidR="00431C8A" w:rsidRPr="00E11FFB" w14:paraId="01DAA312" w14:textId="77777777" w:rsidTr="003A6DE1">
        <w:trPr>
          <w:jc w:val="center"/>
        </w:trPr>
        <w:tc>
          <w:tcPr>
            <w:tcW w:w="4377" w:type="dxa"/>
          </w:tcPr>
          <w:p w14:paraId="00B30D91" w14:textId="3B26D90E" w:rsidR="00431C8A" w:rsidRPr="00E11FFB" w:rsidRDefault="00C65DC4" w:rsidP="00431C8A">
            <w:pPr>
              <w:rPr>
                <w:rFonts w:ascii="Avenir" w:eastAsia="Avenir" w:hAnsi="Avenir" w:cs="Avenir"/>
                <w:color w:val="000000"/>
                <w:sz w:val="16"/>
                <w:szCs w:val="16"/>
              </w:rPr>
            </w:pPr>
            <w:r w:rsidRPr="00E11FFB">
              <w:rPr>
                <w:rFonts w:ascii="Avenir" w:eastAsia="Avenir" w:hAnsi="Avenir" w:cs="Avenir"/>
                <w:color w:val="000000"/>
                <w:sz w:val="16"/>
                <w:szCs w:val="16"/>
              </w:rPr>
              <w:t>334 (</w:t>
            </w:r>
            <w:r w:rsidR="00D52D94" w:rsidRPr="00E11FFB">
              <w:rPr>
                <w:rFonts w:ascii="Avenir" w:eastAsia="Avenir" w:hAnsi="Avenir" w:cs="Avenir"/>
                <w:color w:val="000000"/>
                <w:sz w:val="16"/>
                <w:szCs w:val="16"/>
              </w:rPr>
              <w:t>18% femmes, 82% hommes)</w:t>
            </w:r>
          </w:p>
        </w:tc>
        <w:tc>
          <w:tcPr>
            <w:tcW w:w="4377" w:type="dxa"/>
            <w:vAlign w:val="center"/>
          </w:tcPr>
          <w:p w14:paraId="701C1EE8" w14:textId="4B98006F" w:rsidR="00431C8A" w:rsidRPr="00E11FFB" w:rsidRDefault="00D52D94" w:rsidP="00431C8A">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334 (18% femmes, 82% hommes)</w:t>
            </w:r>
          </w:p>
        </w:tc>
      </w:tr>
      <w:tr w:rsidR="00431C8A" w:rsidRPr="00E11FFB" w14:paraId="3565AD25" w14:textId="77777777" w:rsidTr="003A6DE1">
        <w:trPr>
          <w:jc w:val="center"/>
        </w:trPr>
        <w:tc>
          <w:tcPr>
            <w:tcW w:w="8754" w:type="dxa"/>
            <w:gridSpan w:val="2"/>
            <w:shd w:val="clear" w:color="auto" w:fill="D9D9D9" w:themeFill="background1" w:themeFillShade="D9"/>
          </w:tcPr>
          <w:p w14:paraId="3BAEA110" w14:textId="77777777"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 xml:space="preserve">11ième indicateur effet : </w:t>
            </w:r>
            <w:r w:rsidRPr="00E11FFB">
              <w:rPr>
                <w:rFonts w:ascii="Avenir" w:eastAsia="Avenir" w:hAnsi="Avenir" w:cs="Avenir"/>
                <w:color w:val="000000"/>
                <w:sz w:val="16"/>
                <w:szCs w:val="16"/>
              </w:rPr>
              <w:t>Pourcentage de campagnes utilisant des outils pour cibler spécifiquement les minorités et groupes vulnérables.</w:t>
            </w:r>
          </w:p>
        </w:tc>
      </w:tr>
      <w:tr w:rsidR="00431C8A" w:rsidRPr="00E11FFB" w14:paraId="41ED8553" w14:textId="77777777" w:rsidTr="003A6DE1">
        <w:trPr>
          <w:jc w:val="center"/>
        </w:trPr>
        <w:tc>
          <w:tcPr>
            <w:tcW w:w="4377" w:type="dxa"/>
          </w:tcPr>
          <w:p w14:paraId="18B0361E" w14:textId="511AA2DE" w:rsidR="00431C8A" w:rsidRPr="00E11FFB" w:rsidRDefault="00D52D94" w:rsidP="00431C8A">
            <w:pPr>
              <w:rPr>
                <w:rFonts w:ascii="Avenir" w:eastAsia="Avenir" w:hAnsi="Avenir" w:cs="Avenir"/>
                <w:color w:val="000000"/>
                <w:sz w:val="16"/>
                <w:szCs w:val="16"/>
              </w:rPr>
            </w:pPr>
            <w:r w:rsidRPr="00E11FFB">
              <w:rPr>
                <w:rFonts w:ascii="Avenir" w:eastAsia="Avenir" w:hAnsi="Avenir" w:cs="Avenir"/>
                <w:color w:val="000000"/>
                <w:sz w:val="16"/>
                <w:szCs w:val="16"/>
              </w:rPr>
              <w:t xml:space="preserve">25% </w:t>
            </w:r>
          </w:p>
        </w:tc>
        <w:tc>
          <w:tcPr>
            <w:tcW w:w="4377" w:type="dxa"/>
            <w:vAlign w:val="center"/>
          </w:tcPr>
          <w:p w14:paraId="3B18CFED" w14:textId="0846F18B" w:rsidR="00431C8A" w:rsidRPr="00E11FFB" w:rsidRDefault="00D52D94" w:rsidP="00431C8A">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25%</w:t>
            </w:r>
          </w:p>
        </w:tc>
      </w:tr>
      <w:tr w:rsidR="00431C8A" w:rsidRPr="00E11FFB" w14:paraId="0BCA6C43" w14:textId="77777777" w:rsidTr="003A6DE1">
        <w:trPr>
          <w:jc w:val="center"/>
        </w:trPr>
        <w:tc>
          <w:tcPr>
            <w:tcW w:w="8754" w:type="dxa"/>
            <w:gridSpan w:val="2"/>
            <w:shd w:val="clear" w:color="auto" w:fill="E7E6E6"/>
            <w:vAlign w:val="center"/>
          </w:tcPr>
          <w:p w14:paraId="50208CE7" w14:textId="77777777" w:rsidR="00431C8A" w:rsidRPr="00E11FFB" w:rsidRDefault="00431C8A" w:rsidP="00431C8A">
            <w:pPr>
              <w:spacing w:after="5" w:line="271" w:lineRule="auto"/>
              <w:jc w:val="center"/>
              <w:rPr>
                <w:rFonts w:ascii="Avenir" w:eastAsia="Avenir" w:hAnsi="Avenir" w:cs="Avenir"/>
                <w:b/>
                <w:color w:val="000000"/>
                <w:sz w:val="16"/>
                <w:szCs w:val="16"/>
              </w:rPr>
            </w:pPr>
            <w:r w:rsidRPr="00E11FFB">
              <w:rPr>
                <w:rFonts w:ascii="Avenir" w:eastAsia="Avenir" w:hAnsi="Avenir" w:cs="Avenir"/>
                <w:b/>
                <w:color w:val="000000"/>
                <w:sz w:val="20"/>
                <w:szCs w:val="20"/>
              </w:rPr>
              <w:t>Effet 2 : La politique de Développement agricole durable est mise en pratique (dont préservation des forêts HV et tourbières (Agriculture)</w:t>
            </w:r>
          </w:p>
        </w:tc>
      </w:tr>
      <w:tr w:rsidR="00431C8A" w:rsidRPr="00E11FFB" w14:paraId="1B35CC72" w14:textId="77777777" w:rsidTr="003A6DE1">
        <w:trPr>
          <w:jc w:val="center"/>
        </w:trPr>
        <w:tc>
          <w:tcPr>
            <w:tcW w:w="8754" w:type="dxa"/>
            <w:gridSpan w:val="2"/>
            <w:shd w:val="clear" w:color="auto" w:fill="E7E6E6"/>
            <w:vAlign w:val="center"/>
          </w:tcPr>
          <w:p w14:paraId="6FA800DB" w14:textId="3C8312BC"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1</w:t>
            </w:r>
            <w:r w:rsidR="00195513" w:rsidRPr="006D79E9">
              <w:rPr>
                <w:rFonts w:ascii="Avenir" w:eastAsia="Avenir" w:hAnsi="Avenir" w:cs="Avenir"/>
                <w:b/>
                <w:color w:val="000000"/>
                <w:sz w:val="16"/>
                <w:szCs w:val="16"/>
                <w:vertAlign w:val="superscript"/>
              </w:rPr>
              <w:t>er</w:t>
            </w:r>
            <w:r w:rsidR="00195513">
              <w:rPr>
                <w:rFonts w:ascii="Avenir" w:eastAsia="Avenir" w:hAnsi="Avenir" w:cs="Avenir"/>
                <w:b/>
                <w:color w:val="000000"/>
                <w:sz w:val="16"/>
                <w:szCs w:val="16"/>
              </w:rPr>
              <w:t xml:space="preserve"> </w:t>
            </w:r>
            <w:r w:rsidRPr="00E11FFB">
              <w:rPr>
                <w:rFonts w:ascii="Avenir" w:eastAsia="Avenir" w:hAnsi="Avenir" w:cs="Avenir"/>
                <w:b/>
                <w:color w:val="000000"/>
                <w:sz w:val="16"/>
                <w:szCs w:val="16"/>
              </w:rPr>
              <w:t xml:space="preserve"> Indicateur effet 2 : Nombre d’ateliers de Vulgarisation du document de la Politique (au niveau national et dans les provinces) </w:t>
            </w:r>
          </w:p>
        </w:tc>
      </w:tr>
      <w:tr w:rsidR="00431C8A" w:rsidRPr="00E11FFB" w14:paraId="07A96E2A" w14:textId="77777777" w:rsidTr="003A6DE1">
        <w:trPr>
          <w:jc w:val="center"/>
        </w:trPr>
        <w:tc>
          <w:tcPr>
            <w:tcW w:w="4377" w:type="dxa"/>
            <w:vAlign w:val="center"/>
          </w:tcPr>
          <w:p w14:paraId="79F0E0B1" w14:textId="77777777"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7 ateliers organisés dans 7 provinces</w:t>
            </w:r>
          </w:p>
        </w:tc>
        <w:tc>
          <w:tcPr>
            <w:tcW w:w="4377" w:type="dxa"/>
            <w:vAlign w:val="center"/>
          </w:tcPr>
          <w:p w14:paraId="28E8D7BE" w14:textId="48C68A63" w:rsidR="00431C8A" w:rsidRPr="00E11FFB" w:rsidRDefault="00195513" w:rsidP="00431C8A">
            <w:pPr>
              <w:spacing w:after="5" w:line="271" w:lineRule="auto"/>
              <w:rPr>
                <w:rFonts w:ascii="Avenir" w:eastAsia="Avenir" w:hAnsi="Avenir" w:cs="Avenir"/>
                <w:b/>
                <w:color w:val="000000"/>
                <w:sz w:val="16"/>
                <w:szCs w:val="16"/>
              </w:rPr>
            </w:pPr>
            <w:r>
              <w:rPr>
                <w:rFonts w:ascii="Avenir" w:eastAsia="Avenir" w:hAnsi="Avenir" w:cs="Avenir"/>
                <w:color w:val="000000"/>
                <w:sz w:val="16"/>
                <w:szCs w:val="16"/>
              </w:rPr>
              <w:t xml:space="preserve">7 </w:t>
            </w:r>
            <w:r w:rsidR="00431C8A" w:rsidRPr="00E11FFB">
              <w:rPr>
                <w:rFonts w:ascii="Avenir" w:eastAsia="Avenir" w:hAnsi="Avenir" w:cs="Avenir"/>
                <w:color w:val="000000"/>
                <w:sz w:val="16"/>
                <w:szCs w:val="16"/>
              </w:rPr>
              <w:t>provinces</w:t>
            </w:r>
          </w:p>
        </w:tc>
      </w:tr>
      <w:tr w:rsidR="00431C8A" w:rsidRPr="00E11FFB" w14:paraId="71F49FF4" w14:textId="77777777" w:rsidTr="003A6DE1">
        <w:trPr>
          <w:jc w:val="center"/>
        </w:trPr>
        <w:tc>
          <w:tcPr>
            <w:tcW w:w="8754" w:type="dxa"/>
            <w:gridSpan w:val="2"/>
            <w:shd w:val="clear" w:color="auto" w:fill="D9D9D9" w:themeFill="background1" w:themeFillShade="D9"/>
            <w:vAlign w:val="center"/>
          </w:tcPr>
          <w:p w14:paraId="09F40871" w14:textId="224CD688"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2ieme Indicateur effet 2 : La loi agricole révisée est promulguée et les textes d'application sont publiés</w:t>
            </w:r>
          </w:p>
        </w:tc>
      </w:tr>
      <w:tr w:rsidR="00431C8A" w:rsidRPr="00E11FFB" w14:paraId="4CB4023A" w14:textId="77777777" w:rsidTr="003A6DE1">
        <w:trPr>
          <w:jc w:val="center"/>
        </w:trPr>
        <w:tc>
          <w:tcPr>
            <w:tcW w:w="4377" w:type="dxa"/>
            <w:vAlign w:val="center"/>
          </w:tcPr>
          <w:p w14:paraId="50A949BA" w14:textId="77777777"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La loi agricole révisée par le ministère et le draft transmis au gouvernement</w:t>
            </w:r>
          </w:p>
        </w:tc>
        <w:tc>
          <w:tcPr>
            <w:tcW w:w="4377" w:type="dxa"/>
            <w:vAlign w:val="center"/>
          </w:tcPr>
          <w:p w14:paraId="097E489A" w14:textId="5A023A30"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La loi agricole révisée par le ministère et le draft transmis au gouvernement</w:t>
            </w:r>
          </w:p>
        </w:tc>
      </w:tr>
      <w:tr w:rsidR="00431C8A" w:rsidRPr="00E11FFB" w14:paraId="437C173A" w14:textId="77777777" w:rsidTr="003A6DE1">
        <w:trPr>
          <w:jc w:val="center"/>
        </w:trPr>
        <w:tc>
          <w:tcPr>
            <w:tcW w:w="8754" w:type="dxa"/>
            <w:gridSpan w:val="2"/>
            <w:shd w:val="clear" w:color="auto" w:fill="D9D9D9" w:themeFill="background1" w:themeFillShade="D9"/>
            <w:vAlign w:val="center"/>
          </w:tcPr>
          <w:p w14:paraId="30C65372" w14:textId="135B3629"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3ieme Indicateur effet 2 : Des zones des savanes valorisées par des programmes des investissements agricoles des grandes envergures</w:t>
            </w:r>
          </w:p>
        </w:tc>
      </w:tr>
      <w:tr w:rsidR="00431C8A" w:rsidRPr="00E11FFB" w14:paraId="276F8582" w14:textId="77777777" w:rsidTr="003A6DE1">
        <w:trPr>
          <w:jc w:val="center"/>
        </w:trPr>
        <w:tc>
          <w:tcPr>
            <w:tcW w:w="4377" w:type="dxa"/>
            <w:vAlign w:val="center"/>
          </w:tcPr>
          <w:p w14:paraId="0A93EB9C" w14:textId="77777777"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Un Programme d'Appui au Développement Durable des Savanes et Forêts Dégradées a été financé par le FONAREDD-CAFI en 2025 afin d’investir dans la valorisation des zones savanicoles. </w:t>
            </w:r>
          </w:p>
        </w:tc>
        <w:tc>
          <w:tcPr>
            <w:tcW w:w="4377" w:type="dxa"/>
            <w:vAlign w:val="center"/>
          </w:tcPr>
          <w:p w14:paraId="67C2637C" w14:textId="1C65B0B2"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 xml:space="preserve">Un Programme d'Appui au Développement Durable des Savanes et Forêts Dégradées a été financé par le FONAREDD-CAFI en 2025 afin d’investir dans la valorisation des zones savanicoles. </w:t>
            </w:r>
          </w:p>
        </w:tc>
      </w:tr>
      <w:tr w:rsidR="00431C8A" w:rsidRPr="00E11FFB" w14:paraId="45F3B0F7" w14:textId="77777777" w:rsidTr="003A6DE1">
        <w:trPr>
          <w:jc w:val="center"/>
        </w:trPr>
        <w:tc>
          <w:tcPr>
            <w:tcW w:w="8754" w:type="dxa"/>
            <w:gridSpan w:val="2"/>
            <w:shd w:val="clear" w:color="auto" w:fill="D9D9D9" w:themeFill="background1" w:themeFillShade="D9"/>
            <w:vAlign w:val="center"/>
          </w:tcPr>
          <w:p w14:paraId="7C61908F" w14:textId="77777777"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4ieme Indicateur effet 2 : La PAD traduite en 4 langues nationales</w:t>
            </w:r>
          </w:p>
        </w:tc>
      </w:tr>
      <w:tr w:rsidR="00431C8A" w:rsidRPr="00E11FFB" w14:paraId="5872B091" w14:textId="77777777" w:rsidTr="003A6DE1">
        <w:trPr>
          <w:jc w:val="center"/>
        </w:trPr>
        <w:tc>
          <w:tcPr>
            <w:tcW w:w="4377" w:type="dxa"/>
            <w:vAlign w:val="center"/>
          </w:tcPr>
          <w:p w14:paraId="30D8C6AD" w14:textId="77777777"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color w:val="000000"/>
                <w:sz w:val="16"/>
                <w:szCs w:val="16"/>
              </w:rPr>
              <w:t xml:space="preserve">Documents PAD traduites dans 4 langues nationales </w:t>
            </w:r>
          </w:p>
        </w:tc>
        <w:tc>
          <w:tcPr>
            <w:tcW w:w="4377" w:type="dxa"/>
            <w:vAlign w:val="center"/>
          </w:tcPr>
          <w:p w14:paraId="074AB79D" w14:textId="4C3ECA95"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color w:val="000000"/>
                <w:sz w:val="16"/>
                <w:szCs w:val="16"/>
              </w:rPr>
              <w:t>Documents PAD traduites dans 4 langues nationales</w:t>
            </w:r>
          </w:p>
        </w:tc>
      </w:tr>
      <w:tr w:rsidR="00431C8A" w:rsidRPr="00E11FFB" w14:paraId="057C7AF3" w14:textId="77777777" w:rsidTr="003A6DE1">
        <w:trPr>
          <w:jc w:val="center"/>
        </w:trPr>
        <w:tc>
          <w:tcPr>
            <w:tcW w:w="8754" w:type="dxa"/>
            <w:gridSpan w:val="2"/>
            <w:shd w:val="clear" w:color="auto" w:fill="D9D9D9" w:themeFill="background1" w:themeFillShade="D9"/>
            <w:vAlign w:val="center"/>
          </w:tcPr>
          <w:p w14:paraId="42EC7CCC" w14:textId="77777777"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5ieme Indicateur effet 2 : Conception des pilotes de cadastre agricole (Etude)</w:t>
            </w:r>
          </w:p>
        </w:tc>
      </w:tr>
      <w:tr w:rsidR="00431C8A" w:rsidRPr="00E11FFB" w14:paraId="7486F374" w14:textId="77777777" w:rsidTr="003A6DE1">
        <w:trPr>
          <w:jc w:val="center"/>
        </w:trPr>
        <w:tc>
          <w:tcPr>
            <w:tcW w:w="4377" w:type="dxa"/>
            <w:vAlign w:val="center"/>
          </w:tcPr>
          <w:p w14:paraId="138571C7" w14:textId="77777777"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Une étude sur le cadastre agricole réalisée</w:t>
            </w:r>
          </w:p>
        </w:tc>
        <w:tc>
          <w:tcPr>
            <w:tcW w:w="4377" w:type="dxa"/>
            <w:vAlign w:val="center"/>
          </w:tcPr>
          <w:p w14:paraId="016AAD4C" w14:textId="348C8544"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Une étude sur le cadastre agricole réalisée</w:t>
            </w:r>
          </w:p>
        </w:tc>
      </w:tr>
      <w:tr w:rsidR="00431C8A" w:rsidRPr="00E11FFB" w14:paraId="2C65689E" w14:textId="77777777" w:rsidTr="003A6DE1">
        <w:trPr>
          <w:jc w:val="center"/>
        </w:trPr>
        <w:tc>
          <w:tcPr>
            <w:tcW w:w="8754" w:type="dxa"/>
            <w:gridSpan w:val="2"/>
            <w:shd w:val="clear" w:color="auto" w:fill="D9D9D9" w:themeFill="background1" w:themeFillShade="D9"/>
            <w:vAlign w:val="center"/>
          </w:tcPr>
          <w:p w14:paraId="1CD4D7BE" w14:textId="0006F17F" w:rsidR="00431C8A" w:rsidRPr="00E11FFB" w:rsidRDefault="00004D7D" w:rsidP="00431C8A">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6</w:t>
            </w:r>
            <w:r w:rsidR="00431C8A" w:rsidRPr="00E11FFB">
              <w:rPr>
                <w:rFonts w:ascii="Avenir" w:eastAsia="Avenir" w:hAnsi="Avenir" w:cs="Avenir"/>
                <w:b/>
                <w:color w:val="000000"/>
                <w:sz w:val="16"/>
                <w:szCs w:val="16"/>
              </w:rPr>
              <w:t>ieme Indicateur effet 2 : Pratiques de l’agriculture durable adoptées à l’échelle familiale</w:t>
            </w:r>
          </w:p>
        </w:tc>
      </w:tr>
      <w:tr w:rsidR="00431C8A" w:rsidRPr="00E11FFB" w14:paraId="74461AB8" w14:textId="77777777" w:rsidTr="003A6DE1">
        <w:trPr>
          <w:jc w:val="center"/>
        </w:trPr>
        <w:tc>
          <w:tcPr>
            <w:tcW w:w="4377" w:type="dxa"/>
            <w:vAlign w:val="center"/>
          </w:tcPr>
          <w:p w14:paraId="496B5202" w14:textId="2B845662"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Pratiques vulgarisées et adoptées dans 7 provinces</w:t>
            </w:r>
            <w:r w:rsidR="00777940">
              <w:rPr>
                <w:rFonts w:ascii="Avenir" w:eastAsia="Avenir" w:hAnsi="Avenir" w:cs="Avenir"/>
                <w:bCs/>
                <w:color w:val="000000"/>
                <w:sz w:val="16"/>
                <w:szCs w:val="16"/>
              </w:rPr>
              <w:t xml:space="preserve"> (</w:t>
            </w:r>
            <w:r w:rsidR="00777940" w:rsidRPr="00777940">
              <w:rPr>
                <w:rFonts w:ascii="Avenir" w:eastAsia="Avenir" w:hAnsi="Avenir" w:cs="Avenir"/>
                <w:bCs/>
                <w:color w:val="000000"/>
                <w:sz w:val="16"/>
                <w:szCs w:val="16"/>
              </w:rPr>
              <w:t>Lomami</w:t>
            </w:r>
            <w:r w:rsidR="00777940">
              <w:rPr>
                <w:rFonts w:ascii="Avenir" w:eastAsia="Avenir" w:hAnsi="Avenir" w:cs="Avenir"/>
                <w:bCs/>
                <w:color w:val="000000"/>
                <w:sz w:val="16"/>
                <w:szCs w:val="16"/>
              </w:rPr>
              <w:t xml:space="preserve">, </w:t>
            </w:r>
            <w:r w:rsidR="00777940" w:rsidRPr="00777940">
              <w:rPr>
                <w:rFonts w:ascii="Avenir" w:eastAsia="Avenir" w:hAnsi="Avenir" w:cs="Avenir"/>
                <w:bCs/>
                <w:color w:val="000000"/>
                <w:sz w:val="16"/>
                <w:szCs w:val="16"/>
              </w:rPr>
              <w:t>Kasaï Central</w:t>
            </w:r>
            <w:r w:rsidR="00777940">
              <w:rPr>
                <w:rFonts w:ascii="Avenir" w:eastAsia="Avenir" w:hAnsi="Avenir" w:cs="Avenir"/>
                <w:bCs/>
                <w:color w:val="000000"/>
                <w:sz w:val="16"/>
                <w:szCs w:val="16"/>
              </w:rPr>
              <w:t>, Equateur, Kasai oriental, Tshopo, Maniema, Sub Ubangi)</w:t>
            </w:r>
          </w:p>
        </w:tc>
        <w:tc>
          <w:tcPr>
            <w:tcW w:w="4377" w:type="dxa"/>
            <w:vAlign w:val="center"/>
          </w:tcPr>
          <w:p w14:paraId="3536040C" w14:textId="071F49B2"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Pratiques vulgarisées et adoptées dans 7 provinces</w:t>
            </w:r>
            <w:r w:rsidR="00777940">
              <w:rPr>
                <w:rFonts w:ascii="Avenir" w:eastAsia="Avenir" w:hAnsi="Avenir" w:cs="Avenir"/>
                <w:bCs/>
                <w:color w:val="000000"/>
                <w:sz w:val="16"/>
                <w:szCs w:val="16"/>
              </w:rPr>
              <w:t xml:space="preserve"> (</w:t>
            </w:r>
            <w:r w:rsidR="00777940" w:rsidRPr="00777940">
              <w:rPr>
                <w:rFonts w:ascii="Avenir" w:eastAsia="Avenir" w:hAnsi="Avenir" w:cs="Avenir"/>
                <w:bCs/>
                <w:color w:val="000000"/>
                <w:sz w:val="16"/>
                <w:szCs w:val="16"/>
              </w:rPr>
              <w:t>Lomami</w:t>
            </w:r>
            <w:r w:rsidR="00777940">
              <w:rPr>
                <w:rFonts w:ascii="Avenir" w:eastAsia="Avenir" w:hAnsi="Avenir" w:cs="Avenir"/>
                <w:bCs/>
                <w:color w:val="000000"/>
                <w:sz w:val="16"/>
                <w:szCs w:val="16"/>
              </w:rPr>
              <w:t xml:space="preserve">, </w:t>
            </w:r>
            <w:r w:rsidR="00777940" w:rsidRPr="00777940">
              <w:rPr>
                <w:rFonts w:ascii="Avenir" w:eastAsia="Avenir" w:hAnsi="Avenir" w:cs="Avenir"/>
                <w:bCs/>
                <w:color w:val="000000"/>
                <w:sz w:val="16"/>
                <w:szCs w:val="16"/>
              </w:rPr>
              <w:t>Kasaï Central</w:t>
            </w:r>
            <w:r w:rsidR="00777940">
              <w:rPr>
                <w:rFonts w:ascii="Avenir" w:eastAsia="Avenir" w:hAnsi="Avenir" w:cs="Avenir"/>
                <w:bCs/>
                <w:color w:val="000000"/>
                <w:sz w:val="16"/>
                <w:szCs w:val="16"/>
              </w:rPr>
              <w:t>, Equateur, Kasai oriental, Tshopo, Maniema, Sub Ubangi)</w:t>
            </w:r>
          </w:p>
        </w:tc>
      </w:tr>
      <w:tr w:rsidR="00431C8A" w:rsidRPr="00E11FFB" w14:paraId="7130AB39" w14:textId="77777777" w:rsidTr="003A6DE1">
        <w:trPr>
          <w:jc w:val="center"/>
        </w:trPr>
        <w:tc>
          <w:tcPr>
            <w:tcW w:w="8754" w:type="dxa"/>
            <w:gridSpan w:val="2"/>
            <w:shd w:val="clear" w:color="auto" w:fill="D9D9D9" w:themeFill="background1" w:themeFillShade="D9"/>
            <w:vAlign w:val="center"/>
          </w:tcPr>
          <w:p w14:paraId="407C074B" w14:textId="64F5B0E8" w:rsidR="00431C8A" w:rsidRPr="00E11FFB" w:rsidRDefault="00004D7D" w:rsidP="00431C8A">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7</w:t>
            </w:r>
            <w:r w:rsidR="00431C8A" w:rsidRPr="00E11FFB">
              <w:rPr>
                <w:rFonts w:ascii="Avenir" w:eastAsia="Avenir" w:hAnsi="Avenir" w:cs="Avenir"/>
                <w:b/>
                <w:color w:val="000000"/>
                <w:sz w:val="16"/>
                <w:szCs w:val="16"/>
              </w:rPr>
              <w:t>ieme Indicateur effet 2 : Définir l’agriculture de taille intermédiaire (type familial) et les études provinciales</w:t>
            </w:r>
          </w:p>
        </w:tc>
      </w:tr>
      <w:tr w:rsidR="00431C8A" w:rsidRPr="00E11FFB" w14:paraId="3D41CED8" w14:textId="77777777" w:rsidTr="003A6DE1">
        <w:trPr>
          <w:jc w:val="center"/>
        </w:trPr>
        <w:tc>
          <w:tcPr>
            <w:tcW w:w="4377" w:type="dxa"/>
            <w:vAlign w:val="center"/>
          </w:tcPr>
          <w:p w14:paraId="77FE6B77" w14:textId="77777777" w:rsidR="00431C8A"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3 études de réflexion sur la définition de l’agriculture de taille intermédiaire dans 3 provinces (Tshopo, Kongo centrale et Kasai oriental)</w:t>
            </w:r>
          </w:p>
          <w:p w14:paraId="7325A7E2" w14:textId="01626E2C" w:rsidR="00004D7D" w:rsidRPr="00E11FFB" w:rsidRDefault="00004D7D" w:rsidP="00431C8A">
            <w:pPr>
              <w:spacing w:after="5" w:line="271" w:lineRule="auto"/>
              <w:rPr>
                <w:rFonts w:ascii="Avenir" w:eastAsia="Avenir" w:hAnsi="Avenir" w:cs="Avenir"/>
                <w:bCs/>
                <w:color w:val="000000"/>
                <w:sz w:val="16"/>
                <w:szCs w:val="16"/>
              </w:rPr>
            </w:pPr>
            <w:r>
              <w:rPr>
                <w:rFonts w:ascii="Avenir" w:eastAsia="Avenir" w:hAnsi="Avenir" w:cs="Avenir"/>
                <w:bCs/>
                <w:color w:val="000000"/>
                <w:sz w:val="16"/>
                <w:szCs w:val="16"/>
              </w:rPr>
              <w:t>Etude de potentiel agricole dans 4 provinces (Haut Katanga, Kasai central, Nord Kivu, Tshopo)</w:t>
            </w:r>
          </w:p>
        </w:tc>
        <w:tc>
          <w:tcPr>
            <w:tcW w:w="4377" w:type="dxa"/>
            <w:vAlign w:val="center"/>
          </w:tcPr>
          <w:p w14:paraId="1550F1C9" w14:textId="77777777" w:rsidR="00431C8A"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3 études de réflexion sur la définition de l’agriculture de taille intermédiaire dans 3 provinces (Tshopo, Kongo centrale et Kasai oriental)</w:t>
            </w:r>
          </w:p>
          <w:p w14:paraId="06A684D0" w14:textId="64DAAA5C" w:rsidR="00004D7D" w:rsidRPr="00E11FFB" w:rsidRDefault="00004D7D" w:rsidP="00431C8A">
            <w:pPr>
              <w:spacing w:after="5" w:line="271" w:lineRule="auto"/>
              <w:rPr>
                <w:rFonts w:ascii="Avenir" w:eastAsia="Avenir" w:hAnsi="Avenir" w:cs="Avenir"/>
                <w:b/>
                <w:color w:val="000000"/>
                <w:sz w:val="16"/>
                <w:szCs w:val="16"/>
              </w:rPr>
            </w:pPr>
            <w:r>
              <w:rPr>
                <w:rFonts w:ascii="Avenir" w:eastAsia="Avenir" w:hAnsi="Avenir" w:cs="Avenir"/>
                <w:bCs/>
                <w:color w:val="000000"/>
                <w:sz w:val="16"/>
                <w:szCs w:val="16"/>
              </w:rPr>
              <w:t>Etude de potentiel agricole dans 4 provinces (Haut Katanga, Kasai central, Nord Kivu, Tshopo)</w:t>
            </w:r>
          </w:p>
        </w:tc>
      </w:tr>
      <w:tr w:rsidR="00431C8A" w:rsidRPr="00E11FFB" w14:paraId="0E6077DA" w14:textId="77777777" w:rsidTr="003A6DE1">
        <w:trPr>
          <w:jc w:val="center"/>
        </w:trPr>
        <w:tc>
          <w:tcPr>
            <w:tcW w:w="8754" w:type="dxa"/>
            <w:gridSpan w:val="2"/>
            <w:shd w:val="clear" w:color="auto" w:fill="D9D9D9" w:themeFill="background1" w:themeFillShade="D9"/>
            <w:vAlign w:val="center"/>
          </w:tcPr>
          <w:p w14:paraId="20A8FF8D" w14:textId="03B7E6F0" w:rsidR="00431C8A" w:rsidRPr="00E11FFB" w:rsidRDefault="00ED088D" w:rsidP="00431C8A">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8</w:t>
            </w:r>
            <w:r w:rsidR="00431C8A" w:rsidRPr="00E11FFB">
              <w:rPr>
                <w:rFonts w:ascii="Avenir" w:eastAsia="Avenir" w:hAnsi="Avenir" w:cs="Avenir"/>
                <w:b/>
                <w:color w:val="000000"/>
                <w:sz w:val="16"/>
                <w:szCs w:val="16"/>
              </w:rPr>
              <w:t>ieme Indicateur effet 2 : Une implication des ménages agricoles du type familiale engagé dans le processus de réflexion et de définition</w:t>
            </w:r>
          </w:p>
        </w:tc>
      </w:tr>
      <w:tr w:rsidR="00431C8A" w:rsidRPr="00E11FFB" w14:paraId="0EB50A81" w14:textId="77777777" w:rsidTr="003A6DE1">
        <w:trPr>
          <w:jc w:val="center"/>
        </w:trPr>
        <w:tc>
          <w:tcPr>
            <w:tcW w:w="4377" w:type="dxa"/>
            <w:vAlign w:val="center"/>
          </w:tcPr>
          <w:p w14:paraId="25E29F71" w14:textId="0EDB5A23"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103 ménages impliqués dans le processus de réflexion dans 3 provinces</w:t>
            </w:r>
            <w:r w:rsidR="00777940">
              <w:rPr>
                <w:rFonts w:ascii="Avenir" w:eastAsia="Avenir" w:hAnsi="Avenir" w:cs="Avenir"/>
                <w:bCs/>
                <w:color w:val="000000"/>
                <w:sz w:val="16"/>
                <w:szCs w:val="16"/>
              </w:rPr>
              <w:t xml:space="preserve"> </w:t>
            </w:r>
            <w:r w:rsidR="00777940" w:rsidRPr="00E11FFB">
              <w:rPr>
                <w:rFonts w:ascii="Avenir" w:eastAsia="Avenir" w:hAnsi="Avenir" w:cs="Avenir"/>
                <w:bCs/>
                <w:color w:val="000000"/>
                <w:sz w:val="16"/>
                <w:szCs w:val="16"/>
              </w:rPr>
              <w:t>(Tshopo, Kongo centrale et Kasai oriental)</w:t>
            </w:r>
          </w:p>
        </w:tc>
        <w:tc>
          <w:tcPr>
            <w:tcW w:w="4377" w:type="dxa"/>
            <w:vAlign w:val="center"/>
          </w:tcPr>
          <w:p w14:paraId="020B8334" w14:textId="4C54C54D" w:rsidR="00431C8A" w:rsidRPr="006D79E9"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103 ménages impliqués dans le processus de réflexion dans 3 provinces</w:t>
            </w:r>
            <w:r w:rsidR="00777940">
              <w:rPr>
                <w:rFonts w:ascii="Avenir" w:eastAsia="Avenir" w:hAnsi="Avenir" w:cs="Avenir"/>
                <w:bCs/>
                <w:color w:val="000000"/>
                <w:sz w:val="16"/>
                <w:szCs w:val="16"/>
              </w:rPr>
              <w:t xml:space="preserve"> </w:t>
            </w:r>
            <w:r w:rsidR="00777940" w:rsidRPr="00E11FFB">
              <w:rPr>
                <w:rFonts w:ascii="Avenir" w:eastAsia="Avenir" w:hAnsi="Avenir" w:cs="Avenir"/>
                <w:bCs/>
                <w:color w:val="000000"/>
                <w:sz w:val="16"/>
                <w:szCs w:val="16"/>
              </w:rPr>
              <w:t>(Tshopo, Kongo centrale et Kasai oriental)</w:t>
            </w:r>
          </w:p>
        </w:tc>
      </w:tr>
      <w:tr w:rsidR="00431C8A" w:rsidRPr="00E11FFB" w14:paraId="6408D689" w14:textId="77777777" w:rsidTr="003A6DE1">
        <w:trPr>
          <w:trHeight w:val="188"/>
          <w:jc w:val="center"/>
        </w:trPr>
        <w:tc>
          <w:tcPr>
            <w:tcW w:w="8754" w:type="dxa"/>
            <w:gridSpan w:val="2"/>
            <w:shd w:val="clear" w:color="auto" w:fill="D9D9D9" w:themeFill="background1" w:themeFillShade="D9"/>
            <w:vAlign w:val="center"/>
          </w:tcPr>
          <w:p w14:paraId="5260BB93" w14:textId="4123390A" w:rsidR="00431C8A" w:rsidRPr="00E11FFB" w:rsidRDefault="00ED088D" w:rsidP="00431C8A">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9</w:t>
            </w:r>
            <w:r w:rsidR="00431C8A" w:rsidRPr="00E11FFB">
              <w:rPr>
                <w:rFonts w:ascii="Avenir" w:eastAsia="Avenir" w:hAnsi="Avenir" w:cs="Avenir"/>
                <w:b/>
                <w:color w:val="000000"/>
                <w:sz w:val="16"/>
                <w:szCs w:val="16"/>
              </w:rPr>
              <w:t>ieme Indicateur effet 2 : Subvention agricole pour les petits producteurs au sein des coopératives agricoles</w:t>
            </w:r>
          </w:p>
        </w:tc>
      </w:tr>
      <w:tr w:rsidR="00431C8A" w:rsidRPr="00E11FFB" w14:paraId="4D2E0DD8" w14:textId="77777777" w:rsidTr="003A6DE1">
        <w:trPr>
          <w:jc w:val="center"/>
        </w:trPr>
        <w:tc>
          <w:tcPr>
            <w:tcW w:w="4377" w:type="dxa"/>
            <w:vAlign w:val="center"/>
          </w:tcPr>
          <w:p w14:paraId="421B2155" w14:textId="6E06CE05" w:rsidR="00431C8A" w:rsidRPr="00E11FFB" w:rsidRDefault="00431C8A" w:rsidP="00431C8A">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Une subvention accordée aux agricultures sous forme d’intra lors de la campagne agricole dans 7 provinces</w:t>
            </w:r>
            <w:r w:rsidR="000722E0">
              <w:rPr>
                <w:rFonts w:ascii="Avenir" w:eastAsia="Avenir" w:hAnsi="Avenir" w:cs="Avenir"/>
                <w:bCs/>
                <w:color w:val="000000"/>
                <w:sz w:val="16"/>
                <w:szCs w:val="16"/>
              </w:rPr>
              <w:t xml:space="preserve"> (Bas Uélé, Haut Uélé, Haut Katanga, Ituri, </w:t>
            </w:r>
            <w:r w:rsidR="00ED088D">
              <w:rPr>
                <w:rFonts w:ascii="Avenir" w:eastAsia="Avenir" w:hAnsi="Avenir" w:cs="Avenir"/>
                <w:bCs/>
                <w:color w:val="000000"/>
                <w:sz w:val="16"/>
                <w:szCs w:val="16"/>
              </w:rPr>
              <w:t xml:space="preserve">Kasai central, Kasai oriental, Kongo central) </w:t>
            </w:r>
          </w:p>
        </w:tc>
        <w:tc>
          <w:tcPr>
            <w:tcW w:w="4377" w:type="dxa"/>
            <w:vAlign w:val="center"/>
          </w:tcPr>
          <w:p w14:paraId="25DA925F" w14:textId="18789EAD"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Une subvention accordée aux agricultures sous forme d’intra lors de la campagne agricole dans 7 provinces</w:t>
            </w:r>
            <w:r w:rsidR="00ED088D">
              <w:rPr>
                <w:rFonts w:ascii="Avenir" w:eastAsia="Avenir" w:hAnsi="Avenir" w:cs="Avenir"/>
                <w:bCs/>
                <w:color w:val="000000"/>
                <w:sz w:val="16"/>
                <w:szCs w:val="16"/>
              </w:rPr>
              <w:t xml:space="preserve"> (Bas Uélé, Haut Uélé, Haut Katanga, Ituri, Kasai central, Kasai oriental, Kongo central)</w:t>
            </w:r>
          </w:p>
        </w:tc>
      </w:tr>
      <w:tr w:rsidR="00431C8A" w:rsidRPr="00E11FFB" w14:paraId="7C243A8A" w14:textId="77777777" w:rsidTr="003A6DE1">
        <w:trPr>
          <w:jc w:val="center"/>
        </w:trPr>
        <w:tc>
          <w:tcPr>
            <w:tcW w:w="8754" w:type="dxa"/>
            <w:gridSpan w:val="2"/>
            <w:shd w:val="clear" w:color="auto" w:fill="D9D9D9" w:themeFill="background1" w:themeFillShade="D9"/>
          </w:tcPr>
          <w:p w14:paraId="7AD5EE4F" w14:textId="7F5002C8"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1</w:t>
            </w:r>
            <w:r w:rsidR="00ED088D">
              <w:rPr>
                <w:rFonts w:ascii="Avenir" w:eastAsia="Avenir" w:hAnsi="Avenir" w:cs="Avenir"/>
                <w:b/>
                <w:color w:val="000000"/>
                <w:sz w:val="16"/>
                <w:szCs w:val="16"/>
              </w:rPr>
              <w:t>0</w:t>
            </w:r>
            <w:r w:rsidRPr="00E11FFB">
              <w:rPr>
                <w:rFonts w:ascii="Avenir" w:eastAsia="Avenir" w:hAnsi="Avenir" w:cs="Avenir"/>
                <w:b/>
                <w:color w:val="000000"/>
                <w:sz w:val="16"/>
                <w:szCs w:val="16"/>
              </w:rPr>
              <w:t xml:space="preserve">ième indicateur effet 2 : </w:t>
            </w:r>
            <w:r w:rsidRPr="00E11FFB">
              <w:rPr>
                <w:rFonts w:ascii="Avenir" w:eastAsia="Avenir" w:hAnsi="Avenir" w:cs="Avenir"/>
                <w:bCs/>
                <w:color w:val="000000"/>
                <w:sz w:val="16"/>
                <w:szCs w:val="16"/>
              </w:rPr>
              <w:t>Nb (calculé) de personnes touchées par les campagnes de communication visant principalement à informer sur le projet.</w:t>
            </w:r>
          </w:p>
        </w:tc>
      </w:tr>
      <w:tr w:rsidR="00431C8A" w:rsidRPr="00E11FFB" w14:paraId="09E32617" w14:textId="77777777" w:rsidTr="003A6DE1">
        <w:trPr>
          <w:jc w:val="center"/>
        </w:trPr>
        <w:tc>
          <w:tcPr>
            <w:tcW w:w="4377" w:type="dxa"/>
          </w:tcPr>
          <w:p w14:paraId="14E6CB6D" w14:textId="7CF35B7B" w:rsidR="00431C8A" w:rsidRPr="002142A2" w:rsidRDefault="00E86E53" w:rsidP="00431C8A">
            <w:pPr>
              <w:spacing w:after="5" w:line="271" w:lineRule="auto"/>
              <w:rPr>
                <w:rFonts w:ascii="Avenir" w:eastAsia="Avenir" w:hAnsi="Avenir" w:cs="Avenir"/>
                <w:bCs/>
                <w:color w:val="000000"/>
                <w:sz w:val="16"/>
                <w:szCs w:val="16"/>
              </w:rPr>
            </w:pPr>
            <w:r w:rsidRPr="002142A2">
              <w:rPr>
                <w:rFonts w:ascii="Avenir" w:eastAsia="Avenir" w:hAnsi="Avenir" w:cs="Avenir"/>
                <w:bCs/>
                <w:color w:val="000000"/>
                <w:sz w:val="16"/>
                <w:szCs w:val="16"/>
              </w:rPr>
              <w:t>540</w:t>
            </w:r>
            <w:r w:rsidRPr="00E11FFB">
              <w:rPr>
                <w:rFonts w:ascii="Avenir" w:eastAsia="Avenir" w:hAnsi="Avenir" w:cs="Avenir"/>
                <w:bCs/>
                <w:color w:val="000000"/>
                <w:sz w:val="16"/>
                <w:szCs w:val="16"/>
              </w:rPr>
              <w:t xml:space="preserve"> (</w:t>
            </w:r>
            <w:r w:rsidR="00777940">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19.5% femmes</w:t>
            </w:r>
            <w:r w:rsidR="00777940">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80,5% hommes)</w:t>
            </w:r>
          </w:p>
        </w:tc>
        <w:tc>
          <w:tcPr>
            <w:tcW w:w="4377" w:type="dxa"/>
          </w:tcPr>
          <w:p w14:paraId="7516E1D9" w14:textId="1C79E909" w:rsidR="00431C8A" w:rsidRPr="00E11FFB" w:rsidRDefault="00E86E53"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540 (</w:t>
            </w:r>
            <w:r w:rsidR="00777940">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19.5% femmes</w:t>
            </w:r>
            <w:r w:rsidR="00777940">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80,5% hommes)</w:t>
            </w:r>
          </w:p>
        </w:tc>
      </w:tr>
      <w:tr w:rsidR="00431C8A" w:rsidRPr="00E11FFB" w14:paraId="26288177" w14:textId="77777777" w:rsidTr="003A6DE1">
        <w:trPr>
          <w:jc w:val="center"/>
        </w:trPr>
        <w:tc>
          <w:tcPr>
            <w:tcW w:w="8754" w:type="dxa"/>
            <w:gridSpan w:val="2"/>
            <w:shd w:val="clear" w:color="auto" w:fill="D9D9D9" w:themeFill="background1" w:themeFillShade="D9"/>
          </w:tcPr>
          <w:p w14:paraId="6A38F554" w14:textId="3B879DCE"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1</w:t>
            </w:r>
            <w:r w:rsidR="00ED088D">
              <w:rPr>
                <w:rFonts w:ascii="Avenir" w:eastAsia="Avenir" w:hAnsi="Avenir" w:cs="Avenir"/>
                <w:b/>
                <w:color w:val="000000"/>
                <w:sz w:val="16"/>
                <w:szCs w:val="16"/>
              </w:rPr>
              <w:t>1</w:t>
            </w:r>
            <w:r w:rsidRPr="00E11FFB">
              <w:rPr>
                <w:rFonts w:ascii="Avenir" w:eastAsia="Avenir" w:hAnsi="Avenir" w:cs="Avenir"/>
                <w:b/>
                <w:color w:val="000000"/>
                <w:sz w:val="16"/>
                <w:szCs w:val="16"/>
              </w:rPr>
              <w:t xml:space="preserve">ième indicateur effet 2 : </w:t>
            </w:r>
            <w:r w:rsidRPr="002142A2">
              <w:rPr>
                <w:rFonts w:ascii="Avenir" w:eastAsia="Avenir" w:hAnsi="Avenir" w:cs="Avenir"/>
                <w:b/>
                <w:color w:val="000000"/>
                <w:sz w:val="16"/>
                <w:szCs w:val="16"/>
              </w:rPr>
              <w:t>Nb (calculé) de personnes touchées par les campagnes de communication visant principalement à modifier les attitudes et pratiques.</w:t>
            </w:r>
          </w:p>
        </w:tc>
      </w:tr>
      <w:tr w:rsidR="00431C8A" w:rsidRPr="00E11FFB" w14:paraId="249EE5F9" w14:textId="77777777" w:rsidTr="003A6DE1">
        <w:trPr>
          <w:jc w:val="center"/>
        </w:trPr>
        <w:tc>
          <w:tcPr>
            <w:tcW w:w="4377" w:type="dxa"/>
          </w:tcPr>
          <w:p w14:paraId="7AFB85EC" w14:textId="04883692" w:rsidR="00431C8A" w:rsidRPr="002142A2" w:rsidRDefault="00E86E53" w:rsidP="00431C8A">
            <w:pPr>
              <w:spacing w:after="5" w:line="271" w:lineRule="auto"/>
              <w:rPr>
                <w:rFonts w:ascii="Avenir" w:eastAsia="Avenir" w:hAnsi="Avenir" w:cs="Avenir"/>
                <w:bCs/>
                <w:color w:val="000000"/>
                <w:sz w:val="16"/>
                <w:szCs w:val="16"/>
              </w:rPr>
            </w:pPr>
            <w:r w:rsidRPr="00ED088D">
              <w:rPr>
                <w:rFonts w:ascii="Avenir" w:eastAsia="Avenir" w:hAnsi="Avenir" w:cs="Avenir"/>
                <w:bCs/>
                <w:color w:val="000000"/>
                <w:sz w:val="16"/>
                <w:szCs w:val="16"/>
              </w:rPr>
              <w:t>417 (</w:t>
            </w:r>
            <w:r w:rsidR="00ED088D" w:rsidRPr="006D79E9">
              <w:rPr>
                <w:rFonts w:ascii="Avenir" w:eastAsia="Avenir" w:hAnsi="Avenir" w:cs="Avenir"/>
                <w:bCs/>
                <w:color w:val="000000"/>
                <w:sz w:val="16"/>
                <w:szCs w:val="16"/>
              </w:rPr>
              <w:t xml:space="preserve">dont </w:t>
            </w:r>
            <w:r w:rsidRPr="00ED088D">
              <w:rPr>
                <w:rFonts w:ascii="Avenir" w:eastAsia="Avenir" w:hAnsi="Avenir" w:cs="Avenir"/>
                <w:bCs/>
                <w:color w:val="000000"/>
                <w:sz w:val="16"/>
                <w:szCs w:val="16"/>
              </w:rPr>
              <w:t>17% femmes</w:t>
            </w:r>
            <w:r w:rsidR="00ED088D" w:rsidRPr="006D79E9">
              <w:rPr>
                <w:rFonts w:ascii="Avenir" w:eastAsia="Avenir" w:hAnsi="Avenir" w:cs="Avenir"/>
                <w:bCs/>
                <w:color w:val="000000"/>
                <w:sz w:val="16"/>
                <w:szCs w:val="16"/>
              </w:rPr>
              <w:t xml:space="preserve"> et</w:t>
            </w:r>
            <w:r w:rsidRPr="00ED088D">
              <w:rPr>
                <w:rFonts w:ascii="Avenir" w:eastAsia="Avenir" w:hAnsi="Avenir" w:cs="Avenir"/>
                <w:bCs/>
                <w:color w:val="000000"/>
                <w:sz w:val="16"/>
                <w:szCs w:val="16"/>
              </w:rPr>
              <w:t xml:space="preserve"> 83% hommes)</w:t>
            </w:r>
          </w:p>
        </w:tc>
        <w:tc>
          <w:tcPr>
            <w:tcW w:w="4377" w:type="dxa"/>
          </w:tcPr>
          <w:p w14:paraId="1E4DAAD1" w14:textId="5CBDB815" w:rsidR="00431C8A" w:rsidRPr="00E11FFB" w:rsidRDefault="00E86E53" w:rsidP="00431C8A">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417 (</w:t>
            </w:r>
            <w:r w:rsidR="00ED088D">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17% femmes</w:t>
            </w:r>
            <w:r w:rsidR="00ED088D">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83% hommes)</w:t>
            </w:r>
          </w:p>
        </w:tc>
      </w:tr>
      <w:tr w:rsidR="00431C8A" w:rsidRPr="00E11FFB" w14:paraId="58C7EB22" w14:textId="77777777" w:rsidTr="003A6DE1">
        <w:trPr>
          <w:jc w:val="center"/>
        </w:trPr>
        <w:tc>
          <w:tcPr>
            <w:tcW w:w="8754" w:type="dxa"/>
            <w:gridSpan w:val="2"/>
            <w:shd w:val="clear" w:color="auto" w:fill="D9D9D9" w:themeFill="background1" w:themeFillShade="D9"/>
          </w:tcPr>
          <w:p w14:paraId="7EE95752" w14:textId="754BEC12" w:rsidR="00431C8A" w:rsidRPr="00E11FFB" w:rsidRDefault="00431C8A" w:rsidP="00431C8A">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1</w:t>
            </w:r>
            <w:r w:rsidR="00ED088D">
              <w:rPr>
                <w:rFonts w:ascii="Avenir" w:eastAsia="Avenir" w:hAnsi="Avenir" w:cs="Avenir"/>
                <w:b/>
                <w:color w:val="000000"/>
                <w:sz w:val="16"/>
                <w:szCs w:val="16"/>
              </w:rPr>
              <w:t>2</w:t>
            </w:r>
            <w:r w:rsidRPr="00E11FFB">
              <w:rPr>
                <w:rFonts w:ascii="Avenir" w:eastAsia="Avenir" w:hAnsi="Avenir" w:cs="Avenir"/>
                <w:b/>
                <w:color w:val="000000"/>
                <w:sz w:val="16"/>
                <w:szCs w:val="16"/>
              </w:rPr>
              <w:t xml:space="preserve">ième indicateur effet </w:t>
            </w:r>
            <w:r w:rsidR="00ED088D" w:rsidRPr="00E11FFB">
              <w:rPr>
                <w:rFonts w:ascii="Avenir" w:eastAsia="Avenir" w:hAnsi="Avenir" w:cs="Avenir"/>
                <w:b/>
                <w:color w:val="000000"/>
                <w:sz w:val="16"/>
                <w:szCs w:val="16"/>
              </w:rPr>
              <w:t>2 :</w:t>
            </w:r>
            <w:r w:rsidRPr="00E11FFB">
              <w:rPr>
                <w:rFonts w:ascii="Avenir" w:eastAsia="Avenir" w:hAnsi="Avenir" w:cs="Avenir"/>
                <w:b/>
                <w:color w:val="000000"/>
                <w:sz w:val="16"/>
                <w:szCs w:val="16"/>
              </w:rPr>
              <w:t xml:space="preserve"> </w:t>
            </w:r>
            <w:r w:rsidRPr="00E11FFB">
              <w:rPr>
                <w:rFonts w:ascii="Avenir" w:eastAsia="Avenir" w:hAnsi="Avenir" w:cs="Avenir"/>
                <w:color w:val="000000"/>
                <w:sz w:val="16"/>
                <w:szCs w:val="16"/>
              </w:rPr>
              <w:t>Pourcentage de campagnes utilisant des outils pour cibler spécifiquement les minorités et groupes vulnérables.</w:t>
            </w:r>
          </w:p>
        </w:tc>
      </w:tr>
      <w:tr w:rsidR="00E86E53" w:rsidRPr="00E11FFB" w14:paraId="5F0D3F14" w14:textId="77777777" w:rsidTr="002142A2">
        <w:trPr>
          <w:jc w:val="center"/>
        </w:trPr>
        <w:tc>
          <w:tcPr>
            <w:tcW w:w="4377" w:type="dxa"/>
          </w:tcPr>
          <w:p w14:paraId="08946B6B" w14:textId="2259AFB6"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50% des campagnes</w:t>
            </w:r>
          </w:p>
        </w:tc>
        <w:tc>
          <w:tcPr>
            <w:tcW w:w="4377" w:type="dxa"/>
          </w:tcPr>
          <w:p w14:paraId="40E9A935" w14:textId="5E759F4F" w:rsidR="00E86E53" w:rsidRPr="00E11FFB" w:rsidRDefault="00E86E53" w:rsidP="00E86E53">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50% des campagnes</w:t>
            </w:r>
          </w:p>
        </w:tc>
      </w:tr>
      <w:tr w:rsidR="00E86E53" w:rsidRPr="00E11FFB" w14:paraId="5668949F" w14:textId="77777777" w:rsidTr="003A6DE1">
        <w:trPr>
          <w:jc w:val="center"/>
        </w:trPr>
        <w:tc>
          <w:tcPr>
            <w:tcW w:w="4377" w:type="dxa"/>
          </w:tcPr>
          <w:p w14:paraId="1A39C087" w14:textId="77777777" w:rsidR="00E86E53" w:rsidRPr="00E11FFB" w:rsidRDefault="00E86E53" w:rsidP="00E86E53">
            <w:pPr>
              <w:spacing w:after="5" w:line="271" w:lineRule="auto"/>
              <w:rPr>
                <w:rFonts w:ascii="Avenir" w:eastAsia="Avenir" w:hAnsi="Avenir" w:cs="Avenir"/>
                <w:bCs/>
                <w:color w:val="000000"/>
                <w:sz w:val="16"/>
                <w:szCs w:val="16"/>
              </w:rPr>
            </w:pPr>
          </w:p>
        </w:tc>
        <w:tc>
          <w:tcPr>
            <w:tcW w:w="4377" w:type="dxa"/>
            <w:vAlign w:val="center"/>
          </w:tcPr>
          <w:p w14:paraId="349BC1DA" w14:textId="77777777" w:rsidR="00E86E53" w:rsidRPr="00E11FFB" w:rsidRDefault="00E86E53" w:rsidP="00E86E53">
            <w:pPr>
              <w:spacing w:after="5" w:line="271" w:lineRule="auto"/>
              <w:rPr>
                <w:rFonts w:ascii="Avenir" w:eastAsia="Avenir" w:hAnsi="Avenir" w:cs="Avenir"/>
                <w:b/>
                <w:color w:val="000000"/>
                <w:sz w:val="16"/>
                <w:szCs w:val="16"/>
              </w:rPr>
            </w:pPr>
          </w:p>
        </w:tc>
      </w:tr>
      <w:tr w:rsidR="00E86E53" w:rsidRPr="00E11FFB" w14:paraId="64176082" w14:textId="77777777" w:rsidTr="003A6DE1">
        <w:trPr>
          <w:jc w:val="center"/>
        </w:trPr>
        <w:tc>
          <w:tcPr>
            <w:tcW w:w="8754" w:type="dxa"/>
            <w:gridSpan w:val="2"/>
            <w:shd w:val="clear" w:color="auto" w:fill="E7E6E6"/>
            <w:vAlign w:val="center"/>
          </w:tcPr>
          <w:p w14:paraId="051A7C18" w14:textId="77777777" w:rsidR="00E86E53" w:rsidRPr="00E11FFB" w:rsidRDefault="00E86E53" w:rsidP="00E86E53">
            <w:pPr>
              <w:spacing w:after="5" w:line="271" w:lineRule="auto"/>
              <w:jc w:val="center"/>
              <w:rPr>
                <w:rFonts w:ascii="Avenir" w:eastAsia="Avenir" w:hAnsi="Avenir" w:cs="Avenir"/>
                <w:b/>
                <w:color w:val="000000"/>
                <w:sz w:val="20"/>
                <w:szCs w:val="20"/>
              </w:rPr>
            </w:pPr>
            <w:r w:rsidRPr="00E11FFB">
              <w:rPr>
                <w:rFonts w:ascii="Avenir" w:eastAsia="Avenir" w:hAnsi="Avenir" w:cs="Avenir"/>
                <w:b/>
                <w:color w:val="000000"/>
                <w:sz w:val="20"/>
                <w:szCs w:val="20"/>
              </w:rPr>
              <w:t>Effet 3 : Les soubassements de la politique de développement durable et de conservation des forêts sont formalisés (Forêt)</w:t>
            </w:r>
          </w:p>
        </w:tc>
      </w:tr>
      <w:tr w:rsidR="00E86E53" w:rsidRPr="00E11FFB" w14:paraId="401B9FFF" w14:textId="77777777" w:rsidTr="003A6DE1">
        <w:trPr>
          <w:jc w:val="center"/>
        </w:trPr>
        <w:tc>
          <w:tcPr>
            <w:tcW w:w="8754" w:type="dxa"/>
            <w:gridSpan w:val="2"/>
            <w:shd w:val="clear" w:color="auto" w:fill="E7E6E6"/>
          </w:tcPr>
          <w:p w14:paraId="6FDE597A" w14:textId="1AD0277E" w:rsidR="00E86E53" w:rsidRPr="00E11FFB" w:rsidRDefault="00E86E53" w:rsidP="00E86E53">
            <w:pPr>
              <w:spacing w:after="5" w:line="271" w:lineRule="auto"/>
              <w:jc w:val="center"/>
              <w:rPr>
                <w:rFonts w:ascii="Avenir" w:eastAsia="Avenir" w:hAnsi="Avenir" w:cs="Avenir"/>
                <w:b/>
                <w:color w:val="000000"/>
                <w:sz w:val="16"/>
                <w:szCs w:val="16"/>
              </w:rPr>
            </w:pPr>
            <w:r w:rsidRPr="00E11FFB">
              <w:rPr>
                <w:rFonts w:ascii="Avenir" w:eastAsia="Avenir" w:hAnsi="Avenir" w:cs="Avenir"/>
                <w:b/>
                <w:color w:val="000000"/>
                <w:sz w:val="16"/>
                <w:szCs w:val="16"/>
              </w:rPr>
              <w:t>1</w:t>
            </w:r>
            <w:r w:rsidR="00ED088D" w:rsidRPr="006D79E9">
              <w:rPr>
                <w:rFonts w:ascii="Avenir" w:eastAsia="Avenir" w:hAnsi="Avenir" w:cs="Avenir"/>
                <w:b/>
                <w:color w:val="000000"/>
                <w:sz w:val="16"/>
                <w:szCs w:val="16"/>
                <w:vertAlign w:val="superscript"/>
              </w:rPr>
              <w:t>ier</w:t>
            </w:r>
            <w:r w:rsidR="00ED088D">
              <w:rPr>
                <w:rFonts w:ascii="Avenir" w:eastAsia="Avenir" w:hAnsi="Avenir" w:cs="Avenir"/>
                <w:b/>
                <w:color w:val="000000"/>
                <w:sz w:val="16"/>
                <w:szCs w:val="16"/>
              </w:rPr>
              <w:t xml:space="preserve"> </w:t>
            </w:r>
            <w:r w:rsidRPr="00E11FFB">
              <w:rPr>
                <w:rFonts w:ascii="Avenir" w:eastAsia="Avenir" w:hAnsi="Avenir" w:cs="Avenir"/>
                <w:b/>
                <w:color w:val="000000"/>
                <w:sz w:val="16"/>
                <w:szCs w:val="16"/>
              </w:rPr>
              <w:t xml:space="preserve">indicateur effet 3 : </w:t>
            </w:r>
            <w:r w:rsidRPr="00E11FFB">
              <w:rPr>
                <w:rFonts w:ascii="Avenir" w:eastAsia="Avenir" w:hAnsi="Avenir" w:cs="Avenir"/>
                <w:color w:val="000000"/>
                <w:sz w:val="16"/>
                <w:szCs w:val="16"/>
              </w:rPr>
              <w:t>Nombre de concepts définis au travers d’un processus participatif et multisectoriel</w:t>
            </w:r>
          </w:p>
        </w:tc>
      </w:tr>
      <w:tr w:rsidR="00E86E53" w:rsidRPr="00E11FFB" w14:paraId="3410560F" w14:textId="77777777" w:rsidTr="003A6DE1">
        <w:trPr>
          <w:trHeight w:val="332"/>
          <w:jc w:val="center"/>
        </w:trPr>
        <w:tc>
          <w:tcPr>
            <w:tcW w:w="4377" w:type="dxa"/>
            <w:vAlign w:val="center"/>
          </w:tcPr>
          <w:p w14:paraId="7ED5CB15"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2 concepts (forêt de grande valeur et tourbières)</w:t>
            </w:r>
          </w:p>
        </w:tc>
        <w:tc>
          <w:tcPr>
            <w:tcW w:w="4377" w:type="dxa"/>
            <w:vAlign w:val="center"/>
          </w:tcPr>
          <w:p w14:paraId="6ADCCF79" w14:textId="75CB59FC" w:rsidR="00E86E53" w:rsidRPr="00E11FFB" w:rsidRDefault="00E86E53" w:rsidP="00E86E53">
            <w:pPr>
              <w:spacing w:after="5" w:line="271" w:lineRule="auto"/>
              <w:rPr>
                <w:rFonts w:ascii="Avenir" w:eastAsia="Avenir" w:hAnsi="Avenir" w:cs="Avenir"/>
                <w:b/>
                <w:color w:val="000000"/>
                <w:sz w:val="16"/>
                <w:szCs w:val="16"/>
              </w:rPr>
            </w:pPr>
            <w:r w:rsidRPr="00E11FFB">
              <w:rPr>
                <w:rFonts w:ascii="Avenir" w:eastAsia="Avenir" w:hAnsi="Avenir" w:cs="Avenir"/>
                <w:bCs/>
                <w:color w:val="000000"/>
                <w:sz w:val="16"/>
                <w:szCs w:val="16"/>
              </w:rPr>
              <w:t>2 concepts (forêt de grande valeur et tourbières)</w:t>
            </w:r>
          </w:p>
        </w:tc>
      </w:tr>
      <w:tr w:rsidR="00E86E53" w:rsidRPr="00E11FFB" w14:paraId="476D85A0" w14:textId="77777777" w:rsidTr="003A6DE1">
        <w:trPr>
          <w:jc w:val="center"/>
        </w:trPr>
        <w:tc>
          <w:tcPr>
            <w:tcW w:w="8754" w:type="dxa"/>
            <w:gridSpan w:val="2"/>
            <w:shd w:val="clear" w:color="auto" w:fill="D9D9D9" w:themeFill="background1" w:themeFillShade="D9"/>
          </w:tcPr>
          <w:p w14:paraId="71C25616" w14:textId="77777777" w:rsidR="00E86E53" w:rsidRPr="00E11FFB" w:rsidRDefault="00E86E53" w:rsidP="00E86E53">
            <w:pPr>
              <w:spacing w:after="5" w:line="271" w:lineRule="auto"/>
              <w:jc w:val="center"/>
              <w:rPr>
                <w:rFonts w:ascii="Avenir" w:eastAsia="Avenir" w:hAnsi="Avenir" w:cs="Avenir"/>
                <w:b/>
                <w:color w:val="000000"/>
                <w:sz w:val="16"/>
                <w:szCs w:val="16"/>
              </w:rPr>
            </w:pPr>
            <w:r w:rsidRPr="00E11FFB">
              <w:rPr>
                <w:rFonts w:ascii="Avenir" w:eastAsia="Avenir" w:hAnsi="Avenir" w:cs="Avenir"/>
                <w:b/>
                <w:color w:val="000000"/>
                <w:sz w:val="16"/>
                <w:szCs w:val="16"/>
              </w:rPr>
              <w:t xml:space="preserve">2ième indicateur effet 3 : </w:t>
            </w:r>
            <w:r w:rsidRPr="00E11FFB">
              <w:rPr>
                <w:rFonts w:ascii="Avenir" w:eastAsia="Avenir" w:hAnsi="Avenir" w:cs="Avenir"/>
                <w:color w:val="000000"/>
                <w:sz w:val="16"/>
                <w:szCs w:val="16"/>
              </w:rPr>
              <w:t>Nombre</w:t>
            </w:r>
            <w:r w:rsidRPr="00E11FFB">
              <w:t xml:space="preserve"> </w:t>
            </w:r>
            <w:r w:rsidRPr="00E11FFB">
              <w:rPr>
                <w:rFonts w:ascii="Avenir" w:eastAsia="Avenir" w:hAnsi="Avenir" w:cs="Avenir"/>
                <w:color w:val="000000"/>
                <w:sz w:val="16"/>
                <w:szCs w:val="16"/>
              </w:rPr>
              <w:t>de concessions forestières de conservation légales publiées et illégales résiliés</w:t>
            </w:r>
          </w:p>
        </w:tc>
      </w:tr>
      <w:tr w:rsidR="00E86E53" w:rsidRPr="00E11FFB" w14:paraId="21DBB5FE" w14:textId="77777777" w:rsidTr="003A6DE1">
        <w:trPr>
          <w:jc w:val="center"/>
        </w:trPr>
        <w:tc>
          <w:tcPr>
            <w:tcW w:w="4377" w:type="dxa"/>
            <w:vAlign w:val="center"/>
          </w:tcPr>
          <w:p w14:paraId="4FAC19E0" w14:textId="5E990A67" w:rsidR="00E86E53" w:rsidRPr="00E11FFB" w:rsidRDefault="00ED088D" w:rsidP="00E86E53">
            <w:pPr>
              <w:spacing w:after="5" w:line="271" w:lineRule="auto"/>
              <w:rPr>
                <w:rFonts w:ascii="Avenir" w:eastAsia="Avenir" w:hAnsi="Avenir" w:cs="Avenir"/>
                <w:b/>
                <w:color w:val="000000"/>
                <w:sz w:val="16"/>
                <w:szCs w:val="16"/>
              </w:rPr>
            </w:pPr>
            <w:hyperlink r:id="rId12" w:history="1">
              <w:r w:rsidR="00E86E53" w:rsidRPr="00ED088D">
                <w:rPr>
                  <w:rStyle w:val="Lienhypertexte"/>
                  <w:rFonts w:ascii="Avenir" w:eastAsia="Avenir" w:hAnsi="Avenir" w:cs="Avenir"/>
                  <w:sz w:val="16"/>
                  <w:szCs w:val="16"/>
                </w:rPr>
                <w:t>Liste provisoire de 80 concessions en attente de la revue légale</w:t>
              </w:r>
            </w:hyperlink>
          </w:p>
        </w:tc>
        <w:tc>
          <w:tcPr>
            <w:tcW w:w="4377" w:type="dxa"/>
            <w:vAlign w:val="center"/>
          </w:tcPr>
          <w:p w14:paraId="18697C8C" w14:textId="7B2A2AD7" w:rsidR="00E86E53" w:rsidRPr="00E11FFB" w:rsidRDefault="00ED088D" w:rsidP="00E86E53">
            <w:pPr>
              <w:spacing w:after="5" w:line="271" w:lineRule="auto"/>
              <w:rPr>
                <w:rFonts w:ascii="Avenir" w:eastAsia="Avenir" w:hAnsi="Avenir" w:cs="Avenir"/>
                <w:b/>
                <w:color w:val="000000"/>
                <w:sz w:val="16"/>
                <w:szCs w:val="16"/>
              </w:rPr>
            </w:pPr>
            <w:hyperlink r:id="rId13" w:history="1">
              <w:r w:rsidR="00E86E53" w:rsidRPr="00ED088D">
                <w:rPr>
                  <w:rStyle w:val="Lienhypertexte"/>
                  <w:rFonts w:ascii="Avenir" w:eastAsia="Avenir" w:hAnsi="Avenir" w:cs="Avenir"/>
                  <w:sz w:val="16"/>
                  <w:szCs w:val="16"/>
                </w:rPr>
                <w:t>Liste provisoire de 80 concessions en attente de la revue légale</w:t>
              </w:r>
            </w:hyperlink>
          </w:p>
        </w:tc>
      </w:tr>
      <w:tr w:rsidR="00E86E53" w:rsidRPr="00E11FFB" w14:paraId="5C215ABD" w14:textId="77777777" w:rsidTr="003A6DE1">
        <w:trPr>
          <w:jc w:val="center"/>
        </w:trPr>
        <w:tc>
          <w:tcPr>
            <w:tcW w:w="8754" w:type="dxa"/>
            <w:gridSpan w:val="2"/>
            <w:shd w:val="clear" w:color="auto" w:fill="D9D9D9" w:themeFill="background1" w:themeFillShade="D9"/>
          </w:tcPr>
          <w:p w14:paraId="04E18E6B" w14:textId="77777777" w:rsidR="00E86E53" w:rsidRPr="00E11FFB" w:rsidRDefault="00E86E53" w:rsidP="00E86E53">
            <w:pPr>
              <w:spacing w:after="5" w:line="271" w:lineRule="auto"/>
              <w:jc w:val="center"/>
              <w:rPr>
                <w:rFonts w:ascii="Avenir" w:eastAsia="Avenir" w:hAnsi="Avenir" w:cs="Avenir"/>
                <w:b/>
                <w:color w:val="000000"/>
                <w:sz w:val="16"/>
                <w:szCs w:val="16"/>
              </w:rPr>
            </w:pPr>
            <w:r w:rsidRPr="00E11FFB">
              <w:rPr>
                <w:rFonts w:ascii="Avenir" w:eastAsia="Avenir" w:hAnsi="Avenir" w:cs="Avenir"/>
                <w:b/>
                <w:color w:val="000000"/>
                <w:sz w:val="16"/>
                <w:szCs w:val="16"/>
              </w:rPr>
              <w:t xml:space="preserve">3ième indicateur effet 3 : </w:t>
            </w:r>
            <w:r w:rsidRPr="00E11FFB">
              <w:rPr>
                <w:rFonts w:ascii="Avenir" w:eastAsia="Avenir" w:hAnsi="Avenir" w:cs="Avenir"/>
                <w:bCs/>
                <w:color w:val="000000"/>
                <w:sz w:val="16"/>
                <w:szCs w:val="16"/>
                <w:shd w:val="clear" w:color="auto" w:fill="D9D9D9" w:themeFill="background1" w:themeFillShade="D9"/>
              </w:rPr>
              <w:t xml:space="preserve">Définition nationale du </w:t>
            </w:r>
            <w:r w:rsidRPr="00E11FFB">
              <w:rPr>
                <w:rFonts w:ascii="Avenir" w:eastAsia="Avenir" w:hAnsi="Avenir" w:cs="Avenir"/>
                <w:color w:val="000000"/>
                <w:sz w:val="16"/>
                <w:szCs w:val="16"/>
              </w:rPr>
              <w:t>concept</w:t>
            </w:r>
            <w:r w:rsidRPr="00E11FFB">
              <w:rPr>
                <w:rFonts w:ascii="Avenir" w:eastAsia="Avenir" w:hAnsi="Avenir" w:cs="Avenir"/>
                <w:bCs/>
                <w:color w:val="000000"/>
                <w:sz w:val="16"/>
                <w:szCs w:val="16"/>
                <w:shd w:val="clear" w:color="auto" w:fill="D9D9D9" w:themeFill="background1" w:themeFillShade="D9"/>
              </w:rPr>
              <w:t xml:space="preserve"> de « forêt dégradée » est validée par les parties prenantes</w:t>
            </w:r>
          </w:p>
        </w:tc>
      </w:tr>
      <w:tr w:rsidR="00E86E53" w:rsidRPr="00E11FFB" w14:paraId="27E7760D" w14:textId="77777777" w:rsidTr="003A6DE1">
        <w:trPr>
          <w:jc w:val="center"/>
        </w:trPr>
        <w:tc>
          <w:tcPr>
            <w:tcW w:w="4377" w:type="dxa"/>
            <w:vAlign w:val="center"/>
          </w:tcPr>
          <w:p w14:paraId="06A2E386"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définition de forêt dégradée en attente par CCNF</w:t>
            </w:r>
          </w:p>
        </w:tc>
        <w:tc>
          <w:tcPr>
            <w:tcW w:w="4377" w:type="dxa"/>
            <w:vAlign w:val="center"/>
          </w:tcPr>
          <w:p w14:paraId="31FF3D82" w14:textId="53402AEA"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définition de forêt dégradée en attente par CCNF</w:t>
            </w:r>
          </w:p>
        </w:tc>
      </w:tr>
      <w:tr w:rsidR="00E86E53" w:rsidRPr="00E11FFB" w14:paraId="5EE9D2EB" w14:textId="77777777" w:rsidTr="003A6DE1">
        <w:trPr>
          <w:jc w:val="center"/>
        </w:trPr>
        <w:tc>
          <w:tcPr>
            <w:tcW w:w="8754" w:type="dxa"/>
            <w:gridSpan w:val="2"/>
            <w:shd w:val="clear" w:color="auto" w:fill="D9D9D9" w:themeFill="background1" w:themeFillShade="D9"/>
          </w:tcPr>
          <w:p w14:paraId="75A891AF" w14:textId="77777777" w:rsidR="00E86E53" w:rsidRPr="00E11FFB" w:rsidRDefault="00E86E53" w:rsidP="00E86E53">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4ième indicateur effet 3 : </w:t>
            </w:r>
            <w:r w:rsidRPr="00E11FFB">
              <w:rPr>
                <w:rFonts w:ascii="Avenir" w:eastAsia="Avenir" w:hAnsi="Avenir" w:cs="Avenir"/>
                <w:bCs/>
                <w:color w:val="000000"/>
                <w:sz w:val="16"/>
                <w:szCs w:val="16"/>
                <w:shd w:val="clear" w:color="auto" w:fill="D9D9D9" w:themeFill="background1" w:themeFillShade="D9"/>
              </w:rPr>
              <w:t>Un document de politique forestière nationale élaboré et validé</w:t>
            </w:r>
          </w:p>
        </w:tc>
      </w:tr>
      <w:tr w:rsidR="00E86E53" w:rsidRPr="00E11FFB" w14:paraId="699D0388" w14:textId="77777777" w:rsidTr="003A6DE1">
        <w:trPr>
          <w:jc w:val="center"/>
        </w:trPr>
        <w:tc>
          <w:tcPr>
            <w:tcW w:w="4377" w:type="dxa"/>
            <w:vAlign w:val="center"/>
          </w:tcPr>
          <w:p w14:paraId="4B4D7463"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document de la PFN produit en attente de validation technique </w:t>
            </w:r>
          </w:p>
        </w:tc>
        <w:tc>
          <w:tcPr>
            <w:tcW w:w="4377" w:type="dxa"/>
            <w:vAlign w:val="center"/>
          </w:tcPr>
          <w:p w14:paraId="7576CCD5" w14:textId="46C69A3D"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document de la PFN produit en attente de validation technique</w:t>
            </w:r>
          </w:p>
        </w:tc>
      </w:tr>
      <w:tr w:rsidR="00E86E53" w:rsidRPr="00E11FFB" w14:paraId="7F0C0BA2" w14:textId="77777777" w:rsidTr="003A6DE1">
        <w:trPr>
          <w:jc w:val="center"/>
        </w:trPr>
        <w:tc>
          <w:tcPr>
            <w:tcW w:w="8754" w:type="dxa"/>
            <w:gridSpan w:val="2"/>
            <w:shd w:val="clear" w:color="auto" w:fill="D9D9D9" w:themeFill="background1" w:themeFillShade="D9"/>
            <w:vAlign w:val="center"/>
          </w:tcPr>
          <w:p w14:paraId="479D77DC" w14:textId="77777777" w:rsidR="00E86E53" w:rsidRPr="00E11FFB" w:rsidRDefault="00E86E53" w:rsidP="00E86E53">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5ième indicateur effet 3 : </w:t>
            </w:r>
            <w:r w:rsidRPr="00E11FFB">
              <w:rPr>
                <w:rFonts w:ascii="Avenir" w:eastAsia="Avenir" w:hAnsi="Avenir" w:cs="Avenir"/>
                <w:bCs/>
                <w:color w:val="000000"/>
                <w:sz w:val="16"/>
                <w:szCs w:val="16"/>
              </w:rPr>
              <w:t>Nombre d'actes des états généraux des forêts publiés</w:t>
            </w:r>
          </w:p>
        </w:tc>
      </w:tr>
      <w:tr w:rsidR="00E86E53" w:rsidRPr="00E11FFB" w14:paraId="32A5003D" w14:textId="77777777" w:rsidTr="003A6DE1">
        <w:trPr>
          <w:jc w:val="center"/>
        </w:trPr>
        <w:tc>
          <w:tcPr>
            <w:tcW w:w="4377" w:type="dxa"/>
            <w:vAlign w:val="center"/>
          </w:tcPr>
          <w:p w14:paraId="0C274874"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acte des états généraux des forêts publié</w:t>
            </w:r>
          </w:p>
        </w:tc>
        <w:tc>
          <w:tcPr>
            <w:tcW w:w="4377" w:type="dxa"/>
            <w:vAlign w:val="center"/>
          </w:tcPr>
          <w:p w14:paraId="5A1354B1" w14:textId="63D6F1CA"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acte des états généraux des forêts publié</w:t>
            </w:r>
          </w:p>
        </w:tc>
      </w:tr>
      <w:tr w:rsidR="00E86E53" w:rsidRPr="00E11FFB" w14:paraId="49BB5E23" w14:textId="77777777" w:rsidTr="003A6DE1">
        <w:trPr>
          <w:jc w:val="center"/>
        </w:trPr>
        <w:tc>
          <w:tcPr>
            <w:tcW w:w="8754" w:type="dxa"/>
            <w:gridSpan w:val="2"/>
            <w:shd w:val="clear" w:color="auto" w:fill="D9D9D9" w:themeFill="background1" w:themeFillShade="D9"/>
            <w:vAlign w:val="center"/>
          </w:tcPr>
          <w:p w14:paraId="7F06FA40" w14:textId="77777777" w:rsidR="00E86E53" w:rsidRPr="00E11FFB" w:rsidRDefault="00E86E53" w:rsidP="00E86E53">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6ième indicateur effet 3 : </w:t>
            </w:r>
            <w:r w:rsidRPr="00E11FFB">
              <w:rPr>
                <w:rFonts w:ascii="Avenir" w:eastAsia="Avenir" w:hAnsi="Avenir" w:cs="Avenir"/>
                <w:bCs/>
                <w:color w:val="000000"/>
                <w:sz w:val="16"/>
                <w:szCs w:val="16"/>
              </w:rPr>
              <w:t>1 Code forestier révisé, validé et promulgué</w:t>
            </w:r>
          </w:p>
        </w:tc>
      </w:tr>
      <w:tr w:rsidR="00E86E53" w:rsidRPr="00E11FFB" w14:paraId="19D19C40" w14:textId="77777777" w:rsidTr="003A6DE1">
        <w:trPr>
          <w:jc w:val="center"/>
        </w:trPr>
        <w:tc>
          <w:tcPr>
            <w:tcW w:w="4377" w:type="dxa"/>
            <w:vAlign w:val="center"/>
          </w:tcPr>
          <w:p w14:paraId="34174C57" w14:textId="21D40272" w:rsidR="00E86E53" w:rsidRPr="00E11FFB" w:rsidRDefault="00F15EB7" w:rsidP="00E86E53">
            <w:pPr>
              <w:spacing w:after="5" w:line="271" w:lineRule="auto"/>
              <w:rPr>
                <w:rFonts w:ascii="Avenir" w:eastAsia="Avenir" w:hAnsi="Avenir" w:cs="Avenir"/>
                <w:bCs/>
                <w:color w:val="000000"/>
                <w:sz w:val="16"/>
                <w:szCs w:val="16"/>
              </w:rPr>
            </w:pPr>
            <w:r>
              <w:rPr>
                <w:rFonts w:ascii="Avenir" w:eastAsia="Avenir" w:hAnsi="Avenir" w:cs="Avenir"/>
                <w:bCs/>
                <w:color w:val="000000"/>
                <w:sz w:val="16"/>
                <w:szCs w:val="16"/>
              </w:rPr>
              <w:t>Révision en cours : u</w:t>
            </w:r>
            <w:r w:rsidR="00E86E53" w:rsidRPr="00E11FFB">
              <w:rPr>
                <w:rFonts w:ascii="Avenir" w:eastAsia="Avenir" w:hAnsi="Avenir" w:cs="Avenir"/>
                <w:bCs/>
                <w:color w:val="000000"/>
                <w:sz w:val="16"/>
                <w:szCs w:val="16"/>
              </w:rPr>
              <w:t>ne feuille de route produite pour la révision du code forestier</w:t>
            </w:r>
            <w:r w:rsidR="000B5F0D" w:rsidRPr="00E11FFB">
              <w:rPr>
                <w:rFonts w:ascii="Avenir" w:eastAsia="Avenir" w:hAnsi="Avenir" w:cs="Avenir"/>
                <w:bCs/>
                <w:color w:val="000000"/>
                <w:sz w:val="16"/>
                <w:szCs w:val="16"/>
              </w:rPr>
              <w:t>, atelier de prise en compte des recommandations des directions des forêts pour la révision du code forestier</w:t>
            </w:r>
          </w:p>
        </w:tc>
        <w:tc>
          <w:tcPr>
            <w:tcW w:w="4377" w:type="dxa"/>
            <w:vAlign w:val="center"/>
          </w:tcPr>
          <w:p w14:paraId="7CD88775" w14:textId="46F15DDF" w:rsidR="00E86E53" w:rsidRPr="00E11FFB" w:rsidRDefault="00F15EB7" w:rsidP="00E86E53">
            <w:pPr>
              <w:spacing w:after="5" w:line="271" w:lineRule="auto"/>
              <w:rPr>
                <w:rFonts w:ascii="Avenir" w:eastAsia="Avenir" w:hAnsi="Avenir" w:cs="Avenir"/>
                <w:bCs/>
                <w:color w:val="000000"/>
                <w:sz w:val="16"/>
                <w:szCs w:val="16"/>
              </w:rPr>
            </w:pPr>
            <w:r>
              <w:rPr>
                <w:rFonts w:ascii="Avenir" w:eastAsia="Avenir" w:hAnsi="Avenir" w:cs="Avenir"/>
                <w:bCs/>
                <w:color w:val="000000"/>
                <w:sz w:val="16"/>
                <w:szCs w:val="16"/>
              </w:rPr>
              <w:t>Révision en cours : u</w:t>
            </w:r>
            <w:r w:rsidRPr="00E11FFB">
              <w:rPr>
                <w:rFonts w:ascii="Avenir" w:eastAsia="Avenir" w:hAnsi="Avenir" w:cs="Avenir"/>
                <w:bCs/>
                <w:color w:val="000000"/>
                <w:sz w:val="16"/>
                <w:szCs w:val="16"/>
              </w:rPr>
              <w:t xml:space="preserve">ne </w:t>
            </w:r>
            <w:r w:rsidR="00E86E53" w:rsidRPr="00E11FFB">
              <w:rPr>
                <w:rFonts w:ascii="Avenir" w:eastAsia="Avenir" w:hAnsi="Avenir" w:cs="Avenir"/>
                <w:bCs/>
                <w:color w:val="000000"/>
                <w:sz w:val="16"/>
                <w:szCs w:val="16"/>
              </w:rPr>
              <w:t>feuille de route produite pour la révision du code forestier</w:t>
            </w:r>
            <w:r w:rsidR="000B5F0D" w:rsidRPr="00E11FFB">
              <w:rPr>
                <w:rFonts w:ascii="Avenir" w:eastAsia="Avenir" w:hAnsi="Avenir" w:cs="Avenir"/>
                <w:bCs/>
                <w:color w:val="000000"/>
                <w:sz w:val="16"/>
                <w:szCs w:val="16"/>
              </w:rPr>
              <w:t> ; atelier de prise en compte des recommandations des directions des forêts pour la révision du code forestier</w:t>
            </w:r>
          </w:p>
        </w:tc>
      </w:tr>
      <w:tr w:rsidR="00E86E53" w:rsidRPr="00E11FFB" w14:paraId="2DD72E65" w14:textId="77777777" w:rsidTr="003A6DE1">
        <w:trPr>
          <w:jc w:val="center"/>
        </w:trPr>
        <w:tc>
          <w:tcPr>
            <w:tcW w:w="8754" w:type="dxa"/>
            <w:gridSpan w:val="2"/>
            <w:shd w:val="clear" w:color="auto" w:fill="D9D9D9" w:themeFill="background1" w:themeFillShade="D9"/>
            <w:vAlign w:val="center"/>
          </w:tcPr>
          <w:p w14:paraId="196409C3" w14:textId="77777777" w:rsidR="00E86E53" w:rsidRPr="00E11FFB" w:rsidRDefault="00E86E53" w:rsidP="00E86E53">
            <w:pPr>
              <w:spacing w:after="5" w:line="271" w:lineRule="auto"/>
              <w:jc w:val="center"/>
              <w:rPr>
                <w:rFonts w:ascii="Avenir" w:eastAsia="Avenir" w:hAnsi="Avenir" w:cs="Avenir"/>
                <w:color w:val="000000"/>
                <w:sz w:val="16"/>
                <w:szCs w:val="16"/>
              </w:rPr>
            </w:pPr>
            <w:r w:rsidRPr="00E11FFB">
              <w:rPr>
                <w:rFonts w:ascii="Avenir" w:eastAsia="Avenir" w:hAnsi="Avenir" w:cs="Avenir"/>
                <w:b/>
                <w:color w:val="000000"/>
                <w:sz w:val="16"/>
                <w:szCs w:val="16"/>
              </w:rPr>
              <w:t xml:space="preserve">7ième indicateur effet 3 : </w:t>
            </w:r>
            <w:r w:rsidRPr="00E11FFB">
              <w:rPr>
                <w:rFonts w:ascii="Avenir" w:eastAsia="Avenir" w:hAnsi="Avenir" w:cs="Avenir"/>
                <w:color w:val="000000"/>
                <w:sz w:val="16"/>
                <w:szCs w:val="16"/>
              </w:rPr>
              <w:t xml:space="preserve">Un Plan de protection des aires </w:t>
            </w:r>
            <w:r w:rsidRPr="00E11FFB">
              <w:rPr>
                <w:rFonts w:ascii="Avenir" w:eastAsia="Avenir" w:hAnsi="Avenir" w:cs="Avenir"/>
                <w:bCs/>
                <w:color w:val="000000"/>
                <w:kern w:val="2"/>
                <w:sz w:val="16"/>
                <w:szCs w:val="16"/>
                <w14:ligatures w14:val="standardContextual"/>
              </w:rPr>
              <w:t>protégées</w:t>
            </w:r>
          </w:p>
        </w:tc>
      </w:tr>
      <w:tr w:rsidR="00E86E53" w:rsidRPr="00E11FFB" w14:paraId="4B0B4246" w14:textId="77777777" w:rsidTr="003A6DE1">
        <w:trPr>
          <w:jc w:val="center"/>
        </w:trPr>
        <w:tc>
          <w:tcPr>
            <w:tcW w:w="4377" w:type="dxa"/>
            <w:vAlign w:val="center"/>
          </w:tcPr>
          <w:p w14:paraId="331BA724"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plan produit </w:t>
            </w:r>
          </w:p>
        </w:tc>
        <w:tc>
          <w:tcPr>
            <w:tcW w:w="4377" w:type="dxa"/>
            <w:vAlign w:val="center"/>
          </w:tcPr>
          <w:p w14:paraId="46E7F0BC" w14:textId="1CAF1771"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plan produit</w:t>
            </w:r>
          </w:p>
        </w:tc>
      </w:tr>
      <w:tr w:rsidR="00E86E53" w:rsidRPr="00E11FFB" w14:paraId="6445E7A4" w14:textId="77777777" w:rsidTr="003A6DE1">
        <w:trPr>
          <w:jc w:val="center"/>
        </w:trPr>
        <w:tc>
          <w:tcPr>
            <w:tcW w:w="8754" w:type="dxa"/>
            <w:gridSpan w:val="2"/>
            <w:shd w:val="clear" w:color="auto" w:fill="D9D9D9" w:themeFill="background1" w:themeFillShade="D9"/>
            <w:vAlign w:val="center"/>
          </w:tcPr>
          <w:p w14:paraId="09FA5971" w14:textId="77777777" w:rsidR="00E86E53" w:rsidRPr="00E11FFB" w:rsidRDefault="00E86E53" w:rsidP="00E86E53">
            <w:pPr>
              <w:spacing w:after="5" w:line="271" w:lineRule="auto"/>
              <w:jc w:val="center"/>
              <w:rPr>
                <w:rFonts w:ascii="Avenir" w:eastAsia="Avenir" w:hAnsi="Avenir" w:cs="Avenir"/>
                <w:color w:val="000000"/>
                <w:sz w:val="16"/>
                <w:szCs w:val="16"/>
              </w:rPr>
            </w:pPr>
            <w:r w:rsidRPr="00E11FFB">
              <w:rPr>
                <w:rFonts w:ascii="Avenir" w:eastAsia="Avenir" w:hAnsi="Avenir" w:cs="Avenir"/>
                <w:b/>
                <w:color w:val="000000"/>
                <w:sz w:val="16"/>
                <w:szCs w:val="16"/>
              </w:rPr>
              <w:t xml:space="preserve">8ième indicateur effet 3 : </w:t>
            </w:r>
            <w:r w:rsidRPr="00E11FFB">
              <w:rPr>
                <w:rFonts w:ascii="Avenir" w:eastAsia="Avenir" w:hAnsi="Avenir" w:cs="Avenir"/>
                <w:color w:val="000000"/>
                <w:sz w:val="16"/>
                <w:szCs w:val="16"/>
              </w:rPr>
              <w:t xml:space="preserve">Une ordonnance portant extension des espaces </w:t>
            </w:r>
            <w:r w:rsidRPr="00E11FFB">
              <w:rPr>
                <w:rFonts w:ascii="Avenir" w:eastAsia="Avenir" w:hAnsi="Avenir" w:cs="Avenir"/>
                <w:bCs/>
                <w:color w:val="000000"/>
                <w:kern w:val="2"/>
                <w:sz w:val="16"/>
                <w:szCs w:val="16"/>
                <w14:ligatures w14:val="standardContextual"/>
              </w:rPr>
              <w:t>sous</w:t>
            </w:r>
            <w:r w:rsidRPr="00E11FFB">
              <w:rPr>
                <w:rFonts w:ascii="Avenir" w:eastAsia="Avenir" w:hAnsi="Avenir" w:cs="Avenir"/>
                <w:color w:val="000000"/>
                <w:sz w:val="16"/>
                <w:szCs w:val="16"/>
              </w:rPr>
              <w:t xml:space="preserve"> statut de conservation publié.</w:t>
            </w:r>
          </w:p>
        </w:tc>
      </w:tr>
      <w:tr w:rsidR="00E86E53" w:rsidRPr="00E11FFB" w14:paraId="11FF1E41" w14:textId="77777777" w:rsidTr="003A6DE1">
        <w:trPr>
          <w:jc w:val="center"/>
        </w:trPr>
        <w:tc>
          <w:tcPr>
            <w:tcW w:w="4377" w:type="dxa"/>
            <w:vAlign w:val="center"/>
          </w:tcPr>
          <w:p w14:paraId="68D46321"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Une ordonnance portant création de l’aire protégée à vocation réserve communautaire couloir vert </w:t>
            </w:r>
          </w:p>
        </w:tc>
        <w:tc>
          <w:tcPr>
            <w:tcW w:w="4377" w:type="dxa"/>
            <w:vAlign w:val="center"/>
          </w:tcPr>
          <w:p w14:paraId="36EBE00D" w14:textId="2F645709"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Une ordonnance portant création de l’aire protégée à vocation réserve communautaire couloir vert</w:t>
            </w:r>
          </w:p>
        </w:tc>
      </w:tr>
      <w:tr w:rsidR="00E86E53" w:rsidRPr="00E11FFB" w14:paraId="23FBD8D2" w14:textId="77777777" w:rsidTr="003A6DE1">
        <w:trPr>
          <w:jc w:val="center"/>
        </w:trPr>
        <w:tc>
          <w:tcPr>
            <w:tcW w:w="8754" w:type="dxa"/>
            <w:gridSpan w:val="2"/>
            <w:shd w:val="clear" w:color="auto" w:fill="D9D9D9" w:themeFill="background1" w:themeFillShade="D9"/>
            <w:vAlign w:val="center"/>
          </w:tcPr>
          <w:p w14:paraId="03385AB1" w14:textId="77777777" w:rsidR="00E86E53" w:rsidRPr="00E11FFB" w:rsidRDefault="00E86E53" w:rsidP="00E86E53">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9ième indicateur effet 3 : </w:t>
            </w:r>
            <w:r w:rsidRPr="00E11FFB">
              <w:rPr>
                <w:rFonts w:ascii="Avenir" w:eastAsia="Avenir" w:hAnsi="Avenir" w:cs="Avenir"/>
                <w:color w:val="000000"/>
                <w:sz w:val="16"/>
                <w:szCs w:val="16"/>
              </w:rPr>
              <w:t xml:space="preserve">Données des CFCL </w:t>
            </w:r>
            <w:r w:rsidRPr="00E11FFB">
              <w:rPr>
                <w:rFonts w:ascii="Avenir" w:eastAsia="Avenir" w:hAnsi="Avenir" w:cs="Avenir"/>
                <w:bCs/>
                <w:color w:val="000000"/>
                <w:kern w:val="2"/>
                <w:sz w:val="16"/>
                <w:szCs w:val="16"/>
                <w14:ligatures w14:val="standardContextual"/>
              </w:rPr>
              <w:t>publiées</w:t>
            </w:r>
            <w:r w:rsidRPr="00E11FFB">
              <w:rPr>
                <w:rFonts w:ascii="Avenir" w:eastAsia="Avenir" w:hAnsi="Avenir" w:cs="Avenir"/>
                <w:color w:val="000000"/>
                <w:sz w:val="16"/>
                <w:szCs w:val="16"/>
              </w:rPr>
              <w:t xml:space="preserve"> annuellement</w:t>
            </w:r>
          </w:p>
        </w:tc>
      </w:tr>
      <w:tr w:rsidR="00E86E53" w:rsidRPr="00E11FFB" w14:paraId="4458837C" w14:textId="77777777" w:rsidTr="003A6DE1">
        <w:trPr>
          <w:jc w:val="center"/>
        </w:trPr>
        <w:tc>
          <w:tcPr>
            <w:tcW w:w="4377" w:type="dxa"/>
            <w:vAlign w:val="center"/>
          </w:tcPr>
          <w:p w14:paraId="0FB9C3B1"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Les données publiées sur </w:t>
            </w:r>
            <w:hyperlink r:id="rId14" w:history="1">
              <w:r w:rsidRPr="00E11FFB">
                <w:rPr>
                  <w:rStyle w:val="Lienhypertexte"/>
                  <w:rFonts w:ascii="Avenir" w:eastAsia="Avenir" w:hAnsi="Avenir" w:cs="Avenir"/>
                  <w:bCs/>
                  <w:sz w:val="16"/>
                  <w:szCs w:val="16"/>
                </w:rPr>
                <w:t>le site de forêt communautaire</w:t>
              </w:r>
            </w:hyperlink>
          </w:p>
        </w:tc>
        <w:tc>
          <w:tcPr>
            <w:tcW w:w="4377" w:type="dxa"/>
            <w:vAlign w:val="center"/>
          </w:tcPr>
          <w:p w14:paraId="649507C9" w14:textId="480ED02A"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Les données publiées sur </w:t>
            </w:r>
            <w:hyperlink r:id="rId15" w:history="1">
              <w:r w:rsidRPr="00E11FFB">
                <w:rPr>
                  <w:rStyle w:val="Lienhypertexte"/>
                  <w:rFonts w:ascii="Avenir" w:eastAsia="Avenir" w:hAnsi="Avenir" w:cs="Avenir"/>
                  <w:bCs/>
                  <w:sz w:val="16"/>
                  <w:szCs w:val="16"/>
                </w:rPr>
                <w:t>le site de forêt communautaire</w:t>
              </w:r>
            </w:hyperlink>
          </w:p>
        </w:tc>
      </w:tr>
      <w:tr w:rsidR="00E86E53" w:rsidRPr="00E11FFB" w14:paraId="5E716F27" w14:textId="77777777" w:rsidTr="003A6DE1">
        <w:trPr>
          <w:jc w:val="center"/>
        </w:trPr>
        <w:tc>
          <w:tcPr>
            <w:tcW w:w="8754" w:type="dxa"/>
            <w:gridSpan w:val="2"/>
            <w:shd w:val="clear" w:color="auto" w:fill="D9D9D9" w:themeFill="background1" w:themeFillShade="D9"/>
            <w:vAlign w:val="center"/>
          </w:tcPr>
          <w:p w14:paraId="12B9013E" w14:textId="77777777" w:rsidR="00E86E53" w:rsidRPr="00E11FFB" w:rsidRDefault="00E86E53" w:rsidP="00E86E53">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10ième indicateur effet 3 :</w:t>
            </w:r>
            <w:r w:rsidRPr="00E11FFB">
              <w:rPr>
                <w:rFonts w:ascii="Avenir" w:eastAsia="Avenir" w:hAnsi="Avenir" w:cs="Avenir"/>
                <w:bCs/>
                <w:color w:val="000000"/>
                <w:sz w:val="16"/>
                <w:szCs w:val="16"/>
              </w:rPr>
              <w:t xml:space="preserve"> CCNF installé et rendu opérationnel</w:t>
            </w:r>
          </w:p>
        </w:tc>
      </w:tr>
      <w:tr w:rsidR="00E86E53" w:rsidRPr="00E11FFB" w14:paraId="35AC4925" w14:textId="77777777" w:rsidTr="003A6DE1">
        <w:trPr>
          <w:jc w:val="center"/>
        </w:trPr>
        <w:tc>
          <w:tcPr>
            <w:tcW w:w="4377" w:type="dxa"/>
            <w:vAlign w:val="center"/>
          </w:tcPr>
          <w:p w14:paraId="40C21DE2" w14:textId="77777777"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CCNF extraordinaire sur le code forestier organisé</w:t>
            </w:r>
          </w:p>
        </w:tc>
        <w:tc>
          <w:tcPr>
            <w:tcW w:w="4377" w:type="dxa"/>
            <w:vAlign w:val="center"/>
          </w:tcPr>
          <w:p w14:paraId="72014476" w14:textId="04CA5BB0" w:rsidR="00E86E53" w:rsidRPr="00E11FFB" w:rsidRDefault="00E86E53" w:rsidP="00E86E53">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CCNF extraordinaire sur le code forestier organisé</w:t>
            </w:r>
          </w:p>
        </w:tc>
      </w:tr>
      <w:tr w:rsidR="00E86E53" w:rsidRPr="00E11FFB" w14:paraId="789861B4" w14:textId="77777777" w:rsidTr="003A6DE1">
        <w:trPr>
          <w:jc w:val="center"/>
        </w:trPr>
        <w:tc>
          <w:tcPr>
            <w:tcW w:w="8754" w:type="dxa"/>
            <w:gridSpan w:val="2"/>
            <w:shd w:val="clear" w:color="auto" w:fill="D9D9D9" w:themeFill="background1" w:themeFillShade="D9"/>
            <w:vAlign w:val="center"/>
          </w:tcPr>
          <w:p w14:paraId="2D7EE809" w14:textId="77777777" w:rsidR="00E86E53" w:rsidRPr="00E11FFB" w:rsidRDefault="00E86E53" w:rsidP="00E86E53">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12ième indicateur effet 3 :</w:t>
            </w:r>
            <w:r w:rsidRPr="00E11FFB">
              <w:rPr>
                <w:rFonts w:ascii="Avenir" w:eastAsia="Avenir" w:hAnsi="Avenir" w:cs="Avenir"/>
                <w:bCs/>
                <w:color w:val="000000"/>
                <w:sz w:val="16"/>
                <w:szCs w:val="16"/>
              </w:rPr>
              <w:t xml:space="preserve"> Nb (calculé) de personnes touchées par les campagnes de communication visant principalement à informer sur le projet.</w:t>
            </w:r>
          </w:p>
        </w:tc>
      </w:tr>
      <w:tr w:rsidR="00F15EB7" w:rsidRPr="00E11FFB" w14:paraId="3B5E2E48" w14:textId="77777777" w:rsidTr="003A6DE1">
        <w:trPr>
          <w:jc w:val="center"/>
        </w:trPr>
        <w:tc>
          <w:tcPr>
            <w:tcW w:w="4377" w:type="dxa"/>
            <w:vAlign w:val="center"/>
          </w:tcPr>
          <w:p w14:paraId="08E93EB0" w14:textId="38015570"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1523 personnes (</w:t>
            </w:r>
            <w:r w:rsidRPr="006D79E9">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19% femmes</w:t>
            </w:r>
            <w:r w:rsidRPr="006D79E9">
              <w:rPr>
                <w:rFonts w:ascii="Avenir" w:eastAsia="Avenir" w:hAnsi="Avenir" w:cs="Avenir"/>
                <w:bCs/>
                <w:color w:val="000000"/>
                <w:sz w:val="16"/>
                <w:szCs w:val="16"/>
              </w:rPr>
              <w:t xml:space="preserve"> et </w:t>
            </w:r>
            <w:r w:rsidRPr="00F15EB7">
              <w:rPr>
                <w:rFonts w:ascii="Avenir" w:eastAsia="Avenir" w:hAnsi="Avenir" w:cs="Avenir"/>
                <w:bCs/>
                <w:color w:val="000000"/>
                <w:sz w:val="16"/>
                <w:szCs w:val="16"/>
              </w:rPr>
              <w:t>81% hommes)</w:t>
            </w:r>
          </w:p>
        </w:tc>
        <w:tc>
          <w:tcPr>
            <w:tcW w:w="4377" w:type="dxa"/>
            <w:vAlign w:val="center"/>
          </w:tcPr>
          <w:p w14:paraId="7716A8FF" w14:textId="00AD937C"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1523 personnes (</w:t>
            </w:r>
            <w:r w:rsidRPr="000B7A3B">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19% femmes</w:t>
            </w:r>
            <w:r w:rsidRPr="000B7A3B">
              <w:rPr>
                <w:rFonts w:ascii="Avenir" w:eastAsia="Avenir" w:hAnsi="Avenir" w:cs="Avenir"/>
                <w:bCs/>
                <w:color w:val="000000"/>
                <w:sz w:val="16"/>
                <w:szCs w:val="16"/>
              </w:rPr>
              <w:t xml:space="preserve"> et </w:t>
            </w:r>
            <w:r w:rsidRPr="00F15EB7">
              <w:rPr>
                <w:rFonts w:ascii="Avenir" w:eastAsia="Avenir" w:hAnsi="Avenir" w:cs="Avenir"/>
                <w:bCs/>
                <w:color w:val="000000"/>
                <w:sz w:val="16"/>
                <w:szCs w:val="16"/>
              </w:rPr>
              <w:t>81% hommes)</w:t>
            </w:r>
          </w:p>
        </w:tc>
      </w:tr>
      <w:tr w:rsidR="00F15EB7" w:rsidRPr="00E11FFB" w14:paraId="69DDF496" w14:textId="77777777" w:rsidTr="003A6DE1">
        <w:trPr>
          <w:jc w:val="center"/>
        </w:trPr>
        <w:tc>
          <w:tcPr>
            <w:tcW w:w="8754" w:type="dxa"/>
            <w:gridSpan w:val="2"/>
            <w:shd w:val="clear" w:color="auto" w:fill="D9D9D9" w:themeFill="background1" w:themeFillShade="D9"/>
            <w:vAlign w:val="center"/>
          </w:tcPr>
          <w:p w14:paraId="27224C83" w14:textId="77777777" w:rsidR="00F15EB7" w:rsidRPr="00F15EB7" w:rsidRDefault="00F15EB7" w:rsidP="00F15EB7">
            <w:pPr>
              <w:spacing w:after="5" w:line="271" w:lineRule="auto"/>
              <w:jc w:val="center"/>
              <w:rPr>
                <w:rFonts w:ascii="Avenir" w:eastAsia="Avenir" w:hAnsi="Avenir" w:cs="Avenir"/>
                <w:bCs/>
                <w:color w:val="000000"/>
                <w:sz w:val="16"/>
                <w:szCs w:val="16"/>
              </w:rPr>
            </w:pPr>
            <w:r w:rsidRPr="00F15EB7">
              <w:rPr>
                <w:rFonts w:ascii="Avenir" w:eastAsia="Avenir" w:hAnsi="Avenir" w:cs="Avenir"/>
                <w:b/>
                <w:color w:val="000000"/>
                <w:sz w:val="16"/>
                <w:szCs w:val="16"/>
              </w:rPr>
              <w:t>13ième indicateur effet 3 :</w:t>
            </w:r>
            <w:r w:rsidRPr="00F15EB7">
              <w:rPr>
                <w:rFonts w:ascii="Avenir" w:eastAsia="Avenir" w:hAnsi="Avenir" w:cs="Avenir"/>
                <w:bCs/>
                <w:color w:val="000000"/>
                <w:sz w:val="16"/>
                <w:szCs w:val="16"/>
              </w:rPr>
              <w:t xml:space="preserve"> Nb (calculé) de personnes touchées par les campagnes de communication visant principalement à modifier les attitudes et pratiques.</w:t>
            </w:r>
          </w:p>
        </w:tc>
      </w:tr>
      <w:tr w:rsidR="00F15EB7" w:rsidRPr="00E11FFB" w14:paraId="63DDF276" w14:textId="77777777" w:rsidTr="003A6DE1">
        <w:trPr>
          <w:jc w:val="center"/>
        </w:trPr>
        <w:tc>
          <w:tcPr>
            <w:tcW w:w="4377" w:type="dxa"/>
            <w:vAlign w:val="center"/>
          </w:tcPr>
          <w:p w14:paraId="02FD04C6" w14:textId="61C8B03D"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1251 personnes (</w:t>
            </w:r>
            <w:r w:rsidRPr="006D79E9">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19% femmes</w:t>
            </w:r>
            <w:r w:rsidRPr="006D79E9">
              <w:rPr>
                <w:rFonts w:ascii="Avenir" w:eastAsia="Avenir" w:hAnsi="Avenir" w:cs="Avenir"/>
                <w:bCs/>
                <w:color w:val="000000"/>
                <w:sz w:val="16"/>
                <w:szCs w:val="16"/>
              </w:rPr>
              <w:t xml:space="preserve"> et </w:t>
            </w:r>
            <w:r w:rsidRPr="00F15EB7">
              <w:rPr>
                <w:rFonts w:ascii="Avenir" w:eastAsia="Avenir" w:hAnsi="Avenir" w:cs="Avenir"/>
                <w:bCs/>
                <w:color w:val="000000"/>
                <w:sz w:val="16"/>
                <w:szCs w:val="16"/>
              </w:rPr>
              <w:t>81% hommes)</w:t>
            </w:r>
          </w:p>
        </w:tc>
        <w:tc>
          <w:tcPr>
            <w:tcW w:w="4377" w:type="dxa"/>
            <w:vAlign w:val="center"/>
          </w:tcPr>
          <w:p w14:paraId="3FACD115" w14:textId="7F8047E0"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1251 personnes (</w:t>
            </w:r>
            <w:r w:rsidRPr="000B7A3B">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19% femmes</w:t>
            </w:r>
            <w:r w:rsidRPr="000B7A3B">
              <w:rPr>
                <w:rFonts w:ascii="Avenir" w:eastAsia="Avenir" w:hAnsi="Avenir" w:cs="Avenir"/>
                <w:bCs/>
                <w:color w:val="000000"/>
                <w:sz w:val="16"/>
                <w:szCs w:val="16"/>
              </w:rPr>
              <w:t xml:space="preserve"> et </w:t>
            </w:r>
            <w:r w:rsidRPr="00F15EB7">
              <w:rPr>
                <w:rFonts w:ascii="Avenir" w:eastAsia="Avenir" w:hAnsi="Avenir" w:cs="Avenir"/>
                <w:bCs/>
                <w:color w:val="000000"/>
                <w:sz w:val="16"/>
                <w:szCs w:val="16"/>
              </w:rPr>
              <w:t>81% hommes)</w:t>
            </w:r>
          </w:p>
        </w:tc>
      </w:tr>
      <w:tr w:rsidR="00F15EB7" w:rsidRPr="00E11FFB" w14:paraId="55A35EA4" w14:textId="77777777" w:rsidTr="003A6DE1">
        <w:trPr>
          <w:jc w:val="center"/>
        </w:trPr>
        <w:tc>
          <w:tcPr>
            <w:tcW w:w="8754" w:type="dxa"/>
            <w:gridSpan w:val="2"/>
            <w:shd w:val="clear" w:color="auto" w:fill="D9D9D9" w:themeFill="background1" w:themeFillShade="D9"/>
            <w:vAlign w:val="center"/>
          </w:tcPr>
          <w:p w14:paraId="54AB95EC" w14:textId="77777777" w:rsidR="00F15EB7" w:rsidRPr="00F15EB7" w:rsidRDefault="00F15EB7" w:rsidP="00F15EB7">
            <w:pPr>
              <w:spacing w:after="5" w:line="271" w:lineRule="auto"/>
              <w:jc w:val="center"/>
              <w:rPr>
                <w:rFonts w:ascii="Avenir" w:eastAsia="Avenir" w:hAnsi="Avenir" w:cs="Avenir"/>
                <w:bCs/>
                <w:color w:val="000000"/>
                <w:sz w:val="16"/>
                <w:szCs w:val="16"/>
              </w:rPr>
            </w:pPr>
            <w:r w:rsidRPr="00F15EB7">
              <w:rPr>
                <w:rFonts w:ascii="Avenir" w:eastAsia="Avenir" w:hAnsi="Avenir" w:cs="Avenir"/>
                <w:b/>
                <w:color w:val="000000"/>
                <w:sz w:val="16"/>
                <w:szCs w:val="16"/>
              </w:rPr>
              <w:t>14ième indicateur effet 3 :</w:t>
            </w:r>
            <w:r w:rsidRPr="00F15EB7">
              <w:rPr>
                <w:rFonts w:ascii="Avenir" w:eastAsia="Avenir" w:hAnsi="Avenir" w:cs="Avenir"/>
                <w:bCs/>
                <w:color w:val="000000"/>
                <w:sz w:val="16"/>
                <w:szCs w:val="16"/>
              </w:rPr>
              <w:t xml:space="preserve"> Pourcentage de campagnes utilisant des outils pour cibler spécifiquement les minorités et groupes vulnérables.</w:t>
            </w:r>
          </w:p>
        </w:tc>
      </w:tr>
      <w:tr w:rsidR="00F15EB7" w:rsidRPr="00E11FFB" w14:paraId="046E2071" w14:textId="77777777" w:rsidTr="00CD4A06">
        <w:trPr>
          <w:jc w:val="center"/>
        </w:trPr>
        <w:tc>
          <w:tcPr>
            <w:tcW w:w="4377" w:type="dxa"/>
            <w:vAlign w:val="center"/>
          </w:tcPr>
          <w:p w14:paraId="40E55B28" w14:textId="3C19807C" w:rsidR="00F15EB7" w:rsidRPr="002142A2" w:rsidRDefault="00F15EB7" w:rsidP="00F15EB7">
            <w:pPr>
              <w:spacing w:after="5" w:line="271" w:lineRule="auto"/>
              <w:jc w:val="both"/>
              <w:rPr>
                <w:rFonts w:ascii="Avenir" w:eastAsia="Avenir" w:hAnsi="Avenir" w:cs="Avenir"/>
                <w:bCs/>
                <w:color w:val="000000"/>
                <w:sz w:val="16"/>
                <w:szCs w:val="16"/>
              </w:rPr>
            </w:pPr>
            <w:r w:rsidRPr="002142A2">
              <w:rPr>
                <w:rFonts w:ascii="Avenir" w:eastAsia="Avenir" w:hAnsi="Avenir" w:cs="Avenir"/>
                <w:bCs/>
                <w:color w:val="000000"/>
                <w:sz w:val="16"/>
                <w:szCs w:val="16"/>
              </w:rPr>
              <w:t>17% de campagnes</w:t>
            </w:r>
          </w:p>
        </w:tc>
        <w:tc>
          <w:tcPr>
            <w:tcW w:w="4377" w:type="dxa"/>
            <w:vAlign w:val="center"/>
          </w:tcPr>
          <w:p w14:paraId="7772A699" w14:textId="355549F7" w:rsidR="00F15EB7" w:rsidRPr="002142A2" w:rsidRDefault="00F15EB7" w:rsidP="00F15EB7">
            <w:pPr>
              <w:spacing w:after="5" w:line="271" w:lineRule="auto"/>
              <w:jc w:val="both"/>
              <w:rPr>
                <w:rFonts w:ascii="Avenir" w:eastAsia="Avenir" w:hAnsi="Avenir" w:cs="Avenir"/>
                <w:bCs/>
                <w:color w:val="000000"/>
                <w:sz w:val="16"/>
                <w:szCs w:val="16"/>
              </w:rPr>
            </w:pPr>
            <w:r w:rsidRPr="002142A2">
              <w:rPr>
                <w:rFonts w:ascii="Avenir" w:eastAsia="Avenir" w:hAnsi="Avenir" w:cs="Avenir"/>
                <w:bCs/>
                <w:color w:val="000000"/>
                <w:sz w:val="16"/>
                <w:szCs w:val="16"/>
              </w:rPr>
              <w:t>17% de campagnes</w:t>
            </w:r>
          </w:p>
        </w:tc>
      </w:tr>
      <w:tr w:rsidR="00F15EB7" w:rsidRPr="00E11FFB" w14:paraId="001CA858" w14:textId="77777777" w:rsidTr="003A6DE1">
        <w:trPr>
          <w:jc w:val="center"/>
        </w:trPr>
        <w:tc>
          <w:tcPr>
            <w:tcW w:w="8754" w:type="dxa"/>
            <w:gridSpan w:val="2"/>
            <w:vAlign w:val="center"/>
          </w:tcPr>
          <w:p w14:paraId="0FDF2F0C" w14:textId="77777777" w:rsidR="00F15EB7" w:rsidRPr="00E11FFB" w:rsidRDefault="00F15EB7" w:rsidP="00F15EB7">
            <w:pPr>
              <w:spacing w:after="5" w:line="271" w:lineRule="auto"/>
              <w:jc w:val="center"/>
              <w:rPr>
                <w:rFonts w:ascii="Avenir" w:eastAsia="Avenir" w:hAnsi="Avenir" w:cs="Avenir"/>
                <w:b/>
                <w:color w:val="000000"/>
                <w:sz w:val="16"/>
                <w:szCs w:val="16"/>
              </w:rPr>
            </w:pPr>
          </w:p>
        </w:tc>
      </w:tr>
      <w:tr w:rsidR="00F15EB7" w:rsidRPr="00E11FFB" w14:paraId="61468B84" w14:textId="77777777" w:rsidTr="003A6DE1">
        <w:trPr>
          <w:jc w:val="center"/>
        </w:trPr>
        <w:tc>
          <w:tcPr>
            <w:tcW w:w="8754" w:type="dxa"/>
            <w:gridSpan w:val="2"/>
            <w:shd w:val="clear" w:color="auto" w:fill="D9D9D9" w:themeFill="background1" w:themeFillShade="D9"/>
            <w:vAlign w:val="center"/>
          </w:tcPr>
          <w:p w14:paraId="6672E84C"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20"/>
                <w:szCs w:val="20"/>
              </w:rPr>
              <w:t>Effet 4 :  La RDC dispose d’une Politique des Populations et la met en œuvre (Plan)</w:t>
            </w:r>
          </w:p>
        </w:tc>
      </w:tr>
      <w:tr w:rsidR="00F15EB7" w:rsidRPr="00E11FFB" w14:paraId="7CF5A37A" w14:textId="77777777" w:rsidTr="003A6DE1">
        <w:trPr>
          <w:jc w:val="center"/>
        </w:trPr>
        <w:tc>
          <w:tcPr>
            <w:tcW w:w="8754" w:type="dxa"/>
            <w:gridSpan w:val="2"/>
            <w:shd w:val="clear" w:color="auto" w:fill="D9D9D9" w:themeFill="background1" w:themeFillShade="D9"/>
          </w:tcPr>
          <w:p w14:paraId="6A63425C"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1ième indicateur effet 4 : </w:t>
            </w:r>
            <w:r w:rsidRPr="00E11FFB">
              <w:rPr>
                <w:rFonts w:ascii="Avenir" w:eastAsia="Avenir" w:hAnsi="Avenir" w:cs="Avenir"/>
                <w:color w:val="000000"/>
                <w:sz w:val="16"/>
                <w:szCs w:val="16"/>
              </w:rPr>
              <w:t>Nombre d’organes fonctionnels de CONAPO</w:t>
            </w:r>
          </w:p>
        </w:tc>
      </w:tr>
      <w:tr w:rsidR="00F15EB7" w:rsidRPr="00E11FFB" w14:paraId="7DCF86AE" w14:textId="77777777" w:rsidTr="003A6DE1">
        <w:trPr>
          <w:jc w:val="center"/>
        </w:trPr>
        <w:tc>
          <w:tcPr>
            <w:tcW w:w="4377" w:type="dxa"/>
            <w:vAlign w:val="center"/>
          </w:tcPr>
          <w:p w14:paraId="768D7A46"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3 organes (CTIP, Secrétariat permanent et COPIL)</w:t>
            </w:r>
          </w:p>
        </w:tc>
        <w:tc>
          <w:tcPr>
            <w:tcW w:w="4377" w:type="dxa"/>
            <w:vAlign w:val="center"/>
          </w:tcPr>
          <w:p w14:paraId="2C98D27B" w14:textId="1157A968"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3 organes (CTIP, Secrétariat permanent et COPIL)</w:t>
            </w:r>
          </w:p>
        </w:tc>
      </w:tr>
      <w:tr w:rsidR="00F15EB7" w:rsidRPr="00E11FFB" w14:paraId="3D802B5C" w14:textId="77777777" w:rsidTr="003A6DE1">
        <w:trPr>
          <w:jc w:val="center"/>
        </w:trPr>
        <w:tc>
          <w:tcPr>
            <w:tcW w:w="8754" w:type="dxa"/>
            <w:gridSpan w:val="2"/>
            <w:shd w:val="clear" w:color="auto" w:fill="D9D9D9" w:themeFill="background1" w:themeFillShade="D9"/>
          </w:tcPr>
          <w:p w14:paraId="1D6EC4CA"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2ième indicateur effet 4 : </w:t>
            </w:r>
            <w:r w:rsidRPr="00E11FFB">
              <w:rPr>
                <w:rFonts w:ascii="Avenir" w:eastAsia="Avenir" w:hAnsi="Avenir" w:cs="Avenir"/>
                <w:color w:val="000000"/>
                <w:sz w:val="16"/>
                <w:szCs w:val="16"/>
              </w:rPr>
              <w:t>Nombre de réunion de COPIL</w:t>
            </w:r>
          </w:p>
        </w:tc>
      </w:tr>
      <w:tr w:rsidR="00F15EB7" w:rsidRPr="00E11FFB" w14:paraId="3417B7EB" w14:textId="77777777" w:rsidTr="003A6DE1">
        <w:trPr>
          <w:jc w:val="center"/>
        </w:trPr>
        <w:tc>
          <w:tcPr>
            <w:tcW w:w="4377" w:type="dxa"/>
            <w:vAlign w:val="center"/>
          </w:tcPr>
          <w:p w14:paraId="790C482D"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2 réunions de COPIL </w:t>
            </w:r>
          </w:p>
        </w:tc>
        <w:tc>
          <w:tcPr>
            <w:tcW w:w="4377" w:type="dxa"/>
            <w:vAlign w:val="center"/>
          </w:tcPr>
          <w:p w14:paraId="6739EBCB" w14:textId="0A02B6FC"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2 réunions de COPIL</w:t>
            </w:r>
          </w:p>
        </w:tc>
      </w:tr>
      <w:tr w:rsidR="00F15EB7" w:rsidRPr="00E11FFB" w14:paraId="0DC83C71" w14:textId="77777777" w:rsidTr="003A6DE1">
        <w:trPr>
          <w:jc w:val="center"/>
        </w:trPr>
        <w:tc>
          <w:tcPr>
            <w:tcW w:w="8754" w:type="dxa"/>
            <w:gridSpan w:val="2"/>
            <w:shd w:val="clear" w:color="auto" w:fill="D9D9D9" w:themeFill="background1" w:themeFillShade="D9"/>
            <w:vAlign w:val="center"/>
          </w:tcPr>
          <w:p w14:paraId="0CF77ECD"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3ième indicateur effet 4 : </w:t>
            </w:r>
            <w:r w:rsidRPr="00E11FFB">
              <w:rPr>
                <w:rFonts w:ascii="Avenir" w:eastAsia="Avenir" w:hAnsi="Avenir" w:cs="Avenir"/>
                <w:color w:val="000000"/>
                <w:sz w:val="16"/>
                <w:szCs w:val="16"/>
              </w:rPr>
              <w:t>Nombre de réunion de CTIP</w:t>
            </w:r>
          </w:p>
        </w:tc>
      </w:tr>
      <w:tr w:rsidR="00F15EB7" w:rsidRPr="00E11FFB" w14:paraId="5F20E9BB" w14:textId="77777777" w:rsidTr="003A6DE1">
        <w:trPr>
          <w:jc w:val="center"/>
        </w:trPr>
        <w:tc>
          <w:tcPr>
            <w:tcW w:w="4377" w:type="dxa"/>
            <w:vAlign w:val="center"/>
          </w:tcPr>
          <w:p w14:paraId="55C376D8"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3 réunions de CTIP</w:t>
            </w:r>
          </w:p>
        </w:tc>
        <w:tc>
          <w:tcPr>
            <w:tcW w:w="4377" w:type="dxa"/>
            <w:vAlign w:val="center"/>
          </w:tcPr>
          <w:p w14:paraId="46B3145C" w14:textId="1F955051"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3 réunions de CTIP</w:t>
            </w:r>
          </w:p>
        </w:tc>
      </w:tr>
      <w:tr w:rsidR="00F15EB7" w:rsidRPr="00E11FFB" w14:paraId="62773DDF" w14:textId="77777777" w:rsidTr="003A6DE1">
        <w:trPr>
          <w:jc w:val="center"/>
        </w:trPr>
        <w:tc>
          <w:tcPr>
            <w:tcW w:w="8754" w:type="dxa"/>
            <w:gridSpan w:val="2"/>
            <w:shd w:val="clear" w:color="auto" w:fill="D9D9D9" w:themeFill="background1" w:themeFillShade="D9"/>
            <w:vAlign w:val="center"/>
          </w:tcPr>
          <w:p w14:paraId="0CB3A2BF"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4ième indicateur effet 4 : </w:t>
            </w:r>
            <w:r w:rsidRPr="00E11FFB">
              <w:rPr>
                <w:rFonts w:ascii="Avenir" w:eastAsia="Avenir" w:hAnsi="Avenir" w:cs="Avenir"/>
                <w:color w:val="000000"/>
                <w:sz w:val="16"/>
                <w:szCs w:val="16"/>
              </w:rPr>
              <w:t>Fonctionnement mensuel optimal du secrétariat permanent</w:t>
            </w:r>
          </w:p>
        </w:tc>
      </w:tr>
      <w:tr w:rsidR="00F15EB7" w:rsidRPr="00E11FFB" w14:paraId="205FE1F2" w14:textId="77777777" w:rsidTr="003A6DE1">
        <w:trPr>
          <w:jc w:val="center"/>
        </w:trPr>
        <w:tc>
          <w:tcPr>
            <w:tcW w:w="4377" w:type="dxa"/>
            <w:vAlign w:val="center"/>
          </w:tcPr>
          <w:p w14:paraId="138D6E9A"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7 rapports mensuels de fonctionnement du SP, équipement en matériels du bureau. </w:t>
            </w:r>
          </w:p>
        </w:tc>
        <w:tc>
          <w:tcPr>
            <w:tcW w:w="4377" w:type="dxa"/>
            <w:vAlign w:val="center"/>
          </w:tcPr>
          <w:p w14:paraId="33D8D493" w14:textId="7FCF80AB"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7 rapports mensuels de fonctionnement du SP, équipement en matériels du bureau.</w:t>
            </w:r>
          </w:p>
        </w:tc>
      </w:tr>
      <w:tr w:rsidR="00F15EB7" w:rsidRPr="00E11FFB" w14:paraId="58861D5D" w14:textId="77777777" w:rsidTr="003A6DE1">
        <w:trPr>
          <w:jc w:val="center"/>
        </w:trPr>
        <w:tc>
          <w:tcPr>
            <w:tcW w:w="8754" w:type="dxa"/>
            <w:gridSpan w:val="2"/>
            <w:shd w:val="clear" w:color="auto" w:fill="D9D9D9" w:themeFill="background1" w:themeFillShade="D9"/>
            <w:vAlign w:val="center"/>
          </w:tcPr>
          <w:p w14:paraId="196BD2E3"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5ième indicateur effet 4 : </w:t>
            </w:r>
            <w:r w:rsidRPr="00E11FFB">
              <w:rPr>
                <w:rFonts w:ascii="Avenir" w:eastAsia="Avenir" w:hAnsi="Avenir" w:cs="Avenir"/>
                <w:color w:val="000000"/>
                <w:sz w:val="16"/>
                <w:szCs w:val="16"/>
              </w:rPr>
              <w:t>Nombre de provinces dotées de Comités Provinciaux de Population</w:t>
            </w:r>
          </w:p>
        </w:tc>
      </w:tr>
      <w:tr w:rsidR="00F15EB7" w:rsidRPr="00E11FFB" w14:paraId="5F0D3785" w14:textId="77777777" w:rsidTr="003A6DE1">
        <w:trPr>
          <w:jc w:val="center"/>
        </w:trPr>
        <w:tc>
          <w:tcPr>
            <w:tcW w:w="4377" w:type="dxa"/>
            <w:vAlign w:val="center"/>
          </w:tcPr>
          <w:p w14:paraId="2C215CE4" w14:textId="5589AC08"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Les missions d’installations de CPPO ont été planifiées dans 5 provinces </w:t>
            </w:r>
          </w:p>
        </w:tc>
        <w:tc>
          <w:tcPr>
            <w:tcW w:w="4377" w:type="dxa"/>
            <w:vAlign w:val="center"/>
          </w:tcPr>
          <w:p w14:paraId="16F56415" w14:textId="2C1FE04F"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Les missions d’installations de CPPO ont été planifiées dans 5 provinces </w:t>
            </w:r>
          </w:p>
        </w:tc>
      </w:tr>
      <w:tr w:rsidR="00F15EB7" w:rsidRPr="00E11FFB" w14:paraId="3FDA64E0" w14:textId="77777777" w:rsidTr="003A6DE1">
        <w:trPr>
          <w:jc w:val="center"/>
        </w:trPr>
        <w:tc>
          <w:tcPr>
            <w:tcW w:w="8754" w:type="dxa"/>
            <w:gridSpan w:val="2"/>
            <w:shd w:val="clear" w:color="auto" w:fill="D9D9D9" w:themeFill="background1" w:themeFillShade="D9"/>
            <w:vAlign w:val="center"/>
          </w:tcPr>
          <w:p w14:paraId="1917C482"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6ième indicateur effet 4 : </w:t>
            </w:r>
            <w:r w:rsidRPr="00E11FFB">
              <w:rPr>
                <w:rFonts w:ascii="Avenir" w:eastAsia="Avenir" w:hAnsi="Avenir" w:cs="Avenir"/>
                <w:color w:val="000000"/>
                <w:sz w:val="16"/>
                <w:szCs w:val="16"/>
              </w:rPr>
              <w:t>Nombre de Nombre de drafts de PNP</w:t>
            </w:r>
          </w:p>
        </w:tc>
      </w:tr>
      <w:tr w:rsidR="00F15EB7" w:rsidRPr="00E11FFB" w14:paraId="5C8EDEFF" w14:textId="77777777" w:rsidTr="003A6DE1">
        <w:trPr>
          <w:jc w:val="center"/>
        </w:trPr>
        <w:tc>
          <w:tcPr>
            <w:tcW w:w="4377" w:type="dxa"/>
            <w:vAlign w:val="center"/>
          </w:tcPr>
          <w:p w14:paraId="385CC150"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4 drafts ont été produits (Note de cadrage PNP, note de cadrage diagnostic, draft diagnostic, draft PNP)</w:t>
            </w:r>
          </w:p>
        </w:tc>
        <w:tc>
          <w:tcPr>
            <w:tcW w:w="4377" w:type="dxa"/>
            <w:vAlign w:val="center"/>
          </w:tcPr>
          <w:p w14:paraId="5970EF08" w14:textId="6B9E7E9C"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4 drafts ont été produits (Note de cadrage PNP, note de cadrage diagnostic, draft diagnostic, draft PNP)</w:t>
            </w:r>
          </w:p>
        </w:tc>
      </w:tr>
      <w:tr w:rsidR="00F15EB7" w:rsidRPr="00E11FFB" w14:paraId="58F319EE" w14:textId="77777777" w:rsidTr="003A6DE1">
        <w:trPr>
          <w:jc w:val="center"/>
        </w:trPr>
        <w:tc>
          <w:tcPr>
            <w:tcW w:w="8754" w:type="dxa"/>
            <w:gridSpan w:val="2"/>
            <w:shd w:val="clear" w:color="auto" w:fill="D9D9D9" w:themeFill="background1" w:themeFillShade="D9"/>
            <w:vAlign w:val="center"/>
          </w:tcPr>
          <w:p w14:paraId="700DB559"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7ième indicateur effet 4 : </w:t>
            </w:r>
            <w:r w:rsidRPr="00E11FFB">
              <w:rPr>
                <w:rFonts w:ascii="Avenir" w:eastAsia="Avenir" w:hAnsi="Avenir" w:cs="Avenir"/>
                <w:color w:val="000000"/>
                <w:sz w:val="16"/>
                <w:szCs w:val="16"/>
              </w:rPr>
              <w:t>Nombre d’atelier organisé pour le PNP</w:t>
            </w:r>
          </w:p>
        </w:tc>
      </w:tr>
      <w:tr w:rsidR="00F15EB7" w:rsidRPr="00E11FFB" w14:paraId="270B29A8" w14:textId="77777777" w:rsidTr="003A6DE1">
        <w:trPr>
          <w:jc w:val="center"/>
        </w:trPr>
        <w:tc>
          <w:tcPr>
            <w:tcW w:w="4377" w:type="dxa"/>
            <w:vAlign w:val="center"/>
          </w:tcPr>
          <w:p w14:paraId="0136B062"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Un atelier national de haut niveau sur le lancement des travaux de la politique nationale de population</w:t>
            </w:r>
          </w:p>
        </w:tc>
        <w:tc>
          <w:tcPr>
            <w:tcW w:w="4377" w:type="dxa"/>
            <w:vAlign w:val="center"/>
          </w:tcPr>
          <w:p w14:paraId="2A1948D0" w14:textId="106A5600"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Un atelier national de haut niveau sur le lancement des travaux de la politique nationale de population</w:t>
            </w:r>
          </w:p>
        </w:tc>
      </w:tr>
      <w:tr w:rsidR="00F15EB7" w:rsidRPr="00E11FFB" w14:paraId="18F1CB5D" w14:textId="77777777" w:rsidTr="003A6DE1">
        <w:trPr>
          <w:jc w:val="center"/>
        </w:trPr>
        <w:tc>
          <w:tcPr>
            <w:tcW w:w="8754" w:type="dxa"/>
            <w:gridSpan w:val="2"/>
            <w:vAlign w:val="center"/>
          </w:tcPr>
          <w:p w14:paraId="7249EC0E"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8ème indicateur effet 4 : </w:t>
            </w:r>
            <w:r w:rsidRPr="00E11FFB">
              <w:rPr>
                <w:rFonts w:ascii="Avenir" w:eastAsia="Avenir" w:hAnsi="Avenir" w:cs="Avenir"/>
                <w:color w:val="000000"/>
                <w:sz w:val="16"/>
                <w:szCs w:val="16"/>
              </w:rPr>
              <w:t>Nombre de séance de plaidoyer</w:t>
            </w:r>
          </w:p>
        </w:tc>
      </w:tr>
      <w:tr w:rsidR="00F15EB7" w:rsidRPr="00E11FFB" w14:paraId="35F05204" w14:textId="77777777" w:rsidTr="003A6DE1">
        <w:trPr>
          <w:jc w:val="center"/>
        </w:trPr>
        <w:tc>
          <w:tcPr>
            <w:tcW w:w="4377" w:type="dxa"/>
            <w:vAlign w:val="center"/>
          </w:tcPr>
          <w:p w14:paraId="0F136ACE"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Plusieurs séances de plaidoyer ont été organisées sur base de la note de justification envoyée par le ministre aux services de budget</w:t>
            </w:r>
          </w:p>
        </w:tc>
        <w:tc>
          <w:tcPr>
            <w:tcW w:w="4377" w:type="dxa"/>
            <w:vAlign w:val="center"/>
          </w:tcPr>
          <w:p w14:paraId="76F52744" w14:textId="74F62A1C"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Plusieurs séances de plaidoyer ont été organisées sur base de la note de justification envoyée par le ministre aux services de budget</w:t>
            </w:r>
          </w:p>
        </w:tc>
      </w:tr>
      <w:tr w:rsidR="00F15EB7" w:rsidRPr="00E11FFB" w14:paraId="61334455" w14:textId="77777777" w:rsidTr="003A6DE1">
        <w:trPr>
          <w:jc w:val="center"/>
        </w:trPr>
        <w:tc>
          <w:tcPr>
            <w:tcW w:w="8754" w:type="dxa"/>
            <w:gridSpan w:val="2"/>
            <w:shd w:val="clear" w:color="auto" w:fill="D9D9D9" w:themeFill="background1" w:themeFillShade="D9"/>
            <w:vAlign w:val="center"/>
          </w:tcPr>
          <w:p w14:paraId="5F873619"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9ème indicateur effet 4 : </w:t>
            </w:r>
            <w:r w:rsidRPr="00E11FFB">
              <w:rPr>
                <w:rFonts w:ascii="Avenir" w:eastAsia="Avenir" w:hAnsi="Avenir" w:cs="Avenir"/>
                <w:color w:val="000000"/>
                <w:sz w:val="16"/>
                <w:szCs w:val="16"/>
              </w:rPr>
              <w:t>Nb (calculé) de personnes touchées par les campagnes de communication visant principalement à informer sur le projet.</w:t>
            </w:r>
          </w:p>
        </w:tc>
      </w:tr>
      <w:tr w:rsidR="00F15EB7" w:rsidRPr="00E11FFB" w14:paraId="61F5C281" w14:textId="77777777" w:rsidTr="003A6DE1">
        <w:trPr>
          <w:jc w:val="center"/>
        </w:trPr>
        <w:tc>
          <w:tcPr>
            <w:tcW w:w="4377" w:type="dxa"/>
            <w:vAlign w:val="center"/>
          </w:tcPr>
          <w:p w14:paraId="06D15643" w14:textId="5B887707"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799 (</w:t>
            </w:r>
            <w:r w:rsidRPr="006D79E9">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17% femmes</w:t>
            </w:r>
            <w:r w:rsidRPr="006D79E9">
              <w:rPr>
                <w:rFonts w:ascii="Avenir" w:eastAsia="Avenir" w:hAnsi="Avenir" w:cs="Avenir"/>
                <w:bCs/>
                <w:color w:val="000000"/>
                <w:sz w:val="16"/>
                <w:szCs w:val="16"/>
              </w:rPr>
              <w:t xml:space="preserve"> et </w:t>
            </w:r>
            <w:r w:rsidRPr="00F15EB7">
              <w:rPr>
                <w:rFonts w:ascii="Avenir" w:eastAsia="Avenir" w:hAnsi="Avenir" w:cs="Avenir"/>
                <w:bCs/>
                <w:color w:val="000000"/>
                <w:sz w:val="16"/>
                <w:szCs w:val="16"/>
              </w:rPr>
              <w:t>83% hommes)</w:t>
            </w:r>
          </w:p>
        </w:tc>
        <w:tc>
          <w:tcPr>
            <w:tcW w:w="4377" w:type="dxa"/>
            <w:vAlign w:val="center"/>
          </w:tcPr>
          <w:p w14:paraId="27E6F29A" w14:textId="7CAC64B3"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799 (dont 17% femmes et 83% hommes)</w:t>
            </w:r>
          </w:p>
        </w:tc>
      </w:tr>
      <w:tr w:rsidR="00F15EB7" w:rsidRPr="00E11FFB" w14:paraId="5603E5BE" w14:textId="77777777" w:rsidTr="003A6DE1">
        <w:trPr>
          <w:jc w:val="center"/>
        </w:trPr>
        <w:tc>
          <w:tcPr>
            <w:tcW w:w="8754" w:type="dxa"/>
            <w:gridSpan w:val="2"/>
            <w:shd w:val="clear" w:color="auto" w:fill="D9D9D9" w:themeFill="background1" w:themeFillShade="D9"/>
            <w:vAlign w:val="center"/>
          </w:tcPr>
          <w:p w14:paraId="2C33B06C" w14:textId="77777777" w:rsidR="00F15EB7" w:rsidRPr="00F15EB7" w:rsidRDefault="00F15EB7" w:rsidP="00F15EB7">
            <w:pPr>
              <w:spacing w:after="5" w:line="271" w:lineRule="auto"/>
              <w:jc w:val="center"/>
              <w:rPr>
                <w:rFonts w:ascii="Avenir" w:eastAsia="Avenir" w:hAnsi="Avenir" w:cs="Avenir"/>
                <w:bCs/>
                <w:color w:val="000000"/>
                <w:sz w:val="16"/>
                <w:szCs w:val="16"/>
              </w:rPr>
            </w:pPr>
            <w:r w:rsidRPr="00F15EB7">
              <w:rPr>
                <w:rFonts w:ascii="Avenir" w:eastAsia="Avenir" w:hAnsi="Avenir" w:cs="Avenir"/>
                <w:b/>
                <w:color w:val="000000"/>
                <w:sz w:val="16"/>
                <w:szCs w:val="16"/>
              </w:rPr>
              <w:t xml:space="preserve">10ème indicateur effet 4 : </w:t>
            </w:r>
            <w:r w:rsidRPr="00F15EB7">
              <w:rPr>
                <w:rFonts w:ascii="Avenir" w:eastAsia="Avenir" w:hAnsi="Avenir" w:cs="Avenir"/>
                <w:color w:val="000000"/>
                <w:sz w:val="16"/>
                <w:szCs w:val="16"/>
              </w:rPr>
              <w:t>Nb (calculé) de personnes touchées par les campagnes de communication visant principalement à modifier les attitudes et pratiques.</w:t>
            </w:r>
          </w:p>
        </w:tc>
      </w:tr>
      <w:tr w:rsidR="00F15EB7" w:rsidRPr="00E11FFB" w14:paraId="7A981CBB" w14:textId="77777777" w:rsidTr="003A6DE1">
        <w:trPr>
          <w:jc w:val="center"/>
        </w:trPr>
        <w:tc>
          <w:tcPr>
            <w:tcW w:w="4377" w:type="dxa"/>
            <w:vAlign w:val="center"/>
          </w:tcPr>
          <w:p w14:paraId="6E9180F0" w14:textId="7CA01219"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695 (</w:t>
            </w:r>
            <w:r w:rsidRPr="006D79E9">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17% femmes</w:t>
            </w:r>
            <w:r w:rsidRPr="006D79E9">
              <w:rPr>
                <w:rFonts w:ascii="Avenir" w:eastAsia="Avenir" w:hAnsi="Avenir" w:cs="Avenir"/>
                <w:bCs/>
                <w:color w:val="000000"/>
                <w:sz w:val="16"/>
                <w:szCs w:val="16"/>
              </w:rPr>
              <w:t xml:space="preserve"> et </w:t>
            </w:r>
            <w:r w:rsidRPr="00F15EB7">
              <w:rPr>
                <w:rFonts w:ascii="Avenir" w:eastAsia="Avenir" w:hAnsi="Avenir" w:cs="Avenir"/>
                <w:bCs/>
                <w:color w:val="000000"/>
                <w:sz w:val="16"/>
                <w:szCs w:val="16"/>
              </w:rPr>
              <w:t>83% hommes)</w:t>
            </w:r>
          </w:p>
        </w:tc>
        <w:tc>
          <w:tcPr>
            <w:tcW w:w="4377" w:type="dxa"/>
            <w:vAlign w:val="center"/>
          </w:tcPr>
          <w:p w14:paraId="5F0C6C00" w14:textId="23E338A7"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695 (dont 17% femmes et 83% hommes)</w:t>
            </w:r>
          </w:p>
        </w:tc>
      </w:tr>
      <w:tr w:rsidR="00F15EB7" w:rsidRPr="00E11FFB" w14:paraId="7F147BC5" w14:textId="77777777" w:rsidTr="003A6DE1">
        <w:trPr>
          <w:jc w:val="center"/>
        </w:trPr>
        <w:tc>
          <w:tcPr>
            <w:tcW w:w="8754" w:type="dxa"/>
            <w:gridSpan w:val="2"/>
            <w:shd w:val="clear" w:color="auto" w:fill="D9D9D9" w:themeFill="background1" w:themeFillShade="D9"/>
            <w:vAlign w:val="center"/>
          </w:tcPr>
          <w:p w14:paraId="38931EE1"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11ème indicateur effet 4 : </w:t>
            </w:r>
            <w:r w:rsidRPr="00E11FFB">
              <w:rPr>
                <w:rFonts w:ascii="Avenir" w:eastAsia="Avenir" w:hAnsi="Avenir" w:cs="Avenir"/>
                <w:color w:val="000000"/>
                <w:sz w:val="16"/>
                <w:szCs w:val="16"/>
              </w:rPr>
              <w:t>Pourcentage de campagnes utilisant des outils pour cibler spécifiquement les minorités et groupes vulnérables.</w:t>
            </w:r>
          </w:p>
        </w:tc>
      </w:tr>
      <w:tr w:rsidR="00F15EB7" w:rsidRPr="00E11FFB" w14:paraId="06B27C97" w14:textId="77777777" w:rsidTr="003A6DE1">
        <w:trPr>
          <w:jc w:val="center"/>
        </w:trPr>
        <w:tc>
          <w:tcPr>
            <w:tcW w:w="4377" w:type="dxa"/>
            <w:vAlign w:val="center"/>
          </w:tcPr>
          <w:p w14:paraId="4FDD3332" w14:textId="3044AD82"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87% des campagnes</w:t>
            </w:r>
          </w:p>
        </w:tc>
        <w:tc>
          <w:tcPr>
            <w:tcW w:w="4377" w:type="dxa"/>
            <w:vAlign w:val="center"/>
          </w:tcPr>
          <w:p w14:paraId="7401DE1A" w14:textId="0DC409E0"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87% des campagnes</w:t>
            </w:r>
          </w:p>
        </w:tc>
      </w:tr>
      <w:tr w:rsidR="00F15EB7" w:rsidRPr="00E11FFB" w14:paraId="1C3780DF" w14:textId="77777777" w:rsidTr="003A6DE1">
        <w:trPr>
          <w:jc w:val="center"/>
        </w:trPr>
        <w:tc>
          <w:tcPr>
            <w:tcW w:w="4377" w:type="dxa"/>
            <w:vAlign w:val="center"/>
          </w:tcPr>
          <w:p w14:paraId="08626B20" w14:textId="77777777" w:rsidR="00F15EB7" w:rsidRPr="00E11FFB" w:rsidRDefault="00F15EB7" w:rsidP="00F15EB7">
            <w:pPr>
              <w:spacing w:after="5" w:line="271" w:lineRule="auto"/>
              <w:rPr>
                <w:rFonts w:ascii="Avenir" w:eastAsia="Avenir" w:hAnsi="Avenir" w:cs="Avenir"/>
                <w:bCs/>
                <w:color w:val="000000"/>
                <w:sz w:val="16"/>
                <w:szCs w:val="16"/>
              </w:rPr>
            </w:pPr>
          </w:p>
        </w:tc>
        <w:tc>
          <w:tcPr>
            <w:tcW w:w="4377" w:type="dxa"/>
            <w:vAlign w:val="center"/>
          </w:tcPr>
          <w:p w14:paraId="42B45BEE" w14:textId="77777777" w:rsidR="00F15EB7" w:rsidRPr="00E11FFB" w:rsidRDefault="00F15EB7" w:rsidP="00F15EB7">
            <w:pPr>
              <w:spacing w:after="5" w:line="271" w:lineRule="auto"/>
              <w:rPr>
                <w:rFonts w:ascii="Avenir" w:eastAsia="Avenir" w:hAnsi="Avenir" w:cs="Avenir"/>
                <w:bCs/>
                <w:color w:val="000000"/>
                <w:sz w:val="16"/>
                <w:szCs w:val="16"/>
              </w:rPr>
            </w:pPr>
          </w:p>
        </w:tc>
      </w:tr>
      <w:tr w:rsidR="00F15EB7" w:rsidRPr="00E11FFB" w14:paraId="75004C3A" w14:textId="77777777" w:rsidTr="003A6DE1">
        <w:trPr>
          <w:jc w:val="center"/>
        </w:trPr>
        <w:tc>
          <w:tcPr>
            <w:tcW w:w="8754" w:type="dxa"/>
            <w:gridSpan w:val="2"/>
            <w:shd w:val="clear" w:color="auto" w:fill="D9D9D9" w:themeFill="background1" w:themeFillShade="D9"/>
            <w:vAlign w:val="center"/>
          </w:tcPr>
          <w:p w14:paraId="1857A276"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20"/>
                <w:szCs w:val="20"/>
              </w:rPr>
              <w:t>Effet 5 :  L’exploitation minière est gérée avec transparence et obéit à des normes socio environnementales (Mines et Hydrocarbures)</w:t>
            </w:r>
          </w:p>
        </w:tc>
      </w:tr>
      <w:tr w:rsidR="00F15EB7" w:rsidRPr="00E11FFB" w14:paraId="6F8896EF" w14:textId="77777777" w:rsidTr="003A6DE1">
        <w:trPr>
          <w:jc w:val="center"/>
        </w:trPr>
        <w:tc>
          <w:tcPr>
            <w:tcW w:w="8754" w:type="dxa"/>
            <w:gridSpan w:val="2"/>
            <w:shd w:val="clear" w:color="auto" w:fill="D9D9D9" w:themeFill="background1" w:themeFillShade="D9"/>
            <w:vAlign w:val="center"/>
          </w:tcPr>
          <w:p w14:paraId="2779323A"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1ème indicateur effet 5 : </w:t>
            </w:r>
            <w:r w:rsidRPr="00E11FFB">
              <w:rPr>
                <w:rFonts w:ascii="Avenir" w:eastAsia="Avenir" w:hAnsi="Avenir" w:cs="Avenir"/>
                <w:color w:val="000000"/>
                <w:sz w:val="16"/>
                <w:szCs w:val="16"/>
              </w:rPr>
              <w:t>Nb (calculé) de missions d’inspections, de contrôle et évaluation environnementale organisées</w:t>
            </w:r>
          </w:p>
        </w:tc>
      </w:tr>
      <w:tr w:rsidR="00F15EB7" w:rsidRPr="00E11FFB" w14:paraId="32023AC9" w14:textId="77777777" w:rsidTr="003A6DE1">
        <w:trPr>
          <w:jc w:val="center"/>
        </w:trPr>
        <w:tc>
          <w:tcPr>
            <w:tcW w:w="4377" w:type="dxa"/>
            <w:vAlign w:val="center"/>
          </w:tcPr>
          <w:p w14:paraId="6613540B"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mission d’inspection d’hydrocarbure </w:t>
            </w:r>
          </w:p>
        </w:tc>
        <w:tc>
          <w:tcPr>
            <w:tcW w:w="4377" w:type="dxa"/>
            <w:vAlign w:val="center"/>
          </w:tcPr>
          <w:p w14:paraId="0E8C28B4" w14:textId="614D7E49"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mission d’inspection d’hydrocarbure </w:t>
            </w:r>
          </w:p>
        </w:tc>
      </w:tr>
      <w:tr w:rsidR="00F15EB7" w:rsidRPr="00E11FFB" w14:paraId="09F4A28B" w14:textId="77777777" w:rsidTr="003A6DE1">
        <w:trPr>
          <w:jc w:val="center"/>
        </w:trPr>
        <w:tc>
          <w:tcPr>
            <w:tcW w:w="8754" w:type="dxa"/>
            <w:gridSpan w:val="2"/>
            <w:shd w:val="clear" w:color="auto" w:fill="D9D9D9" w:themeFill="background1" w:themeFillShade="D9"/>
            <w:vAlign w:val="center"/>
          </w:tcPr>
          <w:p w14:paraId="1A96101B"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2ème indicateur effet 5 : </w:t>
            </w:r>
            <w:r w:rsidRPr="00E11FFB">
              <w:rPr>
                <w:rFonts w:ascii="Avenir" w:eastAsia="Avenir" w:hAnsi="Avenir" w:cs="Avenir"/>
                <w:color w:val="000000"/>
                <w:sz w:val="16"/>
                <w:szCs w:val="16"/>
              </w:rPr>
              <w:t>Nb (calculé) d’acte publiés</w:t>
            </w:r>
          </w:p>
        </w:tc>
      </w:tr>
      <w:tr w:rsidR="00F15EB7" w:rsidRPr="00E11FFB" w14:paraId="6CAC9422" w14:textId="77777777" w:rsidTr="003A6DE1">
        <w:trPr>
          <w:jc w:val="center"/>
        </w:trPr>
        <w:tc>
          <w:tcPr>
            <w:tcW w:w="4377" w:type="dxa"/>
            <w:vAlign w:val="center"/>
          </w:tcPr>
          <w:p w14:paraId="090C73F5" w14:textId="14D03108" w:rsidR="00F15EB7" w:rsidRPr="00E11FFB" w:rsidRDefault="00F15EB7" w:rsidP="00F15EB7">
            <w:pPr>
              <w:spacing w:after="5" w:line="271" w:lineRule="auto"/>
              <w:rPr>
                <w:rFonts w:ascii="Avenir" w:eastAsia="Avenir" w:hAnsi="Avenir" w:cs="Avenir"/>
                <w:bCs/>
                <w:color w:val="000000"/>
                <w:sz w:val="16"/>
                <w:szCs w:val="16"/>
              </w:rPr>
            </w:pPr>
            <w:r>
              <w:rPr>
                <w:rFonts w:ascii="Avenir" w:eastAsia="Avenir" w:hAnsi="Avenir" w:cs="Avenir"/>
                <w:bCs/>
                <w:color w:val="000000"/>
                <w:sz w:val="16"/>
                <w:szCs w:val="16"/>
              </w:rPr>
              <w:t xml:space="preserve">En cours : </w:t>
            </w:r>
            <w:r w:rsidRPr="00E11FFB">
              <w:rPr>
                <w:rFonts w:ascii="Avenir" w:eastAsia="Avenir" w:hAnsi="Avenir" w:cs="Avenir"/>
                <w:bCs/>
                <w:color w:val="000000"/>
                <w:sz w:val="16"/>
                <w:szCs w:val="16"/>
              </w:rPr>
              <w:t>2 drafts d’actes rédigés et soumis à l’autorité (1 acte règlementaire pour mine et 1 acte interministériel pour hydrocarbure)</w:t>
            </w:r>
          </w:p>
        </w:tc>
        <w:tc>
          <w:tcPr>
            <w:tcW w:w="4377" w:type="dxa"/>
            <w:vAlign w:val="center"/>
          </w:tcPr>
          <w:p w14:paraId="3DC94017" w14:textId="26B7EF07" w:rsidR="00F15EB7" w:rsidRPr="00E11FFB" w:rsidRDefault="00F15EB7" w:rsidP="00F15EB7">
            <w:pPr>
              <w:spacing w:after="5" w:line="271" w:lineRule="auto"/>
              <w:rPr>
                <w:rFonts w:ascii="Avenir" w:eastAsia="Avenir" w:hAnsi="Avenir" w:cs="Avenir"/>
                <w:bCs/>
                <w:color w:val="000000"/>
                <w:sz w:val="16"/>
                <w:szCs w:val="16"/>
              </w:rPr>
            </w:pPr>
            <w:r>
              <w:rPr>
                <w:rFonts w:ascii="Avenir" w:eastAsia="Avenir" w:hAnsi="Avenir" w:cs="Avenir"/>
                <w:bCs/>
                <w:color w:val="000000"/>
                <w:sz w:val="16"/>
                <w:szCs w:val="16"/>
              </w:rPr>
              <w:t xml:space="preserve">En cours : </w:t>
            </w:r>
            <w:r w:rsidRPr="00E11FFB">
              <w:rPr>
                <w:rFonts w:ascii="Avenir" w:eastAsia="Avenir" w:hAnsi="Avenir" w:cs="Avenir"/>
                <w:bCs/>
                <w:color w:val="000000"/>
                <w:sz w:val="16"/>
                <w:szCs w:val="16"/>
              </w:rPr>
              <w:t>2 drafts d’actes rédigés et soumis à l’autorité (1 acte règlementaire pour mine et 1 acte interministériel pour hydrocarbure)</w:t>
            </w:r>
          </w:p>
        </w:tc>
      </w:tr>
      <w:tr w:rsidR="00F15EB7" w:rsidRPr="00E11FFB" w14:paraId="4945628B" w14:textId="77777777" w:rsidTr="003A6DE1">
        <w:trPr>
          <w:jc w:val="center"/>
        </w:trPr>
        <w:tc>
          <w:tcPr>
            <w:tcW w:w="8754" w:type="dxa"/>
            <w:gridSpan w:val="2"/>
            <w:shd w:val="clear" w:color="auto" w:fill="D9D9D9" w:themeFill="background1" w:themeFillShade="D9"/>
            <w:vAlign w:val="center"/>
          </w:tcPr>
          <w:p w14:paraId="33BBDE21"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3ème indicateur effet 5 : </w:t>
            </w:r>
            <w:r w:rsidRPr="00E11FFB">
              <w:rPr>
                <w:rFonts w:ascii="Avenir" w:eastAsia="Avenir" w:hAnsi="Avenir" w:cs="Avenir"/>
                <w:color w:val="000000"/>
                <w:sz w:val="16"/>
                <w:szCs w:val="16"/>
              </w:rPr>
              <w:t>Nb (calculé) de personnes formées</w:t>
            </w:r>
          </w:p>
        </w:tc>
      </w:tr>
      <w:tr w:rsidR="00F15EB7" w:rsidRPr="00E11FFB" w14:paraId="26622B61" w14:textId="77777777" w:rsidTr="003A6DE1">
        <w:trPr>
          <w:jc w:val="center"/>
        </w:trPr>
        <w:tc>
          <w:tcPr>
            <w:tcW w:w="4377" w:type="dxa"/>
            <w:vAlign w:val="center"/>
          </w:tcPr>
          <w:p w14:paraId="05E23E13"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45 experts des ministères de mines et des hydrocarbures (25 pour mines et 20 pour hydrocarbures) </w:t>
            </w:r>
          </w:p>
        </w:tc>
        <w:tc>
          <w:tcPr>
            <w:tcW w:w="4377" w:type="dxa"/>
            <w:vAlign w:val="center"/>
          </w:tcPr>
          <w:p w14:paraId="53740EA1" w14:textId="0823591B"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45 experts des ministères de mines et des hydrocarbures (25 pour mines et 20 pour hydrocarbures) </w:t>
            </w:r>
          </w:p>
        </w:tc>
      </w:tr>
      <w:tr w:rsidR="00F15EB7" w:rsidRPr="00E11FFB" w14:paraId="32D8B55C" w14:textId="77777777" w:rsidTr="003A6DE1">
        <w:trPr>
          <w:jc w:val="center"/>
        </w:trPr>
        <w:tc>
          <w:tcPr>
            <w:tcW w:w="8754" w:type="dxa"/>
            <w:gridSpan w:val="2"/>
            <w:shd w:val="clear" w:color="auto" w:fill="D9D9D9" w:themeFill="background1" w:themeFillShade="D9"/>
            <w:vAlign w:val="center"/>
          </w:tcPr>
          <w:p w14:paraId="1F26E981"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4ème indicateur effet 5 : </w:t>
            </w:r>
            <w:r w:rsidRPr="00E11FFB">
              <w:rPr>
                <w:rFonts w:ascii="Avenir" w:eastAsia="Avenir" w:hAnsi="Avenir" w:cs="Avenir"/>
                <w:color w:val="000000"/>
                <w:sz w:val="16"/>
                <w:szCs w:val="16"/>
              </w:rPr>
              <w:t xml:space="preserve">Nb séances de formations réalisées </w:t>
            </w:r>
          </w:p>
        </w:tc>
      </w:tr>
      <w:tr w:rsidR="00F15EB7" w:rsidRPr="00E11FFB" w14:paraId="6F6F1BFE" w14:textId="77777777" w:rsidTr="003A6DE1">
        <w:trPr>
          <w:jc w:val="center"/>
        </w:trPr>
        <w:tc>
          <w:tcPr>
            <w:tcW w:w="4377" w:type="dxa"/>
            <w:vAlign w:val="center"/>
          </w:tcPr>
          <w:p w14:paraId="3EB24671"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6 séances de formation, respectivement trois par ministère (mines et hydrocarbures)</w:t>
            </w:r>
          </w:p>
        </w:tc>
        <w:tc>
          <w:tcPr>
            <w:tcW w:w="4377" w:type="dxa"/>
            <w:vAlign w:val="center"/>
          </w:tcPr>
          <w:p w14:paraId="5845237B" w14:textId="37CACB40"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6 séances de formation, respectivement trois par ministère (mines et hydrocarbures)</w:t>
            </w:r>
          </w:p>
        </w:tc>
      </w:tr>
      <w:tr w:rsidR="00F15EB7" w:rsidRPr="00E11FFB" w14:paraId="3A2049B0" w14:textId="77777777" w:rsidTr="003A6DE1">
        <w:trPr>
          <w:jc w:val="center"/>
        </w:trPr>
        <w:tc>
          <w:tcPr>
            <w:tcW w:w="8754" w:type="dxa"/>
            <w:gridSpan w:val="2"/>
            <w:shd w:val="clear" w:color="auto" w:fill="D9D9D9" w:themeFill="background1" w:themeFillShade="D9"/>
            <w:vAlign w:val="center"/>
          </w:tcPr>
          <w:p w14:paraId="1491D836"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5ème indicateur effet 5 : </w:t>
            </w:r>
            <w:r w:rsidRPr="00E11FFB">
              <w:rPr>
                <w:rFonts w:ascii="Avenir" w:eastAsia="Avenir" w:hAnsi="Avenir" w:cs="Avenir"/>
                <w:color w:val="000000"/>
                <w:sz w:val="16"/>
                <w:szCs w:val="16"/>
              </w:rPr>
              <w:t>Nb de personnes déclarant utilisées les outils et informations auxquels ils ont été formés un an après</w:t>
            </w:r>
          </w:p>
        </w:tc>
      </w:tr>
      <w:tr w:rsidR="00F15EB7" w:rsidRPr="00E11FFB" w14:paraId="3C3CDCEA" w14:textId="77777777" w:rsidTr="003A6DE1">
        <w:trPr>
          <w:jc w:val="center"/>
        </w:trPr>
        <w:tc>
          <w:tcPr>
            <w:tcW w:w="4377" w:type="dxa"/>
            <w:vAlign w:val="center"/>
          </w:tcPr>
          <w:p w14:paraId="03B7B604" w14:textId="3611E13E"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20 personnes formées ont déclaré utilisées les outils en 2025 ; </w:t>
            </w:r>
          </w:p>
        </w:tc>
        <w:tc>
          <w:tcPr>
            <w:tcW w:w="4377" w:type="dxa"/>
            <w:vAlign w:val="center"/>
          </w:tcPr>
          <w:p w14:paraId="39CE5919" w14:textId="4EC070F4"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Toutes les personnes formées ont déclaré utilisées les outils en 2025 ; </w:t>
            </w:r>
          </w:p>
        </w:tc>
      </w:tr>
      <w:tr w:rsidR="00F15EB7" w:rsidRPr="00E11FFB" w14:paraId="73F6B1FD" w14:textId="77777777" w:rsidTr="003A6DE1">
        <w:trPr>
          <w:jc w:val="center"/>
        </w:trPr>
        <w:tc>
          <w:tcPr>
            <w:tcW w:w="8754" w:type="dxa"/>
            <w:gridSpan w:val="2"/>
            <w:shd w:val="clear" w:color="auto" w:fill="D9D9D9" w:themeFill="background1" w:themeFillShade="D9"/>
            <w:vAlign w:val="center"/>
          </w:tcPr>
          <w:p w14:paraId="05F3C5C4"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6ème indicateur effet 5 : </w:t>
            </w:r>
            <w:r w:rsidRPr="00E11FFB">
              <w:rPr>
                <w:rFonts w:ascii="Avenir" w:eastAsia="Avenir" w:hAnsi="Avenir" w:cs="Avenir"/>
                <w:color w:val="000000"/>
                <w:sz w:val="16"/>
                <w:szCs w:val="16"/>
              </w:rPr>
              <w:t>Nombre de Site web du secteur des Mines et hydrocarbures opérationnel</w:t>
            </w:r>
          </w:p>
        </w:tc>
      </w:tr>
      <w:tr w:rsidR="00F15EB7" w:rsidRPr="00E11FFB" w14:paraId="503B1499" w14:textId="77777777" w:rsidTr="003A6DE1">
        <w:trPr>
          <w:jc w:val="center"/>
        </w:trPr>
        <w:tc>
          <w:tcPr>
            <w:tcW w:w="4377" w:type="dxa"/>
            <w:vAlign w:val="center"/>
          </w:tcPr>
          <w:p w14:paraId="5A17232E"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2 sites web sont fonctionnels (Mines et hydrocarbures) pour la publication des données de PAAJ et des contrats</w:t>
            </w:r>
          </w:p>
        </w:tc>
        <w:tc>
          <w:tcPr>
            <w:tcW w:w="4377" w:type="dxa"/>
            <w:vAlign w:val="center"/>
          </w:tcPr>
          <w:p w14:paraId="44AD87AF" w14:textId="10790895"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2 sites web sont fonctionnels (Mines et hydrocarbures) pour la publication des données de PAAJ et des contrats</w:t>
            </w:r>
          </w:p>
        </w:tc>
      </w:tr>
      <w:tr w:rsidR="00F15EB7" w:rsidRPr="00E11FFB" w14:paraId="4EC1806C" w14:textId="77777777" w:rsidTr="003A6DE1">
        <w:trPr>
          <w:jc w:val="center"/>
        </w:trPr>
        <w:tc>
          <w:tcPr>
            <w:tcW w:w="8754" w:type="dxa"/>
            <w:gridSpan w:val="2"/>
            <w:shd w:val="clear" w:color="auto" w:fill="D9D9D9" w:themeFill="background1" w:themeFillShade="D9"/>
            <w:vAlign w:val="center"/>
          </w:tcPr>
          <w:p w14:paraId="05920B20"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7ème indicateur effet 5 : </w:t>
            </w:r>
            <w:r w:rsidRPr="00E11FFB">
              <w:rPr>
                <w:rFonts w:ascii="Avenir" w:eastAsia="Avenir" w:hAnsi="Avenir" w:cs="Avenir"/>
                <w:color w:val="000000"/>
                <w:sz w:val="16"/>
                <w:szCs w:val="16"/>
              </w:rPr>
              <w:t>séances d’actualisation des données des entreprises</w:t>
            </w:r>
          </w:p>
        </w:tc>
      </w:tr>
      <w:tr w:rsidR="00F15EB7" w:rsidRPr="00E11FFB" w14:paraId="1824B865" w14:textId="77777777" w:rsidTr="003A6DE1">
        <w:trPr>
          <w:jc w:val="center"/>
        </w:trPr>
        <w:tc>
          <w:tcPr>
            <w:tcW w:w="4377" w:type="dxa"/>
            <w:vAlign w:val="center"/>
          </w:tcPr>
          <w:p w14:paraId="7068991B" w14:textId="39A240C0"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color w:val="000000" w:themeColor="text1"/>
                <w:sz w:val="16"/>
                <w:szCs w:val="16"/>
              </w:rPr>
              <w:t xml:space="preserve">Plus de 20 séances d’actualisation de données des entreprises réalisées sur les sites web mines et hydrocarbures </w:t>
            </w:r>
          </w:p>
        </w:tc>
        <w:tc>
          <w:tcPr>
            <w:tcW w:w="4377" w:type="dxa"/>
            <w:vAlign w:val="center"/>
          </w:tcPr>
          <w:p w14:paraId="77C693E5" w14:textId="4C47DA9F"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color w:val="000000" w:themeColor="text1"/>
                <w:sz w:val="16"/>
                <w:szCs w:val="16"/>
              </w:rPr>
              <w:t>Plus de 20 séances d’actualisation de données des entreprises réalisées sur les sites web mines et hydrocarbures</w:t>
            </w:r>
          </w:p>
        </w:tc>
      </w:tr>
      <w:tr w:rsidR="00F15EB7" w:rsidRPr="00E11FFB" w14:paraId="7329C50B" w14:textId="77777777" w:rsidTr="003A6DE1">
        <w:trPr>
          <w:jc w:val="center"/>
        </w:trPr>
        <w:tc>
          <w:tcPr>
            <w:tcW w:w="8754" w:type="dxa"/>
            <w:gridSpan w:val="2"/>
            <w:shd w:val="clear" w:color="auto" w:fill="D9D9D9" w:themeFill="background1" w:themeFillShade="D9"/>
            <w:vAlign w:val="center"/>
          </w:tcPr>
          <w:p w14:paraId="53C2CC70"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8ème indicateur effet 5 : </w:t>
            </w:r>
            <w:r w:rsidRPr="00E11FFB">
              <w:rPr>
                <w:rFonts w:ascii="Avenir" w:eastAsia="Avenir" w:hAnsi="Avenir" w:cs="Avenir"/>
                <w:bCs/>
                <w:color w:val="000000"/>
                <w:sz w:val="16"/>
                <w:szCs w:val="16"/>
              </w:rPr>
              <w:t>Nombre de contrats miniers</w:t>
            </w:r>
          </w:p>
        </w:tc>
      </w:tr>
      <w:tr w:rsidR="00F15EB7" w:rsidRPr="00E11FFB" w14:paraId="2F0E8DC0" w14:textId="77777777" w:rsidTr="003A6DE1">
        <w:trPr>
          <w:jc w:val="center"/>
        </w:trPr>
        <w:tc>
          <w:tcPr>
            <w:tcW w:w="4377" w:type="dxa"/>
            <w:vAlign w:val="center"/>
          </w:tcPr>
          <w:p w14:paraId="24792777"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7 contrats miniers publiés en 2025 ; Anciens contrats des hydrocarbures publiés</w:t>
            </w:r>
          </w:p>
        </w:tc>
        <w:tc>
          <w:tcPr>
            <w:tcW w:w="4377" w:type="dxa"/>
            <w:vAlign w:val="center"/>
          </w:tcPr>
          <w:p w14:paraId="56EBCC6E" w14:textId="0D90FBF1"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7 contrats miniers publiés en 2025 ; Anciens contrats des hydrocarbures publiés</w:t>
            </w:r>
          </w:p>
        </w:tc>
      </w:tr>
      <w:tr w:rsidR="00F15EB7" w:rsidRPr="00E11FFB" w14:paraId="07BB890D" w14:textId="77777777" w:rsidTr="003A6DE1">
        <w:trPr>
          <w:jc w:val="center"/>
        </w:trPr>
        <w:tc>
          <w:tcPr>
            <w:tcW w:w="8754" w:type="dxa"/>
            <w:gridSpan w:val="2"/>
            <w:shd w:val="clear" w:color="auto" w:fill="D9D9D9" w:themeFill="background1" w:themeFillShade="D9"/>
            <w:vAlign w:val="center"/>
          </w:tcPr>
          <w:p w14:paraId="5C60C6E8"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9ème indicateur effet 5 : </w:t>
            </w:r>
            <w:r w:rsidRPr="00E11FFB">
              <w:rPr>
                <w:rFonts w:ascii="Avenir" w:eastAsia="Avenir" w:hAnsi="Avenir" w:cs="Avenir"/>
                <w:bCs/>
                <w:color w:val="000000"/>
                <w:sz w:val="16"/>
                <w:szCs w:val="16"/>
              </w:rPr>
              <w:t>Normes d’atténuation des impacts sur la forêt pris en compte dans le secteur des mines et des forêts.</w:t>
            </w:r>
          </w:p>
        </w:tc>
      </w:tr>
      <w:tr w:rsidR="00F15EB7" w:rsidRPr="00E11FFB" w14:paraId="6CA357E4" w14:textId="77777777" w:rsidTr="003A6DE1">
        <w:trPr>
          <w:jc w:val="center"/>
        </w:trPr>
        <w:tc>
          <w:tcPr>
            <w:tcW w:w="4377" w:type="dxa"/>
            <w:vAlign w:val="center"/>
          </w:tcPr>
          <w:p w14:paraId="4085783C"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Un draft du Plan National du secteur des Hydrocarbures élaboré, une feuille de route de validation finale de PNH, 5 réunions d’accompagnement du projet normes organisées avec GIZ, ACE, Mines et Hydrocarbures</w:t>
            </w:r>
          </w:p>
        </w:tc>
        <w:tc>
          <w:tcPr>
            <w:tcW w:w="4377" w:type="dxa"/>
            <w:vAlign w:val="center"/>
          </w:tcPr>
          <w:p w14:paraId="5B627EB2" w14:textId="40F8E38C"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Un draft du Plan National du secteur des Hydrocarbures élaboré, une feuille de route de validation finale de PNH, 5 réunions d’accompagnement du projet normes organisées avec GIZ, ACE, Mines et Hydrocarbures</w:t>
            </w:r>
          </w:p>
        </w:tc>
      </w:tr>
      <w:tr w:rsidR="00F15EB7" w:rsidRPr="00E11FFB" w14:paraId="4494BAB1" w14:textId="77777777" w:rsidTr="003A6DE1">
        <w:trPr>
          <w:jc w:val="center"/>
        </w:trPr>
        <w:tc>
          <w:tcPr>
            <w:tcW w:w="8754" w:type="dxa"/>
            <w:gridSpan w:val="2"/>
            <w:shd w:val="clear" w:color="auto" w:fill="D9D9D9" w:themeFill="background1" w:themeFillShade="D9"/>
            <w:vAlign w:val="center"/>
          </w:tcPr>
          <w:p w14:paraId="516FAEE0"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10ème indicateur effet 5 : </w:t>
            </w:r>
            <w:r w:rsidRPr="00E11FFB">
              <w:rPr>
                <w:rFonts w:ascii="Avenir" w:eastAsia="Avenir" w:hAnsi="Avenir" w:cs="Avenir"/>
                <w:bCs/>
                <w:color w:val="000000"/>
                <w:sz w:val="16"/>
                <w:szCs w:val="16"/>
              </w:rPr>
              <w:t xml:space="preserve">Nb (calculé) de personnes touchées par les campagnes de communication visant principalement à informer sur le projet. </w:t>
            </w:r>
          </w:p>
        </w:tc>
      </w:tr>
      <w:tr w:rsidR="00F15EB7" w:rsidRPr="00E11FFB" w14:paraId="20B6DE9E" w14:textId="77777777" w:rsidTr="003A6DE1">
        <w:trPr>
          <w:jc w:val="center"/>
        </w:trPr>
        <w:tc>
          <w:tcPr>
            <w:tcW w:w="4377" w:type="dxa"/>
            <w:vAlign w:val="center"/>
          </w:tcPr>
          <w:p w14:paraId="18CAE0AF" w14:textId="11460FBA"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102 (</w:t>
            </w:r>
            <w:r w:rsidRPr="006D79E9">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24% femmes</w:t>
            </w:r>
            <w:r w:rsidRPr="006D79E9">
              <w:rPr>
                <w:rFonts w:ascii="Avenir" w:eastAsia="Avenir" w:hAnsi="Avenir" w:cs="Avenir"/>
                <w:bCs/>
                <w:color w:val="000000"/>
                <w:sz w:val="16"/>
                <w:szCs w:val="16"/>
              </w:rPr>
              <w:t xml:space="preserve"> et</w:t>
            </w:r>
            <w:r w:rsidRPr="00F15EB7">
              <w:rPr>
                <w:rFonts w:ascii="Avenir" w:eastAsia="Avenir" w:hAnsi="Avenir" w:cs="Avenir"/>
                <w:bCs/>
                <w:color w:val="000000"/>
                <w:sz w:val="16"/>
                <w:szCs w:val="16"/>
              </w:rPr>
              <w:t xml:space="preserve"> 76% hommes)</w:t>
            </w:r>
          </w:p>
        </w:tc>
        <w:tc>
          <w:tcPr>
            <w:tcW w:w="4377" w:type="dxa"/>
            <w:vAlign w:val="center"/>
          </w:tcPr>
          <w:p w14:paraId="3A1A5EE2" w14:textId="5F0123FA"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102 (dont 24% femmes et 76% hommes)</w:t>
            </w:r>
          </w:p>
        </w:tc>
      </w:tr>
      <w:tr w:rsidR="00F15EB7" w:rsidRPr="00E11FFB" w14:paraId="338C751D" w14:textId="77777777" w:rsidTr="003A6DE1">
        <w:trPr>
          <w:jc w:val="center"/>
        </w:trPr>
        <w:tc>
          <w:tcPr>
            <w:tcW w:w="8754" w:type="dxa"/>
            <w:gridSpan w:val="2"/>
            <w:shd w:val="clear" w:color="auto" w:fill="D9D9D9" w:themeFill="background1" w:themeFillShade="D9"/>
            <w:vAlign w:val="center"/>
          </w:tcPr>
          <w:p w14:paraId="22871710" w14:textId="77777777" w:rsidR="00F15EB7" w:rsidRPr="00F15EB7" w:rsidRDefault="00F15EB7" w:rsidP="00F15EB7">
            <w:pPr>
              <w:spacing w:after="5" w:line="271" w:lineRule="auto"/>
              <w:jc w:val="center"/>
              <w:rPr>
                <w:rFonts w:ascii="Avenir" w:eastAsia="Avenir" w:hAnsi="Avenir" w:cs="Avenir"/>
                <w:bCs/>
                <w:color w:val="000000"/>
                <w:sz w:val="16"/>
                <w:szCs w:val="16"/>
              </w:rPr>
            </w:pPr>
            <w:r w:rsidRPr="00F15EB7">
              <w:rPr>
                <w:rFonts w:ascii="Avenir" w:eastAsia="Avenir" w:hAnsi="Avenir" w:cs="Avenir"/>
                <w:b/>
                <w:color w:val="000000"/>
                <w:sz w:val="16"/>
                <w:szCs w:val="16"/>
              </w:rPr>
              <w:t xml:space="preserve">11ème indicateur effet 5 : </w:t>
            </w:r>
            <w:r w:rsidRPr="00F15EB7">
              <w:rPr>
                <w:rFonts w:ascii="Avenir" w:eastAsia="Avenir" w:hAnsi="Avenir" w:cs="Avenir"/>
                <w:bCs/>
                <w:color w:val="000000"/>
                <w:sz w:val="16"/>
                <w:szCs w:val="16"/>
              </w:rPr>
              <w:t>Nb (calculé) de personnes touchées par les campagnes de communication visant principalement à modifier les attitudes et pratiques.</w:t>
            </w:r>
          </w:p>
        </w:tc>
      </w:tr>
      <w:tr w:rsidR="00F15EB7" w:rsidRPr="00E11FFB" w14:paraId="080AC348" w14:textId="77777777" w:rsidTr="003A6DE1">
        <w:trPr>
          <w:jc w:val="center"/>
        </w:trPr>
        <w:tc>
          <w:tcPr>
            <w:tcW w:w="4377" w:type="dxa"/>
            <w:vAlign w:val="center"/>
          </w:tcPr>
          <w:p w14:paraId="2E75AB22" w14:textId="41B2D01C"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53 (</w:t>
            </w:r>
            <w:r w:rsidRPr="006D79E9">
              <w:rPr>
                <w:rFonts w:ascii="Avenir" w:eastAsia="Avenir" w:hAnsi="Avenir" w:cs="Avenir"/>
                <w:bCs/>
                <w:color w:val="000000"/>
                <w:sz w:val="16"/>
                <w:szCs w:val="16"/>
              </w:rPr>
              <w:t xml:space="preserve">dont </w:t>
            </w:r>
            <w:r w:rsidRPr="00F15EB7">
              <w:rPr>
                <w:rFonts w:ascii="Avenir" w:eastAsia="Avenir" w:hAnsi="Avenir" w:cs="Avenir"/>
                <w:bCs/>
                <w:color w:val="000000"/>
                <w:sz w:val="16"/>
                <w:szCs w:val="16"/>
              </w:rPr>
              <w:t>26% femmes</w:t>
            </w:r>
            <w:r w:rsidRPr="006D79E9">
              <w:rPr>
                <w:rFonts w:ascii="Avenir" w:eastAsia="Avenir" w:hAnsi="Avenir" w:cs="Avenir"/>
                <w:bCs/>
                <w:color w:val="000000"/>
                <w:sz w:val="16"/>
                <w:szCs w:val="16"/>
              </w:rPr>
              <w:t xml:space="preserve"> et</w:t>
            </w:r>
            <w:r w:rsidRPr="00F15EB7">
              <w:rPr>
                <w:rFonts w:ascii="Avenir" w:eastAsia="Avenir" w:hAnsi="Avenir" w:cs="Avenir"/>
                <w:bCs/>
                <w:color w:val="000000"/>
                <w:sz w:val="16"/>
                <w:szCs w:val="16"/>
              </w:rPr>
              <w:t>74% hommes)</w:t>
            </w:r>
          </w:p>
        </w:tc>
        <w:tc>
          <w:tcPr>
            <w:tcW w:w="4377" w:type="dxa"/>
            <w:vAlign w:val="center"/>
          </w:tcPr>
          <w:p w14:paraId="733309C5" w14:textId="49CE0855" w:rsidR="00F15EB7" w:rsidRPr="00F15EB7" w:rsidRDefault="00F15EB7" w:rsidP="00F15EB7">
            <w:pPr>
              <w:spacing w:after="5" w:line="271" w:lineRule="auto"/>
              <w:rPr>
                <w:rFonts w:ascii="Avenir" w:eastAsia="Avenir" w:hAnsi="Avenir" w:cs="Avenir"/>
                <w:bCs/>
                <w:color w:val="000000"/>
                <w:sz w:val="16"/>
                <w:szCs w:val="16"/>
              </w:rPr>
            </w:pPr>
            <w:r w:rsidRPr="00F15EB7">
              <w:rPr>
                <w:rFonts w:ascii="Avenir" w:eastAsia="Avenir" w:hAnsi="Avenir" w:cs="Avenir"/>
                <w:bCs/>
                <w:color w:val="000000"/>
                <w:sz w:val="16"/>
                <w:szCs w:val="16"/>
              </w:rPr>
              <w:t>53 (dont 26% femmes et 74% hommes)</w:t>
            </w:r>
          </w:p>
        </w:tc>
      </w:tr>
      <w:tr w:rsidR="00F15EB7" w:rsidRPr="00E11FFB" w14:paraId="2C7DB55B" w14:textId="77777777" w:rsidTr="003A6DE1">
        <w:trPr>
          <w:jc w:val="center"/>
        </w:trPr>
        <w:tc>
          <w:tcPr>
            <w:tcW w:w="8754" w:type="dxa"/>
            <w:gridSpan w:val="2"/>
            <w:shd w:val="clear" w:color="auto" w:fill="D9D9D9" w:themeFill="background1" w:themeFillShade="D9"/>
            <w:vAlign w:val="center"/>
          </w:tcPr>
          <w:p w14:paraId="1FF2463F" w14:textId="77777777" w:rsidR="00F15EB7" w:rsidRPr="00F15EB7" w:rsidRDefault="00F15EB7" w:rsidP="00F15EB7">
            <w:pPr>
              <w:spacing w:after="5" w:line="271" w:lineRule="auto"/>
              <w:jc w:val="center"/>
              <w:rPr>
                <w:rFonts w:ascii="Avenir" w:eastAsia="Avenir" w:hAnsi="Avenir" w:cs="Avenir"/>
                <w:bCs/>
                <w:color w:val="000000"/>
                <w:sz w:val="16"/>
                <w:szCs w:val="16"/>
              </w:rPr>
            </w:pPr>
            <w:r w:rsidRPr="00F15EB7">
              <w:rPr>
                <w:rFonts w:ascii="Avenir" w:eastAsia="Avenir" w:hAnsi="Avenir" w:cs="Avenir"/>
                <w:b/>
                <w:color w:val="000000"/>
                <w:sz w:val="16"/>
                <w:szCs w:val="16"/>
              </w:rPr>
              <w:t xml:space="preserve">12ème indicateur effet 5 : </w:t>
            </w:r>
            <w:r w:rsidRPr="00F15EB7">
              <w:rPr>
                <w:rFonts w:ascii="Avenir" w:eastAsia="Avenir" w:hAnsi="Avenir" w:cs="Avenir"/>
                <w:bCs/>
                <w:color w:val="000000"/>
                <w:sz w:val="16"/>
                <w:szCs w:val="16"/>
              </w:rPr>
              <w:t>Pourcentage de campagnes utilisant des outils pour cibler spécifiquement les minorités et groupes vulnérables.</w:t>
            </w:r>
          </w:p>
        </w:tc>
      </w:tr>
      <w:tr w:rsidR="00F15EB7" w:rsidRPr="00E11FFB" w14:paraId="51D70E1C" w14:textId="77777777" w:rsidTr="003A6DE1">
        <w:trPr>
          <w:jc w:val="center"/>
        </w:trPr>
        <w:tc>
          <w:tcPr>
            <w:tcW w:w="4377" w:type="dxa"/>
            <w:vAlign w:val="center"/>
          </w:tcPr>
          <w:p w14:paraId="6DA32F0F" w14:textId="60522F59"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0% (aucune campagne a ciblé les groupes vulnérables en 2025)</w:t>
            </w:r>
          </w:p>
        </w:tc>
        <w:tc>
          <w:tcPr>
            <w:tcW w:w="4377" w:type="dxa"/>
            <w:vAlign w:val="center"/>
          </w:tcPr>
          <w:p w14:paraId="28514BD6" w14:textId="106DA73C"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0% (aucune campagne a ciblé les groupes vulnérables en 2025)</w:t>
            </w:r>
          </w:p>
        </w:tc>
      </w:tr>
      <w:tr w:rsidR="00F15EB7" w:rsidRPr="00E11FFB" w14:paraId="382D6B76" w14:textId="77777777" w:rsidTr="003A6DE1">
        <w:trPr>
          <w:jc w:val="center"/>
        </w:trPr>
        <w:tc>
          <w:tcPr>
            <w:tcW w:w="4377" w:type="dxa"/>
            <w:vAlign w:val="center"/>
          </w:tcPr>
          <w:p w14:paraId="424518F2" w14:textId="77777777" w:rsidR="00F15EB7" w:rsidRPr="00E11FFB" w:rsidRDefault="00F15EB7" w:rsidP="00F15EB7">
            <w:pPr>
              <w:spacing w:after="5" w:line="271" w:lineRule="auto"/>
              <w:rPr>
                <w:rFonts w:ascii="Avenir" w:eastAsia="Avenir" w:hAnsi="Avenir" w:cs="Avenir"/>
                <w:bCs/>
                <w:color w:val="000000"/>
                <w:sz w:val="16"/>
                <w:szCs w:val="16"/>
              </w:rPr>
            </w:pPr>
          </w:p>
        </w:tc>
        <w:tc>
          <w:tcPr>
            <w:tcW w:w="4377" w:type="dxa"/>
            <w:vAlign w:val="center"/>
          </w:tcPr>
          <w:p w14:paraId="6FDACE68" w14:textId="77777777" w:rsidR="00F15EB7" w:rsidRPr="00E11FFB" w:rsidRDefault="00F15EB7" w:rsidP="00F15EB7">
            <w:pPr>
              <w:spacing w:after="5" w:line="271" w:lineRule="auto"/>
              <w:rPr>
                <w:rFonts w:ascii="Avenir" w:eastAsia="Avenir" w:hAnsi="Avenir" w:cs="Avenir"/>
                <w:bCs/>
                <w:color w:val="000000"/>
                <w:sz w:val="16"/>
                <w:szCs w:val="16"/>
              </w:rPr>
            </w:pPr>
          </w:p>
        </w:tc>
      </w:tr>
      <w:tr w:rsidR="00F15EB7" w:rsidRPr="00E11FFB" w14:paraId="734E7C7F" w14:textId="77777777" w:rsidTr="003A6DE1">
        <w:trPr>
          <w:jc w:val="center"/>
        </w:trPr>
        <w:tc>
          <w:tcPr>
            <w:tcW w:w="8754" w:type="dxa"/>
            <w:gridSpan w:val="2"/>
            <w:shd w:val="clear" w:color="auto" w:fill="D9D9D9" w:themeFill="background1" w:themeFillShade="D9"/>
            <w:vAlign w:val="center"/>
          </w:tcPr>
          <w:p w14:paraId="41805520"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20"/>
                <w:szCs w:val="20"/>
              </w:rPr>
              <w:t>Effet 6 :  L’exploitation forestière et la préoccupation REDD+ entrent dans l’Initiative pour la Transparence dans les Industries Extractives (ITIE).</w:t>
            </w:r>
          </w:p>
        </w:tc>
      </w:tr>
      <w:tr w:rsidR="00F15EB7" w:rsidRPr="00E11FFB" w14:paraId="32F5F7ED" w14:textId="77777777" w:rsidTr="003A6DE1">
        <w:trPr>
          <w:jc w:val="center"/>
        </w:trPr>
        <w:tc>
          <w:tcPr>
            <w:tcW w:w="8754" w:type="dxa"/>
            <w:gridSpan w:val="2"/>
            <w:shd w:val="clear" w:color="auto" w:fill="D9D9D9" w:themeFill="background1" w:themeFillShade="D9"/>
            <w:vAlign w:val="center"/>
          </w:tcPr>
          <w:p w14:paraId="250B061B"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1ème indicateur effet 6 : </w:t>
            </w:r>
            <w:r w:rsidRPr="00E11FFB">
              <w:rPr>
                <w:rFonts w:ascii="Avenir" w:eastAsia="Avenir" w:hAnsi="Avenir" w:cs="Avenir"/>
                <w:color w:val="000000"/>
                <w:sz w:val="16"/>
                <w:szCs w:val="16"/>
              </w:rPr>
              <w:t xml:space="preserve">Pourcentage de délégués qui participent à l’ITIE </w:t>
            </w:r>
          </w:p>
        </w:tc>
      </w:tr>
      <w:tr w:rsidR="00F15EB7" w:rsidRPr="00E11FFB" w14:paraId="49DB62D2" w14:textId="77777777" w:rsidTr="003A6DE1">
        <w:trPr>
          <w:trHeight w:val="773"/>
          <w:jc w:val="center"/>
        </w:trPr>
        <w:tc>
          <w:tcPr>
            <w:tcW w:w="4377" w:type="dxa"/>
            <w:vAlign w:val="center"/>
          </w:tcPr>
          <w:p w14:paraId="213508D4" w14:textId="77777777" w:rsidR="00F15EB7" w:rsidRPr="00E11FFB" w:rsidRDefault="00F15EB7" w:rsidP="00F15EB7">
            <w:pPr>
              <w:spacing w:line="278" w:lineRule="auto"/>
              <w:rPr>
                <w:rFonts w:ascii="Avenir" w:eastAsia="Avenir" w:hAnsi="Avenir" w:cs="Avenir"/>
                <w:color w:val="000000"/>
                <w:sz w:val="16"/>
                <w:szCs w:val="16"/>
              </w:rPr>
            </w:pPr>
            <w:r w:rsidRPr="00E11FFB">
              <w:rPr>
                <w:rFonts w:ascii="Calibri" w:hAnsi="Calibri" w:cs="Calibri"/>
                <w:color w:val="000000"/>
                <w:sz w:val="16"/>
                <w:szCs w:val="16"/>
              </w:rPr>
              <w:t> </w:t>
            </w:r>
            <w:r w:rsidRPr="00E11FFB">
              <w:rPr>
                <w:rFonts w:ascii="Avenir" w:eastAsia="Avenir" w:hAnsi="Avenir" w:cs="Avenir"/>
                <w:color w:val="000000"/>
                <w:sz w:val="16"/>
                <w:szCs w:val="16"/>
              </w:rPr>
              <w:t>Sensibilisation dans huit provinces sur la norme ITIE sur les problématiques liées à intégration de ITIE dans l’exploitation forestière ; (exploitants, société civile, étatiques, entreprises, 100% des parties sensibilisées).</w:t>
            </w:r>
          </w:p>
        </w:tc>
        <w:tc>
          <w:tcPr>
            <w:tcW w:w="4377" w:type="dxa"/>
            <w:vAlign w:val="center"/>
          </w:tcPr>
          <w:p w14:paraId="0AA07CAB" w14:textId="1EC740AC" w:rsidR="00F15EB7" w:rsidRPr="00E11FFB" w:rsidRDefault="00F15EB7" w:rsidP="00F15EB7">
            <w:pPr>
              <w:spacing w:line="271" w:lineRule="auto"/>
              <w:rPr>
                <w:rFonts w:ascii="Avenir" w:eastAsia="Avenir" w:hAnsi="Avenir" w:cs="Avenir"/>
                <w:bCs/>
                <w:color w:val="000000"/>
                <w:sz w:val="16"/>
                <w:szCs w:val="16"/>
              </w:rPr>
            </w:pPr>
            <w:r w:rsidRPr="00E11FFB">
              <w:rPr>
                <w:rFonts w:ascii="Avenir" w:eastAsia="Avenir" w:hAnsi="Avenir" w:cs="Avenir"/>
                <w:color w:val="000000"/>
                <w:sz w:val="16"/>
                <w:szCs w:val="16"/>
              </w:rPr>
              <w:t>Sensibilisation dans huit provinces sur la norme ITIE sur les problématiques liées à intégration de ITIE dans l’exploitation forestière ; (exploitants, société civile, étatiques, entreprises, 100% des parties sensibilisées).</w:t>
            </w:r>
          </w:p>
        </w:tc>
      </w:tr>
      <w:tr w:rsidR="00F15EB7" w:rsidRPr="00E11FFB" w14:paraId="1EA15A4E" w14:textId="77777777" w:rsidTr="003A6DE1">
        <w:trPr>
          <w:jc w:val="center"/>
        </w:trPr>
        <w:tc>
          <w:tcPr>
            <w:tcW w:w="8754" w:type="dxa"/>
            <w:gridSpan w:val="2"/>
            <w:shd w:val="clear" w:color="auto" w:fill="D9D9D9" w:themeFill="background1" w:themeFillShade="D9"/>
            <w:vAlign w:val="center"/>
          </w:tcPr>
          <w:p w14:paraId="006ADCB2"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2ème indicateur effet 6 : </w:t>
            </w:r>
            <w:r w:rsidRPr="00E11FFB">
              <w:rPr>
                <w:rFonts w:ascii="Avenir" w:eastAsia="Avenir" w:hAnsi="Avenir" w:cs="Avenir"/>
                <w:color w:val="000000"/>
                <w:sz w:val="16"/>
                <w:szCs w:val="16"/>
              </w:rPr>
              <w:t>Pourcentage des opérateurs forestiers formés à l’ITIE</w:t>
            </w:r>
          </w:p>
        </w:tc>
      </w:tr>
      <w:tr w:rsidR="00F15EB7" w:rsidRPr="00E11FFB" w14:paraId="558C4AC6" w14:textId="77777777" w:rsidTr="003A6DE1">
        <w:trPr>
          <w:jc w:val="center"/>
        </w:trPr>
        <w:tc>
          <w:tcPr>
            <w:tcW w:w="4377" w:type="dxa"/>
            <w:vAlign w:val="center"/>
          </w:tcPr>
          <w:p w14:paraId="2F121A4F" w14:textId="2238F830"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color w:val="000000"/>
                <w:sz w:val="16"/>
                <w:szCs w:val="16"/>
              </w:rPr>
              <w:t>Sensibilisation sur le code forestier et ses mesures d’application (opérateurs 100% sensibilisées</w:t>
            </w:r>
            <w:r w:rsidR="00A965B3">
              <w:rPr>
                <w:rFonts w:ascii="Avenir" w:eastAsia="Avenir" w:hAnsi="Avenir" w:cs="Avenir"/>
                <w:color w:val="000000"/>
                <w:sz w:val="16"/>
                <w:szCs w:val="16"/>
              </w:rPr>
              <w:t xml:space="preserve"> : </w:t>
            </w:r>
            <w:r>
              <w:rPr>
                <w:rFonts w:ascii="Avenir" w:eastAsia="Avenir" w:hAnsi="Avenir" w:cs="Avenir"/>
                <w:color w:val="000000"/>
                <w:sz w:val="16"/>
                <w:szCs w:val="16"/>
              </w:rPr>
              <w:t>exploitant</w:t>
            </w:r>
            <w:r w:rsidR="00A965B3">
              <w:rPr>
                <w:rFonts w:ascii="Avenir" w:eastAsia="Avenir" w:hAnsi="Avenir" w:cs="Avenir"/>
                <w:color w:val="000000"/>
                <w:sz w:val="16"/>
                <w:szCs w:val="16"/>
              </w:rPr>
              <w:t>s</w:t>
            </w:r>
            <w:r>
              <w:rPr>
                <w:rFonts w:ascii="Avenir" w:eastAsia="Avenir" w:hAnsi="Avenir" w:cs="Avenir"/>
                <w:color w:val="000000"/>
                <w:sz w:val="16"/>
                <w:szCs w:val="16"/>
              </w:rPr>
              <w:t xml:space="preserve"> forestiers, société civile, </w:t>
            </w:r>
            <w:r w:rsidR="00A965B3">
              <w:rPr>
                <w:rFonts w:ascii="Avenir" w:eastAsia="Avenir" w:hAnsi="Avenir" w:cs="Avenir"/>
                <w:color w:val="000000"/>
                <w:sz w:val="16"/>
                <w:szCs w:val="16"/>
              </w:rPr>
              <w:t>association d’exploitants</w:t>
            </w:r>
            <w:r w:rsidRPr="00E11FFB">
              <w:rPr>
                <w:rFonts w:ascii="Avenir" w:eastAsia="Avenir" w:hAnsi="Avenir" w:cs="Avenir"/>
                <w:color w:val="000000"/>
                <w:sz w:val="16"/>
                <w:szCs w:val="16"/>
              </w:rPr>
              <w:t>)</w:t>
            </w:r>
          </w:p>
        </w:tc>
        <w:tc>
          <w:tcPr>
            <w:tcW w:w="4377" w:type="dxa"/>
            <w:vAlign w:val="center"/>
          </w:tcPr>
          <w:p w14:paraId="648821F9" w14:textId="0DBD2569"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color w:val="000000"/>
                <w:sz w:val="16"/>
                <w:szCs w:val="16"/>
              </w:rPr>
              <w:t>Sensibilisation sur le code forestier et ses mesures d’application (opérateurs 100% sensibilisées</w:t>
            </w:r>
            <w:r w:rsidR="00A965B3">
              <w:rPr>
                <w:rFonts w:ascii="Avenir" w:eastAsia="Avenir" w:hAnsi="Avenir" w:cs="Avenir"/>
                <w:color w:val="000000"/>
                <w:sz w:val="16"/>
                <w:szCs w:val="16"/>
              </w:rPr>
              <w:t xml:space="preserve"> : exploitants forestiers, société civile, association d’exploitants</w:t>
            </w:r>
            <w:r w:rsidRPr="00E11FFB">
              <w:rPr>
                <w:rFonts w:ascii="Avenir" w:eastAsia="Avenir" w:hAnsi="Avenir" w:cs="Avenir"/>
                <w:color w:val="000000"/>
                <w:sz w:val="16"/>
                <w:szCs w:val="16"/>
              </w:rPr>
              <w:t>)</w:t>
            </w:r>
          </w:p>
        </w:tc>
      </w:tr>
      <w:tr w:rsidR="00F15EB7" w:rsidRPr="00E11FFB" w14:paraId="3ED4CEB6" w14:textId="77777777" w:rsidTr="003A6DE1">
        <w:trPr>
          <w:jc w:val="center"/>
        </w:trPr>
        <w:tc>
          <w:tcPr>
            <w:tcW w:w="8754" w:type="dxa"/>
            <w:gridSpan w:val="2"/>
            <w:shd w:val="clear" w:color="auto" w:fill="D9D9D9" w:themeFill="background1" w:themeFillShade="D9"/>
            <w:vAlign w:val="center"/>
          </w:tcPr>
          <w:p w14:paraId="021D7316"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3ème indicateur effet 6 : </w:t>
            </w:r>
            <w:r w:rsidRPr="00E11FFB">
              <w:rPr>
                <w:rFonts w:ascii="Avenir" w:eastAsia="Avenir" w:hAnsi="Avenir" w:cs="Avenir"/>
                <w:color w:val="000000"/>
                <w:sz w:val="16"/>
                <w:szCs w:val="16"/>
              </w:rPr>
              <w:t xml:space="preserve">Des contrats de concessions d'exploitation industrielle des forêts et de conservation des forêts sont publiés sur le site web </w:t>
            </w:r>
          </w:p>
        </w:tc>
      </w:tr>
      <w:tr w:rsidR="00F15EB7" w:rsidRPr="00E11FFB" w14:paraId="6E87CA8B" w14:textId="77777777" w:rsidTr="003A6DE1">
        <w:trPr>
          <w:jc w:val="center"/>
        </w:trPr>
        <w:tc>
          <w:tcPr>
            <w:tcW w:w="4377" w:type="dxa"/>
            <w:vAlign w:val="center"/>
          </w:tcPr>
          <w:p w14:paraId="050AED0C"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color w:val="000000"/>
                <w:sz w:val="16"/>
                <w:szCs w:val="16"/>
              </w:rPr>
              <w:t>Identification des rapports et documents contractuels existants.</w:t>
            </w:r>
          </w:p>
        </w:tc>
        <w:tc>
          <w:tcPr>
            <w:tcW w:w="4377" w:type="dxa"/>
            <w:vAlign w:val="center"/>
          </w:tcPr>
          <w:p w14:paraId="0F349012" w14:textId="4BC0AF55"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color w:val="000000"/>
                <w:sz w:val="16"/>
                <w:szCs w:val="16"/>
              </w:rPr>
              <w:t>Identification des rapports et documents contractuels existants</w:t>
            </w:r>
          </w:p>
        </w:tc>
      </w:tr>
      <w:tr w:rsidR="00F15EB7" w:rsidRPr="00E11FFB" w14:paraId="381CC00F" w14:textId="77777777" w:rsidTr="003A6DE1">
        <w:trPr>
          <w:jc w:val="center"/>
        </w:trPr>
        <w:tc>
          <w:tcPr>
            <w:tcW w:w="8754" w:type="dxa"/>
            <w:gridSpan w:val="2"/>
            <w:shd w:val="clear" w:color="auto" w:fill="D9D9D9" w:themeFill="background1" w:themeFillShade="D9"/>
            <w:vAlign w:val="center"/>
          </w:tcPr>
          <w:p w14:paraId="6A7225B0"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4ème indicateur effet 6 : </w:t>
            </w:r>
            <w:r w:rsidRPr="00E11FFB">
              <w:rPr>
                <w:rFonts w:ascii="Avenir" w:eastAsia="Avenir" w:hAnsi="Avenir" w:cs="Avenir"/>
                <w:color w:val="000000"/>
                <w:sz w:val="16"/>
                <w:szCs w:val="16"/>
              </w:rPr>
              <w:t>Publication du Rapport sur le respect par les opérateurs exerçant dans les secteurs forêt, mines, hydrocarbures, de leurs obligations environnementales et sociales</w:t>
            </w:r>
          </w:p>
        </w:tc>
      </w:tr>
      <w:tr w:rsidR="00F15EB7" w:rsidRPr="00E11FFB" w14:paraId="12D60313" w14:textId="77777777" w:rsidTr="003A6DE1">
        <w:trPr>
          <w:jc w:val="center"/>
        </w:trPr>
        <w:tc>
          <w:tcPr>
            <w:tcW w:w="4377" w:type="dxa"/>
            <w:vAlign w:val="center"/>
          </w:tcPr>
          <w:p w14:paraId="4200C13D"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Réunions de planification ACE et ITIE, production des TDRS de recrutement du consultant pour la publication du rapport</w:t>
            </w:r>
          </w:p>
        </w:tc>
        <w:tc>
          <w:tcPr>
            <w:tcW w:w="4377" w:type="dxa"/>
            <w:vAlign w:val="center"/>
          </w:tcPr>
          <w:p w14:paraId="32020712" w14:textId="2DC68DB8"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Réunions de planification ACE et ITIE, production des TDRS de recrutement du consultant pour la publication du rapport</w:t>
            </w:r>
          </w:p>
        </w:tc>
      </w:tr>
      <w:tr w:rsidR="00F15EB7" w:rsidRPr="00E11FFB" w14:paraId="49046CAA" w14:textId="77777777" w:rsidTr="003A6DE1">
        <w:trPr>
          <w:jc w:val="center"/>
        </w:trPr>
        <w:tc>
          <w:tcPr>
            <w:tcW w:w="8754" w:type="dxa"/>
            <w:gridSpan w:val="2"/>
            <w:shd w:val="clear" w:color="auto" w:fill="D9D9D9" w:themeFill="background1" w:themeFillShade="D9"/>
            <w:vAlign w:val="center"/>
          </w:tcPr>
          <w:p w14:paraId="3740B8F5"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5ème indicateur effet 6 : </w:t>
            </w:r>
            <w:r w:rsidRPr="00E11FFB">
              <w:rPr>
                <w:rFonts w:ascii="Avenir" w:eastAsia="Avenir" w:hAnsi="Avenir" w:cs="Avenir"/>
                <w:color w:val="000000"/>
                <w:sz w:val="16"/>
                <w:szCs w:val="16"/>
              </w:rPr>
              <w:t>Nb (calculé) de personnes touchées par les campagnes de communication visant principalement à informer sur le projet.</w:t>
            </w:r>
          </w:p>
        </w:tc>
      </w:tr>
      <w:tr w:rsidR="00F15EB7" w:rsidRPr="00E11FFB" w14:paraId="67680228" w14:textId="77777777" w:rsidTr="003A6DE1">
        <w:trPr>
          <w:jc w:val="center"/>
        </w:trPr>
        <w:tc>
          <w:tcPr>
            <w:tcW w:w="4377" w:type="dxa"/>
            <w:vAlign w:val="center"/>
          </w:tcPr>
          <w:p w14:paraId="49C9918B" w14:textId="00228EE8"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871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14%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86% hommes)</w:t>
            </w:r>
          </w:p>
        </w:tc>
        <w:tc>
          <w:tcPr>
            <w:tcW w:w="4377" w:type="dxa"/>
            <w:vAlign w:val="center"/>
          </w:tcPr>
          <w:p w14:paraId="54E16EE4" w14:textId="48D10E95"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871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14%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86% hommes)</w:t>
            </w:r>
          </w:p>
        </w:tc>
      </w:tr>
      <w:tr w:rsidR="00F15EB7" w:rsidRPr="00E11FFB" w14:paraId="3A9EF934" w14:textId="77777777" w:rsidTr="003A6DE1">
        <w:trPr>
          <w:jc w:val="center"/>
        </w:trPr>
        <w:tc>
          <w:tcPr>
            <w:tcW w:w="8754" w:type="dxa"/>
            <w:gridSpan w:val="2"/>
            <w:shd w:val="clear" w:color="auto" w:fill="D9D9D9" w:themeFill="background1" w:themeFillShade="D9"/>
            <w:vAlign w:val="center"/>
          </w:tcPr>
          <w:p w14:paraId="1C27B6DD"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6ème indicateur effet 6 : </w:t>
            </w:r>
            <w:r w:rsidRPr="00E11FFB">
              <w:rPr>
                <w:rFonts w:ascii="Avenir" w:eastAsia="Avenir" w:hAnsi="Avenir" w:cs="Avenir"/>
                <w:color w:val="000000"/>
                <w:sz w:val="16"/>
                <w:szCs w:val="16"/>
              </w:rPr>
              <w:t xml:space="preserve">Nb (calculé) de personnes touchées par les campagnes de communication visant principalement à modifier les attitudes et pratiques.  </w:t>
            </w:r>
          </w:p>
        </w:tc>
      </w:tr>
      <w:tr w:rsidR="00F15EB7" w:rsidRPr="00E11FFB" w14:paraId="07E0BC09" w14:textId="77777777" w:rsidTr="003A6DE1">
        <w:trPr>
          <w:jc w:val="center"/>
        </w:trPr>
        <w:tc>
          <w:tcPr>
            <w:tcW w:w="4377" w:type="dxa"/>
            <w:vAlign w:val="center"/>
          </w:tcPr>
          <w:p w14:paraId="7FCB0D37" w14:textId="17293BBB"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837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14%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86% hommes)</w:t>
            </w:r>
          </w:p>
        </w:tc>
        <w:tc>
          <w:tcPr>
            <w:tcW w:w="4377" w:type="dxa"/>
            <w:vAlign w:val="center"/>
          </w:tcPr>
          <w:p w14:paraId="2BC6E234" w14:textId="23E52F61"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837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14%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86% hommes)</w:t>
            </w:r>
          </w:p>
        </w:tc>
      </w:tr>
      <w:tr w:rsidR="00F15EB7" w:rsidRPr="00E11FFB" w14:paraId="64B878A2" w14:textId="77777777" w:rsidTr="003A6DE1">
        <w:trPr>
          <w:jc w:val="center"/>
        </w:trPr>
        <w:tc>
          <w:tcPr>
            <w:tcW w:w="8754" w:type="dxa"/>
            <w:gridSpan w:val="2"/>
            <w:shd w:val="clear" w:color="auto" w:fill="D9D9D9" w:themeFill="background1" w:themeFillShade="D9"/>
            <w:vAlign w:val="center"/>
          </w:tcPr>
          <w:p w14:paraId="539A6243"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7ème indicateur effet 6 : </w:t>
            </w:r>
            <w:r w:rsidRPr="00E11FFB">
              <w:rPr>
                <w:rFonts w:ascii="Avenir" w:eastAsia="Avenir" w:hAnsi="Avenir" w:cs="Avenir"/>
                <w:color w:val="000000"/>
                <w:sz w:val="16"/>
                <w:szCs w:val="16"/>
              </w:rPr>
              <w:t>Nb (Pourcentage de campagnes utilisant des outils pour cibler spécifiquement les minorités et groupes vulnérables</w:t>
            </w:r>
          </w:p>
        </w:tc>
      </w:tr>
      <w:tr w:rsidR="00F15EB7" w:rsidRPr="00E11FFB" w14:paraId="2436737F" w14:textId="77777777" w:rsidTr="003A6DE1">
        <w:trPr>
          <w:jc w:val="center"/>
        </w:trPr>
        <w:tc>
          <w:tcPr>
            <w:tcW w:w="4377" w:type="dxa"/>
            <w:vAlign w:val="center"/>
          </w:tcPr>
          <w:p w14:paraId="13F8C5F5" w14:textId="5603E07C"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88% de campagnes</w:t>
            </w:r>
          </w:p>
        </w:tc>
        <w:tc>
          <w:tcPr>
            <w:tcW w:w="4377" w:type="dxa"/>
            <w:vAlign w:val="center"/>
          </w:tcPr>
          <w:p w14:paraId="49CEF915" w14:textId="215951EB"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88% de campagnes</w:t>
            </w:r>
          </w:p>
        </w:tc>
      </w:tr>
      <w:tr w:rsidR="00F15EB7" w:rsidRPr="00E11FFB" w14:paraId="1C873684" w14:textId="77777777" w:rsidTr="003A6DE1">
        <w:trPr>
          <w:jc w:val="center"/>
        </w:trPr>
        <w:tc>
          <w:tcPr>
            <w:tcW w:w="8754" w:type="dxa"/>
            <w:gridSpan w:val="2"/>
            <w:shd w:val="clear" w:color="auto" w:fill="D9D9D9" w:themeFill="background1" w:themeFillShade="D9"/>
            <w:vAlign w:val="center"/>
          </w:tcPr>
          <w:p w14:paraId="57F992F2"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20"/>
                <w:szCs w:val="20"/>
              </w:rPr>
              <w:t>Effet 7 :  Les exploitants respectent des normes Socio Environnementale contrôlées (ACE).</w:t>
            </w:r>
          </w:p>
        </w:tc>
      </w:tr>
      <w:tr w:rsidR="00F15EB7" w:rsidRPr="00E11FFB" w14:paraId="4E7ABCDE" w14:textId="77777777" w:rsidTr="003A6DE1">
        <w:trPr>
          <w:jc w:val="center"/>
        </w:trPr>
        <w:tc>
          <w:tcPr>
            <w:tcW w:w="8754" w:type="dxa"/>
            <w:gridSpan w:val="2"/>
            <w:shd w:val="clear" w:color="auto" w:fill="D9D9D9" w:themeFill="background1" w:themeFillShade="D9"/>
            <w:vAlign w:val="center"/>
          </w:tcPr>
          <w:p w14:paraId="0A432F50" w14:textId="2A5769CA"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1</w:t>
            </w:r>
            <w:r w:rsidR="00A965B3" w:rsidRPr="006D79E9">
              <w:rPr>
                <w:rFonts w:ascii="Avenir" w:eastAsia="Avenir" w:hAnsi="Avenir" w:cs="Avenir"/>
                <w:b/>
                <w:color w:val="000000"/>
                <w:sz w:val="16"/>
                <w:szCs w:val="16"/>
                <w:vertAlign w:val="superscript"/>
              </w:rPr>
              <w:t>ier</w:t>
            </w:r>
            <w:r w:rsidR="00A965B3">
              <w:rPr>
                <w:rFonts w:ascii="Avenir" w:eastAsia="Avenir" w:hAnsi="Avenir" w:cs="Avenir"/>
                <w:b/>
                <w:color w:val="000000"/>
                <w:sz w:val="16"/>
                <w:szCs w:val="16"/>
              </w:rPr>
              <w:t xml:space="preserve"> </w:t>
            </w:r>
            <w:r w:rsidRPr="00E11FFB">
              <w:rPr>
                <w:rFonts w:ascii="Avenir" w:eastAsia="Avenir" w:hAnsi="Avenir" w:cs="Avenir"/>
                <w:b/>
                <w:color w:val="000000"/>
                <w:sz w:val="16"/>
                <w:szCs w:val="16"/>
              </w:rPr>
              <w:t xml:space="preserve">indicateur effet 7 : </w:t>
            </w:r>
            <w:r w:rsidRPr="00E11FFB">
              <w:rPr>
                <w:rFonts w:ascii="Calibri" w:hAnsi="Calibri" w:cs="Calibri"/>
                <w:sz w:val="16"/>
                <w:szCs w:val="16"/>
              </w:rPr>
              <w:t>Nombre de dispositions et activités mises en œuvre suivies pour renseigner les rapports d’études environnementales et sociales (EES, CGES, CPR, EIES, PMCES, PAR).</w:t>
            </w:r>
          </w:p>
        </w:tc>
      </w:tr>
      <w:tr w:rsidR="00F15EB7" w:rsidRPr="00E11FFB" w14:paraId="448CFB40" w14:textId="77777777" w:rsidTr="003A6DE1">
        <w:trPr>
          <w:jc w:val="center"/>
        </w:trPr>
        <w:tc>
          <w:tcPr>
            <w:tcW w:w="4377" w:type="dxa"/>
            <w:vAlign w:val="center"/>
          </w:tcPr>
          <w:p w14:paraId="55AC8250"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4 projets suivis </w:t>
            </w:r>
          </w:p>
        </w:tc>
        <w:tc>
          <w:tcPr>
            <w:tcW w:w="4377" w:type="dxa"/>
            <w:vAlign w:val="center"/>
          </w:tcPr>
          <w:p w14:paraId="561025F5" w14:textId="4F4FFEE9"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4 projets suivis</w:t>
            </w:r>
          </w:p>
        </w:tc>
      </w:tr>
      <w:tr w:rsidR="00F15EB7" w:rsidRPr="00E11FFB" w14:paraId="72DB1116"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6F8F9885"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2ème indicateur effet 7 : </w:t>
            </w:r>
            <w:r w:rsidRPr="00E11FFB">
              <w:rPr>
                <w:rFonts w:ascii="Calibri" w:hAnsi="Calibri" w:cs="Calibri"/>
                <w:sz w:val="16"/>
                <w:szCs w:val="16"/>
              </w:rPr>
              <w:t>Nombre de projets sectoriels suivis</w:t>
            </w:r>
          </w:p>
        </w:tc>
      </w:tr>
      <w:tr w:rsidR="00F15EB7" w:rsidRPr="00E11FFB" w14:paraId="053393F9"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592B730D"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4 projets sectoriels suivi (Forêt, Energie)</w:t>
            </w:r>
          </w:p>
        </w:tc>
        <w:tc>
          <w:tcPr>
            <w:tcW w:w="4377" w:type="dxa"/>
            <w:tcBorders>
              <w:top w:val="single" w:sz="4" w:space="0" w:color="AFBABB"/>
              <w:left w:val="single" w:sz="4" w:space="0" w:color="000000"/>
              <w:bottom w:val="single" w:sz="4" w:space="0" w:color="AFBABB"/>
              <w:right w:val="single" w:sz="4" w:space="0" w:color="AFBABB"/>
            </w:tcBorders>
            <w:vAlign w:val="center"/>
          </w:tcPr>
          <w:p w14:paraId="72E98F83" w14:textId="568441C9"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4 projets sectoriels suivi (Forêt, Energie)</w:t>
            </w:r>
          </w:p>
        </w:tc>
      </w:tr>
      <w:tr w:rsidR="00F15EB7" w:rsidRPr="00E11FFB" w14:paraId="3D9CB277"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26C062D8"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3ème indicateur effet 7 : </w:t>
            </w:r>
            <w:r w:rsidRPr="00E11FFB">
              <w:rPr>
                <w:rFonts w:ascii="Calibri" w:hAnsi="Calibri" w:cs="Calibri"/>
                <w:sz w:val="16"/>
                <w:szCs w:val="16"/>
              </w:rPr>
              <w:t>Nombre de ministères sectoriels appuyés pour l’atteinte de leurs jalons sectoriels</w:t>
            </w:r>
          </w:p>
        </w:tc>
      </w:tr>
      <w:tr w:rsidR="00F15EB7" w:rsidRPr="00E11FFB" w14:paraId="1FF6E8F8"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3F774956"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4 (Forêt sur la politique forestière et l’intégration ITIE ; Mines et hydrocarbures sur les normes)</w:t>
            </w:r>
          </w:p>
        </w:tc>
        <w:tc>
          <w:tcPr>
            <w:tcW w:w="4377" w:type="dxa"/>
            <w:tcBorders>
              <w:top w:val="single" w:sz="4" w:space="0" w:color="AFBABB"/>
              <w:left w:val="single" w:sz="4" w:space="0" w:color="000000"/>
              <w:bottom w:val="single" w:sz="4" w:space="0" w:color="AFBABB"/>
              <w:right w:val="single" w:sz="4" w:space="0" w:color="AFBABB"/>
            </w:tcBorders>
            <w:vAlign w:val="center"/>
          </w:tcPr>
          <w:p w14:paraId="5E45345E" w14:textId="79DF42FE"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4 (Forêt sur la politique forestière et l’intégration ITIE ; Mines et hydrocarbures sur les normes)</w:t>
            </w:r>
          </w:p>
        </w:tc>
      </w:tr>
      <w:tr w:rsidR="00F15EB7" w:rsidRPr="00E11FFB" w14:paraId="60E998E7"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5E543E5F"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4ème indicateur effet 7 : </w:t>
            </w:r>
            <w:r w:rsidRPr="00E11FFB">
              <w:rPr>
                <w:rFonts w:ascii="Calibri" w:hAnsi="Calibri" w:cs="Calibri"/>
                <w:sz w:val="16"/>
                <w:szCs w:val="16"/>
              </w:rPr>
              <w:t xml:space="preserve">Au moins 12 EIES menées en relation avec la protection des aires protégées, priorité dans les PIREDD </w:t>
            </w:r>
          </w:p>
        </w:tc>
      </w:tr>
      <w:tr w:rsidR="00F15EB7" w:rsidRPr="00E11FFB" w14:paraId="3B5B301B"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7C9BC050"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 xml:space="preserve"> 11 EIES réalisées </w:t>
            </w:r>
          </w:p>
        </w:tc>
        <w:tc>
          <w:tcPr>
            <w:tcW w:w="4377" w:type="dxa"/>
            <w:tcBorders>
              <w:top w:val="single" w:sz="4" w:space="0" w:color="AFBABB"/>
              <w:left w:val="single" w:sz="4" w:space="0" w:color="000000"/>
              <w:bottom w:val="single" w:sz="4" w:space="0" w:color="AFBABB"/>
              <w:right w:val="single" w:sz="4" w:space="0" w:color="AFBABB"/>
            </w:tcBorders>
            <w:vAlign w:val="center"/>
          </w:tcPr>
          <w:p w14:paraId="7E2DBA90" w14:textId="3A25D04A"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11 EIES réalisées</w:t>
            </w:r>
          </w:p>
        </w:tc>
      </w:tr>
      <w:tr w:rsidR="00F15EB7" w:rsidRPr="00E11FFB" w14:paraId="2F891064"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34515726"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5ème indicateur effet 7 : </w:t>
            </w:r>
            <w:r w:rsidRPr="00E11FFB">
              <w:rPr>
                <w:rFonts w:ascii="Calibri" w:hAnsi="Calibri" w:cs="Calibri"/>
                <w:sz w:val="16"/>
                <w:szCs w:val="16"/>
              </w:rPr>
              <w:t>Au moins 12 EIES menées et approuvées</w:t>
            </w:r>
          </w:p>
        </w:tc>
      </w:tr>
      <w:tr w:rsidR="00F15EB7" w:rsidRPr="00E11FFB" w14:paraId="2C81D89A"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3846A006"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11 EIE menées, PV produits en attente de correction du rapport pour approbation</w:t>
            </w:r>
          </w:p>
        </w:tc>
        <w:tc>
          <w:tcPr>
            <w:tcW w:w="4377" w:type="dxa"/>
            <w:tcBorders>
              <w:top w:val="single" w:sz="4" w:space="0" w:color="AFBABB"/>
              <w:left w:val="single" w:sz="4" w:space="0" w:color="000000"/>
              <w:bottom w:val="single" w:sz="4" w:space="0" w:color="AFBABB"/>
              <w:right w:val="single" w:sz="4" w:space="0" w:color="AFBABB"/>
            </w:tcBorders>
            <w:vAlign w:val="center"/>
          </w:tcPr>
          <w:p w14:paraId="0875DBE7" w14:textId="578F9762"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11 EIE menées, PV produits en attente de correction du rapport pour approbation</w:t>
            </w:r>
          </w:p>
        </w:tc>
      </w:tr>
      <w:tr w:rsidR="00F15EB7" w:rsidRPr="00E11FFB" w14:paraId="4238488C"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0C5F61D1"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6ème indicateur effet 7 : </w:t>
            </w:r>
            <w:r w:rsidRPr="00E11FFB">
              <w:rPr>
                <w:rFonts w:ascii="Calibri" w:hAnsi="Calibri" w:cs="Calibri"/>
                <w:sz w:val="16"/>
                <w:szCs w:val="16"/>
              </w:rPr>
              <w:t>Nombre de normes REDD+ élaborées et adoptées dans les secteurs des mines et des hydrocarbures</w:t>
            </w:r>
          </w:p>
        </w:tc>
      </w:tr>
      <w:tr w:rsidR="00F15EB7" w:rsidRPr="00E11FFB" w14:paraId="327DB03D"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0443F07D"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Task force ACE accompagne le projet normes de la GIZ en collaboration avec les ministères des Mines et des Hydrocarbures.</w:t>
            </w:r>
          </w:p>
        </w:tc>
        <w:tc>
          <w:tcPr>
            <w:tcW w:w="4377" w:type="dxa"/>
            <w:tcBorders>
              <w:top w:val="single" w:sz="4" w:space="0" w:color="AFBABB"/>
              <w:left w:val="single" w:sz="4" w:space="0" w:color="000000"/>
              <w:bottom w:val="single" w:sz="4" w:space="0" w:color="AFBABB"/>
              <w:right w:val="single" w:sz="4" w:space="0" w:color="AFBABB"/>
            </w:tcBorders>
            <w:vAlign w:val="center"/>
          </w:tcPr>
          <w:p w14:paraId="3D6DA5C8" w14:textId="60181A8B"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Task force ACE accompagne le projet normes de la GIZ en collaboration avec les ministères des Mines et des Hydrocarbures</w:t>
            </w:r>
          </w:p>
        </w:tc>
      </w:tr>
      <w:tr w:rsidR="00F15EB7" w:rsidRPr="00E11FFB" w14:paraId="75F880AF"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1ADEF20C"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7ème indicateur effet 7 : </w:t>
            </w:r>
            <w:r w:rsidRPr="00E11FFB">
              <w:rPr>
                <w:rFonts w:ascii="Calibri" w:hAnsi="Calibri" w:cs="Calibri"/>
                <w:sz w:val="16"/>
                <w:szCs w:val="16"/>
              </w:rPr>
              <w:t xml:space="preserve">Nombre de missions de contre vérification </w:t>
            </w:r>
          </w:p>
        </w:tc>
      </w:tr>
      <w:tr w:rsidR="00F15EB7" w:rsidRPr="00E11FFB" w14:paraId="6806EA7E"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596DC0F8"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4 missions dans les provinces forestières (Tshopo, Mongala, Equateur et Mai Ndombe)</w:t>
            </w:r>
          </w:p>
        </w:tc>
        <w:tc>
          <w:tcPr>
            <w:tcW w:w="4377" w:type="dxa"/>
            <w:tcBorders>
              <w:top w:val="single" w:sz="4" w:space="0" w:color="AFBABB"/>
              <w:left w:val="single" w:sz="4" w:space="0" w:color="000000"/>
              <w:bottom w:val="single" w:sz="4" w:space="0" w:color="AFBABB"/>
              <w:right w:val="single" w:sz="4" w:space="0" w:color="AFBABB"/>
            </w:tcBorders>
            <w:vAlign w:val="center"/>
          </w:tcPr>
          <w:p w14:paraId="6290CC9F" w14:textId="25F36C30" w:rsidR="00F15EB7" w:rsidRPr="00E11FFB" w:rsidRDefault="00F15EB7" w:rsidP="00F15EB7">
            <w:pPr>
              <w:spacing w:after="5" w:line="271" w:lineRule="auto"/>
              <w:rPr>
                <w:rFonts w:ascii="Avenir" w:eastAsia="Avenir" w:hAnsi="Avenir" w:cs="Avenir"/>
                <w:bCs/>
                <w:color w:val="000000"/>
                <w:sz w:val="16"/>
                <w:szCs w:val="16"/>
              </w:rPr>
            </w:pPr>
            <w:r w:rsidRPr="00E11FFB">
              <w:rPr>
                <w:rFonts w:ascii="Calibri" w:hAnsi="Calibri" w:cs="Calibri"/>
                <w:sz w:val="16"/>
                <w:szCs w:val="16"/>
              </w:rPr>
              <w:t>4 missions dans les provinces forestières (Tshopo, Mongala, Equateur et Mai Ndombe)</w:t>
            </w:r>
          </w:p>
        </w:tc>
      </w:tr>
      <w:tr w:rsidR="00F15EB7" w:rsidRPr="00E11FFB" w14:paraId="0CA51ECB"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6C5ED1D7"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8ème indicateur effet 7 : </w:t>
            </w:r>
            <w:r w:rsidRPr="00E11FFB">
              <w:rPr>
                <w:rFonts w:ascii="Calibri" w:hAnsi="Calibri" w:cs="Calibri"/>
                <w:sz w:val="16"/>
                <w:szCs w:val="16"/>
              </w:rPr>
              <w:t>Nombre d’atelier de vulgarisation de texte reglémentaires</w:t>
            </w:r>
          </w:p>
        </w:tc>
      </w:tr>
      <w:tr w:rsidR="00F15EB7" w:rsidRPr="00E11FFB" w14:paraId="6FBA6C80"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359B04A0"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atelier national de vulgarisation de texte </w:t>
            </w:r>
          </w:p>
        </w:tc>
        <w:tc>
          <w:tcPr>
            <w:tcW w:w="4377" w:type="dxa"/>
            <w:tcBorders>
              <w:top w:val="single" w:sz="4" w:space="0" w:color="AFBABB"/>
              <w:left w:val="single" w:sz="4" w:space="0" w:color="000000"/>
              <w:bottom w:val="single" w:sz="4" w:space="0" w:color="AFBABB"/>
              <w:right w:val="single" w:sz="4" w:space="0" w:color="AFBABB"/>
            </w:tcBorders>
            <w:vAlign w:val="center"/>
          </w:tcPr>
          <w:p w14:paraId="170D2E6B" w14:textId="66509945"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 atelier national de vulgarisation de texte</w:t>
            </w:r>
          </w:p>
        </w:tc>
      </w:tr>
      <w:tr w:rsidR="00F15EB7" w:rsidRPr="00E11FFB" w14:paraId="2996C648"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5DE15C17"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8ème indicateur effet 7 : </w:t>
            </w:r>
            <w:r w:rsidRPr="00E11FFB">
              <w:rPr>
                <w:rFonts w:ascii="Calibri" w:hAnsi="Calibri" w:cs="Calibri"/>
                <w:sz w:val="16"/>
                <w:szCs w:val="16"/>
              </w:rPr>
              <w:t>Nombre de rapport de réunions de suivi de normes</w:t>
            </w:r>
          </w:p>
        </w:tc>
      </w:tr>
      <w:tr w:rsidR="00F15EB7" w:rsidRPr="00E11FFB" w14:paraId="7B46CAB2"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18418F86" w14:textId="7777777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5 réunions tenues sur l’ensemble (Mines, Hydrocarbures, GIZ, ITIE)</w:t>
            </w:r>
          </w:p>
        </w:tc>
        <w:tc>
          <w:tcPr>
            <w:tcW w:w="4377" w:type="dxa"/>
            <w:tcBorders>
              <w:top w:val="single" w:sz="4" w:space="0" w:color="AFBABB"/>
              <w:left w:val="single" w:sz="4" w:space="0" w:color="000000"/>
              <w:bottom w:val="single" w:sz="4" w:space="0" w:color="AFBABB"/>
              <w:right w:val="single" w:sz="4" w:space="0" w:color="AFBABB"/>
            </w:tcBorders>
            <w:vAlign w:val="center"/>
          </w:tcPr>
          <w:p w14:paraId="262BD994" w14:textId="4FADE419"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5 réunions tenues sur l’ensemble (Mines, Hydrocarbures, GIZ, ITIE)</w:t>
            </w:r>
          </w:p>
        </w:tc>
      </w:tr>
      <w:tr w:rsidR="00F15EB7" w:rsidRPr="00E11FFB" w14:paraId="1C3E55C8"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65DAF6E3"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9ème indicateur effet 7 : </w:t>
            </w:r>
            <w:r w:rsidRPr="00E11FFB">
              <w:rPr>
                <w:rFonts w:ascii="Avenir" w:eastAsia="Avenir" w:hAnsi="Avenir" w:cs="Avenir"/>
                <w:color w:val="000000"/>
                <w:sz w:val="16"/>
                <w:szCs w:val="16"/>
              </w:rPr>
              <w:t>Nb (calculé) de personnes touchées par les campagnes de communication visant principalement à informer sur le projet.</w:t>
            </w:r>
          </w:p>
        </w:tc>
      </w:tr>
      <w:tr w:rsidR="00F15EB7" w:rsidRPr="00E11FFB" w14:paraId="4025DE11"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1E6DA20A" w14:textId="76824425"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165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13%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87% hommes)</w:t>
            </w:r>
          </w:p>
        </w:tc>
        <w:tc>
          <w:tcPr>
            <w:tcW w:w="4377" w:type="dxa"/>
            <w:tcBorders>
              <w:top w:val="single" w:sz="4" w:space="0" w:color="AFBABB"/>
              <w:left w:val="single" w:sz="4" w:space="0" w:color="000000"/>
              <w:bottom w:val="single" w:sz="4" w:space="0" w:color="AFBABB"/>
              <w:right w:val="single" w:sz="4" w:space="0" w:color="AFBABB"/>
            </w:tcBorders>
            <w:vAlign w:val="center"/>
          </w:tcPr>
          <w:p w14:paraId="6EEE1EF0" w14:textId="7E7D3081"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165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13%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87% hommes)</w:t>
            </w:r>
          </w:p>
        </w:tc>
      </w:tr>
      <w:tr w:rsidR="00F15EB7" w:rsidRPr="00E11FFB" w14:paraId="2A17ED68"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07C4F5D7"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10ème indicateur effet 7 : </w:t>
            </w:r>
            <w:r w:rsidRPr="00E11FFB">
              <w:rPr>
                <w:rFonts w:ascii="Avenir" w:eastAsia="Avenir" w:hAnsi="Avenir" w:cs="Avenir"/>
                <w:color w:val="000000"/>
                <w:sz w:val="16"/>
                <w:szCs w:val="16"/>
              </w:rPr>
              <w:t>Nb (calculé) de personnes touchées par les campagnes de communication visant principalement à modifier les attitudes et pratiques.</w:t>
            </w:r>
          </w:p>
        </w:tc>
      </w:tr>
      <w:tr w:rsidR="00F15EB7" w:rsidRPr="00E11FFB" w14:paraId="788FB4BD"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72FB8060" w14:textId="23BAC8D0"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160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13%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87% hommes)</w:t>
            </w:r>
          </w:p>
        </w:tc>
        <w:tc>
          <w:tcPr>
            <w:tcW w:w="4377" w:type="dxa"/>
            <w:tcBorders>
              <w:top w:val="single" w:sz="4" w:space="0" w:color="AFBABB"/>
              <w:left w:val="single" w:sz="4" w:space="0" w:color="000000"/>
              <w:bottom w:val="single" w:sz="4" w:space="0" w:color="AFBABB"/>
              <w:right w:val="single" w:sz="4" w:space="0" w:color="AFBABB"/>
            </w:tcBorders>
            <w:vAlign w:val="center"/>
          </w:tcPr>
          <w:p w14:paraId="3578DBA9" w14:textId="4FB6A875"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160 (</w:t>
            </w:r>
            <w:r w:rsidR="00A965B3">
              <w:rPr>
                <w:rFonts w:ascii="Avenir" w:eastAsia="Avenir" w:hAnsi="Avenir" w:cs="Avenir"/>
                <w:bCs/>
                <w:color w:val="000000"/>
                <w:sz w:val="16"/>
                <w:szCs w:val="16"/>
              </w:rPr>
              <w:t xml:space="preserve">dont </w:t>
            </w:r>
            <w:r w:rsidRPr="00E11FFB">
              <w:rPr>
                <w:rFonts w:ascii="Avenir" w:eastAsia="Avenir" w:hAnsi="Avenir" w:cs="Avenir"/>
                <w:bCs/>
                <w:color w:val="000000"/>
                <w:sz w:val="16"/>
                <w:szCs w:val="16"/>
              </w:rPr>
              <w:t>13% femmes</w:t>
            </w:r>
            <w:r w:rsidR="00A965B3">
              <w:rPr>
                <w:rFonts w:ascii="Avenir" w:eastAsia="Avenir" w:hAnsi="Avenir" w:cs="Avenir"/>
                <w:bCs/>
                <w:color w:val="000000"/>
                <w:sz w:val="16"/>
                <w:szCs w:val="16"/>
              </w:rPr>
              <w:t xml:space="preserve"> et</w:t>
            </w:r>
            <w:r w:rsidRPr="00E11FFB">
              <w:rPr>
                <w:rFonts w:ascii="Avenir" w:eastAsia="Avenir" w:hAnsi="Avenir" w:cs="Avenir"/>
                <w:bCs/>
                <w:color w:val="000000"/>
                <w:sz w:val="16"/>
                <w:szCs w:val="16"/>
              </w:rPr>
              <w:t xml:space="preserve"> 87% hommes)</w:t>
            </w:r>
          </w:p>
        </w:tc>
      </w:tr>
      <w:tr w:rsidR="00F15EB7" w:rsidRPr="00E11FFB" w14:paraId="25EA4712" w14:textId="77777777" w:rsidTr="003A6DE1">
        <w:trPr>
          <w:jc w:val="center"/>
        </w:trPr>
        <w:tc>
          <w:tcPr>
            <w:tcW w:w="8754" w:type="dxa"/>
            <w:gridSpan w:val="2"/>
            <w:tcBorders>
              <w:top w:val="single" w:sz="4" w:space="0" w:color="AFBABB"/>
              <w:left w:val="single" w:sz="4" w:space="0" w:color="AFBABB"/>
              <w:bottom w:val="single" w:sz="4" w:space="0" w:color="AFBABB"/>
              <w:right w:val="single" w:sz="4" w:space="0" w:color="AFBABB"/>
            </w:tcBorders>
            <w:shd w:val="clear" w:color="auto" w:fill="D9D9D9" w:themeFill="background1" w:themeFillShade="D9"/>
            <w:vAlign w:val="center"/>
          </w:tcPr>
          <w:p w14:paraId="3C15A867" w14:textId="77777777" w:rsidR="00F15EB7" w:rsidRPr="00E11FFB" w:rsidRDefault="00F15EB7" w:rsidP="00F15EB7">
            <w:pPr>
              <w:spacing w:after="5" w:line="271" w:lineRule="auto"/>
              <w:jc w:val="center"/>
              <w:rPr>
                <w:rFonts w:ascii="Avenir" w:eastAsia="Avenir" w:hAnsi="Avenir" w:cs="Avenir"/>
                <w:bCs/>
                <w:color w:val="000000"/>
                <w:sz w:val="16"/>
                <w:szCs w:val="16"/>
              </w:rPr>
            </w:pPr>
            <w:r w:rsidRPr="00E11FFB">
              <w:rPr>
                <w:rFonts w:ascii="Avenir" w:eastAsia="Avenir" w:hAnsi="Avenir" w:cs="Avenir"/>
                <w:b/>
                <w:color w:val="000000"/>
                <w:sz w:val="16"/>
                <w:szCs w:val="16"/>
              </w:rPr>
              <w:t xml:space="preserve">11ème indicateur effet 7 : </w:t>
            </w:r>
            <w:r w:rsidRPr="00E11FFB">
              <w:rPr>
                <w:rFonts w:ascii="Avenir" w:eastAsia="Avenir" w:hAnsi="Avenir" w:cs="Avenir"/>
                <w:color w:val="000000"/>
                <w:sz w:val="16"/>
                <w:szCs w:val="16"/>
              </w:rPr>
              <w:t>Nb (Pourcentage de campagnes utilisant des outils pour cibler spécifiquement les minorités et groupes vulnérables</w:t>
            </w:r>
          </w:p>
        </w:tc>
      </w:tr>
      <w:tr w:rsidR="00F15EB7" w:rsidRPr="00E11FFB" w14:paraId="7417C64F" w14:textId="77777777" w:rsidTr="003A6DE1">
        <w:trPr>
          <w:jc w:val="center"/>
        </w:trPr>
        <w:tc>
          <w:tcPr>
            <w:tcW w:w="4377" w:type="dxa"/>
            <w:tcBorders>
              <w:top w:val="single" w:sz="4" w:space="0" w:color="AFBABB"/>
              <w:left w:val="single" w:sz="4" w:space="0" w:color="AFBABB"/>
              <w:bottom w:val="single" w:sz="4" w:space="0" w:color="AFBABB"/>
              <w:right w:val="single" w:sz="4" w:space="0" w:color="AFBABB"/>
            </w:tcBorders>
            <w:vAlign w:val="center"/>
          </w:tcPr>
          <w:p w14:paraId="27B5343D" w14:textId="6F81F5D1"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50% des campagnes</w:t>
            </w:r>
          </w:p>
        </w:tc>
        <w:tc>
          <w:tcPr>
            <w:tcW w:w="4377" w:type="dxa"/>
            <w:tcBorders>
              <w:top w:val="single" w:sz="4" w:space="0" w:color="AFBABB"/>
              <w:left w:val="single" w:sz="4" w:space="0" w:color="000000"/>
              <w:bottom w:val="single" w:sz="4" w:space="0" w:color="AFBABB"/>
              <w:right w:val="single" w:sz="4" w:space="0" w:color="AFBABB"/>
            </w:tcBorders>
            <w:vAlign w:val="center"/>
          </w:tcPr>
          <w:p w14:paraId="6DA1D290" w14:textId="56ED3817" w:rsidR="00F15EB7" w:rsidRPr="00E11FFB" w:rsidRDefault="00F15EB7" w:rsidP="00F15EB7">
            <w:pPr>
              <w:spacing w:after="5" w:line="271" w:lineRule="auto"/>
              <w:rPr>
                <w:rFonts w:ascii="Avenir" w:eastAsia="Avenir" w:hAnsi="Avenir" w:cs="Avenir"/>
                <w:bCs/>
                <w:color w:val="000000"/>
                <w:sz w:val="16"/>
                <w:szCs w:val="16"/>
              </w:rPr>
            </w:pPr>
            <w:r w:rsidRPr="00E11FFB">
              <w:rPr>
                <w:rFonts w:ascii="Avenir" w:eastAsia="Avenir" w:hAnsi="Avenir" w:cs="Avenir"/>
                <w:bCs/>
                <w:color w:val="000000"/>
                <w:sz w:val="16"/>
                <w:szCs w:val="16"/>
              </w:rPr>
              <w:t>50% des campagnes</w:t>
            </w:r>
          </w:p>
        </w:tc>
      </w:tr>
    </w:tbl>
    <w:p w14:paraId="66476879" w14:textId="77777777" w:rsidR="0024617D" w:rsidRPr="00E11FFB" w:rsidRDefault="0024617D">
      <w:pPr>
        <w:spacing w:after="5"/>
        <w:ind w:left="10" w:right="28"/>
        <w:jc w:val="both"/>
        <w:rPr>
          <w:rFonts w:ascii="Avenir" w:eastAsia="Avenir" w:hAnsi="Avenir" w:cs="Avenir"/>
          <w:b/>
          <w:color w:val="000000"/>
        </w:rPr>
      </w:pPr>
    </w:p>
    <w:p w14:paraId="6CFBAC16" w14:textId="77777777" w:rsidR="0024617D" w:rsidRPr="00E11FFB" w:rsidRDefault="00C83F85">
      <w:pPr>
        <w:pStyle w:val="Titre1"/>
        <w:numPr>
          <w:ilvl w:val="0"/>
          <w:numId w:val="1"/>
        </w:numPr>
      </w:pPr>
      <w:bookmarkStart w:id="2" w:name="_Toc224044703"/>
      <w:r w:rsidRPr="00E11FFB">
        <w:t>Défis de mise en œuvre</w:t>
      </w:r>
      <w:bookmarkEnd w:id="2"/>
      <w:r w:rsidRPr="00E11FFB">
        <w:t xml:space="preserve"> </w:t>
      </w:r>
    </w:p>
    <w:p w14:paraId="0BC1BBD0" w14:textId="77777777" w:rsidR="0024617D" w:rsidRPr="00E11FFB" w:rsidRDefault="00C83F85">
      <w:pPr>
        <w:pStyle w:val="Titre2"/>
        <w:numPr>
          <w:ilvl w:val="1"/>
          <w:numId w:val="6"/>
        </w:numPr>
      </w:pPr>
      <w:bookmarkStart w:id="3" w:name="_Toc224044704"/>
      <w:r w:rsidRPr="00E11FFB">
        <w:t>Défis liés au contexte du pays</w:t>
      </w:r>
      <w:bookmarkEnd w:id="3"/>
    </w:p>
    <w:p w14:paraId="0F58F814" w14:textId="55F09149" w:rsidR="00314270" w:rsidRPr="002142A2" w:rsidRDefault="00314270" w:rsidP="00314270">
      <w:pPr>
        <w:spacing w:before="240"/>
        <w:jc w:val="both"/>
        <w:rPr>
          <w:rFonts w:ascii="Avenir" w:hAnsi="Avenir"/>
          <w:sz w:val="22"/>
          <w:szCs w:val="22"/>
        </w:rPr>
      </w:pPr>
      <w:r w:rsidRPr="00C460FF">
        <w:rPr>
          <w:rFonts w:ascii="Avenir" w:hAnsi="Avenir"/>
          <w:sz w:val="22"/>
          <w:szCs w:val="22"/>
        </w:rPr>
        <w:t>La situation s</w:t>
      </w:r>
      <w:r w:rsidRPr="00C460FF">
        <w:rPr>
          <w:rFonts w:ascii="Avenir" w:hAnsi="Avenir" w:hint="eastAsia"/>
          <w:sz w:val="22"/>
          <w:szCs w:val="22"/>
        </w:rPr>
        <w:t>é</w:t>
      </w:r>
      <w:r w:rsidRPr="00C460FF">
        <w:rPr>
          <w:rFonts w:ascii="Avenir" w:hAnsi="Avenir"/>
          <w:sz w:val="22"/>
          <w:szCs w:val="22"/>
        </w:rPr>
        <w:t xml:space="preserve">curitaire </w:t>
      </w:r>
      <w:r w:rsidRPr="00C460FF">
        <w:rPr>
          <w:rFonts w:ascii="Avenir" w:hAnsi="Avenir" w:hint="eastAsia"/>
          <w:sz w:val="22"/>
          <w:szCs w:val="22"/>
        </w:rPr>
        <w:t>à</w:t>
      </w:r>
      <w:r w:rsidRPr="00C460FF">
        <w:rPr>
          <w:rFonts w:ascii="Avenir" w:hAnsi="Avenir"/>
          <w:sz w:val="22"/>
          <w:szCs w:val="22"/>
        </w:rPr>
        <w:t xml:space="preserve"> l</w:t>
      </w:r>
      <w:r w:rsidRPr="00C460FF">
        <w:rPr>
          <w:rFonts w:ascii="Avenir" w:hAnsi="Avenir" w:hint="eastAsia"/>
          <w:sz w:val="22"/>
          <w:szCs w:val="22"/>
        </w:rPr>
        <w:t>’</w:t>
      </w:r>
      <w:r w:rsidRPr="00C460FF">
        <w:rPr>
          <w:rFonts w:ascii="Avenir" w:hAnsi="Avenir"/>
          <w:sz w:val="22"/>
          <w:szCs w:val="22"/>
        </w:rPr>
        <w:t>Est de la RDC impacte n</w:t>
      </w:r>
      <w:r w:rsidRPr="00C460FF">
        <w:rPr>
          <w:rFonts w:ascii="Avenir" w:hAnsi="Avenir" w:hint="eastAsia"/>
          <w:sz w:val="22"/>
          <w:szCs w:val="22"/>
        </w:rPr>
        <w:t>é</w:t>
      </w:r>
      <w:r w:rsidRPr="00C460FF">
        <w:rPr>
          <w:rFonts w:ascii="Avenir" w:hAnsi="Avenir"/>
          <w:sz w:val="22"/>
          <w:szCs w:val="22"/>
        </w:rPr>
        <w:t xml:space="preserve">gativement la mise en </w:t>
      </w:r>
      <w:r w:rsidRPr="00C460FF">
        <w:rPr>
          <w:rFonts w:ascii="Avenir" w:hAnsi="Avenir" w:hint="eastAsia"/>
          <w:sz w:val="22"/>
          <w:szCs w:val="22"/>
        </w:rPr>
        <w:t>œ</w:t>
      </w:r>
      <w:r w:rsidRPr="00C460FF">
        <w:rPr>
          <w:rFonts w:ascii="Avenir" w:hAnsi="Avenir"/>
          <w:sz w:val="22"/>
          <w:szCs w:val="22"/>
        </w:rPr>
        <w:t>uvre de certaines activit</w:t>
      </w:r>
      <w:r w:rsidRPr="00C460FF">
        <w:rPr>
          <w:rFonts w:ascii="Avenir" w:hAnsi="Avenir" w:hint="eastAsia"/>
          <w:sz w:val="22"/>
          <w:szCs w:val="22"/>
        </w:rPr>
        <w:t>é</w:t>
      </w:r>
      <w:r w:rsidRPr="00C460FF">
        <w:rPr>
          <w:rFonts w:ascii="Avenir" w:hAnsi="Avenir"/>
          <w:sz w:val="22"/>
          <w:szCs w:val="22"/>
        </w:rPr>
        <w:t>s qui couvrent l</w:t>
      </w:r>
      <w:r w:rsidRPr="00C460FF">
        <w:rPr>
          <w:rFonts w:ascii="Avenir" w:hAnsi="Avenir" w:hint="eastAsia"/>
          <w:sz w:val="22"/>
          <w:szCs w:val="22"/>
        </w:rPr>
        <w:t>’</w:t>
      </w:r>
      <w:r w:rsidRPr="00C460FF">
        <w:rPr>
          <w:rFonts w:ascii="Avenir" w:hAnsi="Avenir"/>
          <w:sz w:val="22"/>
          <w:szCs w:val="22"/>
        </w:rPr>
        <w:t>ensemble du territoire national. C</w:t>
      </w:r>
      <w:r w:rsidRPr="00C460FF">
        <w:rPr>
          <w:rFonts w:ascii="Avenir" w:hAnsi="Avenir" w:hint="eastAsia"/>
          <w:sz w:val="22"/>
          <w:szCs w:val="22"/>
        </w:rPr>
        <w:t>’</w:t>
      </w:r>
      <w:r w:rsidRPr="00C460FF">
        <w:rPr>
          <w:rFonts w:ascii="Avenir" w:hAnsi="Avenir"/>
          <w:sz w:val="22"/>
          <w:szCs w:val="22"/>
        </w:rPr>
        <w:t>est le cas par exemple des consultations provinciales dans le cadre d</w:t>
      </w:r>
      <w:r w:rsidRPr="00C460FF">
        <w:rPr>
          <w:rFonts w:ascii="Avenir" w:hAnsi="Avenir" w:hint="eastAsia"/>
          <w:sz w:val="22"/>
          <w:szCs w:val="22"/>
        </w:rPr>
        <w:t>’é</w:t>
      </w:r>
      <w:r w:rsidRPr="00C460FF">
        <w:rPr>
          <w:rFonts w:ascii="Avenir" w:hAnsi="Avenir"/>
          <w:sz w:val="22"/>
          <w:szCs w:val="22"/>
        </w:rPr>
        <w:t>laboration des politiques sectorielles comme la politique nationale foresti</w:t>
      </w:r>
      <w:r w:rsidRPr="00C460FF">
        <w:rPr>
          <w:rFonts w:ascii="Avenir" w:hAnsi="Avenir" w:hint="eastAsia"/>
          <w:sz w:val="22"/>
          <w:szCs w:val="22"/>
        </w:rPr>
        <w:t>è</w:t>
      </w:r>
      <w:r w:rsidRPr="00C460FF">
        <w:rPr>
          <w:rFonts w:ascii="Avenir" w:hAnsi="Avenir"/>
          <w:sz w:val="22"/>
          <w:szCs w:val="22"/>
        </w:rPr>
        <w:t xml:space="preserve">re, la politique nationale de population. Pour faire face </w:t>
      </w:r>
      <w:r w:rsidRPr="00C460FF">
        <w:rPr>
          <w:rFonts w:ascii="Avenir" w:hAnsi="Avenir" w:hint="eastAsia"/>
          <w:sz w:val="22"/>
          <w:szCs w:val="22"/>
        </w:rPr>
        <w:t>à</w:t>
      </w:r>
      <w:r w:rsidRPr="00C460FF">
        <w:rPr>
          <w:rFonts w:ascii="Avenir" w:hAnsi="Avenir"/>
          <w:sz w:val="22"/>
          <w:szCs w:val="22"/>
        </w:rPr>
        <w:t xml:space="preserve"> cela, les consultations sur la politique foresti</w:t>
      </w:r>
      <w:r w:rsidRPr="00C460FF">
        <w:rPr>
          <w:rFonts w:ascii="Avenir" w:hAnsi="Avenir" w:hint="eastAsia"/>
          <w:sz w:val="22"/>
          <w:szCs w:val="22"/>
        </w:rPr>
        <w:t>è</w:t>
      </w:r>
      <w:r w:rsidRPr="00C460FF">
        <w:rPr>
          <w:rFonts w:ascii="Avenir" w:hAnsi="Avenir"/>
          <w:sz w:val="22"/>
          <w:szCs w:val="22"/>
        </w:rPr>
        <w:t xml:space="preserve">re nationale ont </w:t>
      </w:r>
      <w:r w:rsidRPr="00C460FF">
        <w:rPr>
          <w:rFonts w:ascii="Avenir" w:hAnsi="Avenir" w:hint="eastAsia"/>
          <w:sz w:val="22"/>
          <w:szCs w:val="22"/>
        </w:rPr>
        <w:t>é</w:t>
      </w:r>
      <w:r w:rsidRPr="00C460FF">
        <w:rPr>
          <w:rFonts w:ascii="Avenir" w:hAnsi="Avenir"/>
          <w:sz w:val="22"/>
          <w:szCs w:val="22"/>
        </w:rPr>
        <w:t>t</w:t>
      </w:r>
      <w:r w:rsidRPr="00C460FF">
        <w:rPr>
          <w:rFonts w:ascii="Avenir" w:hAnsi="Avenir" w:hint="eastAsia"/>
          <w:sz w:val="22"/>
          <w:szCs w:val="22"/>
        </w:rPr>
        <w:t>é</w:t>
      </w:r>
      <w:r w:rsidRPr="00C460FF">
        <w:rPr>
          <w:rFonts w:ascii="Avenir" w:hAnsi="Avenir"/>
          <w:sz w:val="22"/>
          <w:szCs w:val="22"/>
        </w:rPr>
        <w:t xml:space="preserve"> organis</w:t>
      </w:r>
      <w:r w:rsidRPr="00C460FF">
        <w:rPr>
          <w:rFonts w:ascii="Avenir" w:hAnsi="Avenir" w:hint="eastAsia"/>
          <w:sz w:val="22"/>
          <w:szCs w:val="22"/>
        </w:rPr>
        <w:t>é</w:t>
      </w:r>
      <w:r w:rsidRPr="00C460FF">
        <w:rPr>
          <w:rFonts w:ascii="Avenir" w:hAnsi="Avenir"/>
          <w:sz w:val="22"/>
          <w:szCs w:val="22"/>
        </w:rPr>
        <w:t>es dans les zones inoccup</w:t>
      </w:r>
      <w:r w:rsidRPr="00C460FF">
        <w:rPr>
          <w:rFonts w:ascii="Avenir" w:hAnsi="Avenir" w:hint="eastAsia"/>
          <w:sz w:val="22"/>
          <w:szCs w:val="22"/>
        </w:rPr>
        <w:t>é</w:t>
      </w:r>
      <w:r w:rsidRPr="00C460FF">
        <w:rPr>
          <w:rFonts w:ascii="Avenir" w:hAnsi="Avenir"/>
          <w:sz w:val="22"/>
          <w:szCs w:val="22"/>
        </w:rPr>
        <w:t xml:space="preserve">es par la </w:t>
      </w:r>
      <w:r w:rsidR="00A41790" w:rsidRPr="00C460FF">
        <w:rPr>
          <w:rFonts w:ascii="Avenir" w:hAnsi="Avenir"/>
          <w:sz w:val="22"/>
          <w:szCs w:val="22"/>
        </w:rPr>
        <w:t>r</w:t>
      </w:r>
      <w:r w:rsidR="00A41790" w:rsidRPr="00C460FF">
        <w:rPr>
          <w:rFonts w:ascii="Avenir" w:hAnsi="Avenir" w:hint="eastAsia"/>
          <w:sz w:val="22"/>
          <w:szCs w:val="22"/>
        </w:rPr>
        <w:t>é</w:t>
      </w:r>
      <w:r w:rsidR="00A41790" w:rsidRPr="00C460FF">
        <w:rPr>
          <w:rFonts w:ascii="Avenir" w:hAnsi="Avenir"/>
          <w:sz w:val="22"/>
          <w:szCs w:val="22"/>
        </w:rPr>
        <w:t>bellion</w:t>
      </w:r>
      <w:r w:rsidRPr="00C460FF">
        <w:rPr>
          <w:rFonts w:ascii="Avenir" w:hAnsi="Avenir"/>
          <w:sz w:val="22"/>
          <w:szCs w:val="22"/>
        </w:rPr>
        <w:t xml:space="preserve"> dans les provinces en guerre. </w:t>
      </w:r>
    </w:p>
    <w:p w14:paraId="22646C1E" w14:textId="77777777" w:rsidR="0024617D" w:rsidRPr="00E11FFB" w:rsidRDefault="00C83F85">
      <w:pPr>
        <w:pStyle w:val="Titre2"/>
      </w:pPr>
      <w:bookmarkStart w:id="4" w:name="_Toc224044705"/>
      <w:r w:rsidRPr="00E11FFB">
        <w:t>3.2 Défis inhérents au projet</w:t>
      </w:r>
      <w:bookmarkEnd w:id="4"/>
    </w:p>
    <w:p w14:paraId="23AE5F4A" w14:textId="31462FFA" w:rsidR="00A41790" w:rsidRDefault="00A34D1C" w:rsidP="009954DF">
      <w:pPr>
        <w:pStyle w:val="Paragraphedeliste"/>
        <w:numPr>
          <w:ilvl w:val="0"/>
          <w:numId w:val="39"/>
        </w:numPr>
        <w:spacing w:before="240"/>
        <w:jc w:val="both"/>
        <w:rPr>
          <w:rFonts w:ascii="Avenir" w:hAnsi="Avenir"/>
          <w:sz w:val="22"/>
          <w:szCs w:val="22"/>
        </w:rPr>
      </w:pPr>
      <w:r w:rsidRPr="00A965B3">
        <w:rPr>
          <w:rFonts w:ascii="Avenir" w:hAnsi="Avenir"/>
          <w:b/>
          <w:bCs/>
          <w:sz w:val="22"/>
          <w:szCs w:val="22"/>
        </w:rPr>
        <w:t>R</w:t>
      </w:r>
      <w:r w:rsidR="00B06064" w:rsidRPr="00A965B3">
        <w:rPr>
          <w:rFonts w:ascii="Avenir" w:hAnsi="Avenir"/>
          <w:b/>
          <w:bCs/>
          <w:sz w:val="22"/>
          <w:szCs w:val="22"/>
        </w:rPr>
        <w:t>etard dans le d</w:t>
      </w:r>
      <w:r w:rsidR="00B06064" w:rsidRPr="00A965B3">
        <w:rPr>
          <w:rFonts w:ascii="Avenir" w:hAnsi="Avenir" w:hint="eastAsia"/>
          <w:b/>
          <w:bCs/>
          <w:sz w:val="22"/>
          <w:szCs w:val="22"/>
        </w:rPr>
        <w:t>é</w:t>
      </w:r>
      <w:r w:rsidR="00B06064" w:rsidRPr="00A965B3">
        <w:rPr>
          <w:rFonts w:ascii="Avenir" w:hAnsi="Avenir"/>
          <w:b/>
          <w:bCs/>
          <w:sz w:val="22"/>
          <w:szCs w:val="22"/>
        </w:rPr>
        <w:t>marrage du projet</w:t>
      </w:r>
      <w:r w:rsidR="00B06064" w:rsidRPr="00A965B3">
        <w:rPr>
          <w:rFonts w:ascii="Avenir" w:hAnsi="Avenir"/>
          <w:sz w:val="22"/>
          <w:szCs w:val="22"/>
        </w:rPr>
        <w:t xml:space="preserve">. </w:t>
      </w:r>
      <w:r w:rsidR="00662AA7" w:rsidRPr="00A965B3">
        <w:rPr>
          <w:rFonts w:ascii="Avenir" w:hAnsi="Avenir"/>
          <w:sz w:val="22"/>
          <w:szCs w:val="22"/>
        </w:rPr>
        <w:t>Le projet a d</w:t>
      </w:r>
      <w:r w:rsidR="00662AA7" w:rsidRPr="00A965B3">
        <w:rPr>
          <w:rFonts w:ascii="Avenir" w:hAnsi="Avenir" w:hint="eastAsia"/>
          <w:sz w:val="22"/>
          <w:szCs w:val="22"/>
        </w:rPr>
        <w:t>é</w:t>
      </w:r>
      <w:r w:rsidR="00662AA7" w:rsidRPr="00A965B3">
        <w:rPr>
          <w:rFonts w:ascii="Avenir" w:hAnsi="Avenir"/>
          <w:sz w:val="22"/>
          <w:szCs w:val="22"/>
        </w:rPr>
        <w:t>marr</w:t>
      </w:r>
      <w:r w:rsidR="00662AA7" w:rsidRPr="00A965B3">
        <w:rPr>
          <w:rFonts w:ascii="Avenir" w:hAnsi="Avenir" w:hint="eastAsia"/>
          <w:sz w:val="22"/>
          <w:szCs w:val="22"/>
        </w:rPr>
        <w:t>é</w:t>
      </w:r>
      <w:r w:rsidR="00662AA7" w:rsidRPr="00A965B3">
        <w:rPr>
          <w:rFonts w:ascii="Avenir" w:hAnsi="Avenir"/>
          <w:sz w:val="22"/>
          <w:szCs w:val="22"/>
        </w:rPr>
        <w:t xml:space="preserve"> en </w:t>
      </w:r>
      <w:r w:rsidR="00FA2BCF" w:rsidRPr="00A965B3">
        <w:rPr>
          <w:rFonts w:ascii="Avenir" w:hAnsi="Avenir"/>
          <w:sz w:val="22"/>
          <w:szCs w:val="22"/>
        </w:rPr>
        <w:t>avril</w:t>
      </w:r>
      <w:r w:rsidR="00662AA7" w:rsidRPr="00A965B3">
        <w:rPr>
          <w:rFonts w:ascii="Avenir" w:hAnsi="Avenir"/>
          <w:sz w:val="22"/>
          <w:szCs w:val="22"/>
        </w:rPr>
        <w:t xml:space="preserve"> </w:t>
      </w:r>
      <w:r w:rsidR="00FA2BCF" w:rsidRPr="00A965B3">
        <w:rPr>
          <w:rFonts w:ascii="Avenir" w:hAnsi="Avenir"/>
          <w:sz w:val="22"/>
          <w:szCs w:val="22"/>
        </w:rPr>
        <w:t xml:space="preserve">par la tenue du </w:t>
      </w:r>
      <w:r w:rsidR="00662AA7" w:rsidRPr="00A965B3">
        <w:rPr>
          <w:rFonts w:ascii="Avenir" w:hAnsi="Avenir"/>
          <w:sz w:val="22"/>
          <w:szCs w:val="22"/>
        </w:rPr>
        <w:t>comit</w:t>
      </w:r>
      <w:r w:rsidR="00662AA7" w:rsidRPr="00A965B3">
        <w:rPr>
          <w:rFonts w:ascii="Avenir" w:hAnsi="Avenir" w:hint="eastAsia"/>
          <w:sz w:val="22"/>
          <w:szCs w:val="22"/>
        </w:rPr>
        <w:t>é</w:t>
      </w:r>
      <w:r w:rsidR="00662AA7" w:rsidRPr="00A965B3">
        <w:rPr>
          <w:rFonts w:ascii="Avenir" w:hAnsi="Avenir"/>
          <w:sz w:val="22"/>
          <w:szCs w:val="22"/>
        </w:rPr>
        <w:t xml:space="preserve"> de pilotage</w:t>
      </w:r>
      <w:r w:rsidR="00FA2BCF" w:rsidRPr="00A965B3">
        <w:rPr>
          <w:rFonts w:ascii="Avenir" w:hAnsi="Avenir"/>
          <w:sz w:val="22"/>
          <w:szCs w:val="22"/>
        </w:rPr>
        <w:t>. C</w:t>
      </w:r>
      <w:r w:rsidR="00662AA7" w:rsidRPr="00A965B3">
        <w:rPr>
          <w:rFonts w:ascii="Avenir" w:hAnsi="Avenir"/>
          <w:sz w:val="22"/>
          <w:szCs w:val="22"/>
        </w:rPr>
        <w:t>ependant, l</w:t>
      </w:r>
      <w:r w:rsidR="00A41790" w:rsidRPr="00A965B3">
        <w:rPr>
          <w:rFonts w:ascii="Avenir" w:hAnsi="Avenir"/>
          <w:sz w:val="22"/>
          <w:szCs w:val="22"/>
        </w:rPr>
        <w:t>a lourdeur dans l</w:t>
      </w:r>
      <w:r w:rsidR="00A41790" w:rsidRPr="00A965B3">
        <w:rPr>
          <w:rFonts w:ascii="Avenir" w:hAnsi="Avenir" w:hint="eastAsia"/>
          <w:sz w:val="22"/>
          <w:szCs w:val="22"/>
        </w:rPr>
        <w:t>’é</w:t>
      </w:r>
      <w:r w:rsidR="00A41790" w:rsidRPr="00A965B3">
        <w:rPr>
          <w:rFonts w:ascii="Avenir" w:hAnsi="Avenir"/>
          <w:sz w:val="22"/>
          <w:szCs w:val="22"/>
        </w:rPr>
        <w:t xml:space="preserve">laboration et le partage des documents administratifs entre les structures de mise en </w:t>
      </w:r>
      <w:r w:rsidR="00A41790" w:rsidRPr="00A965B3">
        <w:rPr>
          <w:rFonts w:ascii="Avenir" w:hAnsi="Avenir" w:hint="eastAsia"/>
          <w:sz w:val="22"/>
          <w:szCs w:val="22"/>
        </w:rPr>
        <w:t>œ</w:t>
      </w:r>
      <w:r w:rsidR="00A41790" w:rsidRPr="00A965B3">
        <w:rPr>
          <w:rFonts w:ascii="Avenir" w:hAnsi="Avenir"/>
          <w:sz w:val="22"/>
          <w:szCs w:val="22"/>
        </w:rPr>
        <w:t xml:space="preserve">uvre et le PNUD a </w:t>
      </w:r>
      <w:r w:rsidR="00A41790" w:rsidRPr="00A965B3">
        <w:rPr>
          <w:rFonts w:ascii="Avenir" w:hAnsi="Avenir" w:hint="eastAsia"/>
          <w:sz w:val="22"/>
          <w:szCs w:val="22"/>
        </w:rPr>
        <w:t>é</w:t>
      </w:r>
      <w:r w:rsidR="00A41790" w:rsidRPr="00A965B3">
        <w:rPr>
          <w:rFonts w:ascii="Avenir" w:hAnsi="Avenir"/>
          <w:sz w:val="22"/>
          <w:szCs w:val="22"/>
        </w:rPr>
        <w:t>t</w:t>
      </w:r>
      <w:r w:rsidR="00A41790" w:rsidRPr="00A965B3">
        <w:rPr>
          <w:rFonts w:ascii="Avenir" w:hAnsi="Avenir" w:hint="eastAsia"/>
          <w:sz w:val="22"/>
          <w:szCs w:val="22"/>
        </w:rPr>
        <w:t>é</w:t>
      </w:r>
      <w:r w:rsidR="00A41790" w:rsidRPr="00A965B3">
        <w:rPr>
          <w:rFonts w:ascii="Avenir" w:hAnsi="Avenir"/>
          <w:sz w:val="22"/>
          <w:szCs w:val="22"/>
        </w:rPr>
        <w:t xml:space="preserve"> en partie </w:t>
      </w:r>
      <w:r w:rsidR="00A41790" w:rsidRPr="00A965B3">
        <w:rPr>
          <w:rFonts w:ascii="Avenir" w:hAnsi="Avenir" w:hint="eastAsia"/>
          <w:sz w:val="22"/>
          <w:szCs w:val="22"/>
        </w:rPr>
        <w:t>à</w:t>
      </w:r>
      <w:r w:rsidR="00A41790" w:rsidRPr="00A965B3">
        <w:rPr>
          <w:rFonts w:ascii="Avenir" w:hAnsi="Avenir"/>
          <w:sz w:val="22"/>
          <w:szCs w:val="22"/>
        </w:rPr>
        <w:t xml:space="preserve"> la base du retard de transfert des fonds pour d</w:t>
      </w:r>
      <w:r w:rsidR="00A41790" w:rsidRPr="00A965B3">
        <w:rPr>
          <w:rFonts w:ascii="Avenir" w:hAnsi="Avenir" w:hint="eastAsia"/>
          <w:sz w:val="22"/>
          <w:szCs w:val="22"/>
        </w:rPr>
        <w:t>é</w:t>
      </w:r>
      <w:r w:rsidR="00A41790" w:rsidRPr="00A965B3">
        <w:rPr>
          <w:rFonts w:ascii="Avenir" w:hAnsi="Avenir"/>
          <w:sz w:val="22"/>
          <w:szCs w:val="22"/>
        </w:rPr>
        <w:t>marrer les activit</w:t>
      </w:r>
      <w:r w:rsidR="00A41790" w:rsidRPr="00A965B3">
        <w:rPr>
          <w:rFonts w:ascii="Avenir" w:hAnsi="Avenir" w:hint="eastAsia"/>
          <w:sz w:val="22"/>
          <w:szCs w:val="22"/>
        </w:rPr>
        <w:t>é</w:t>
      </w:r>
      <w:r w:rsidR="00A41790" w:rsidRPr="00A965B3">
        <w:rPr>
          <w:rFonts w:ascii="Avenir" w:hAnsi="Avenir"/>
          <w:sz w:val="22"/>
          <w:szCs w:val="22"/>
        </w:rPr>
        <w:t>s pr</w:t>
      </w:r>
      <w:r w:rsidR="00A41790" w:rsidRPr="00A965B3">
        <w:rPr>
          <w:rFonts w:ascii="Avenir" w:hAnsi="Avenir" w:hint="eastAsia"/>
          <w:sz w:val="22"/>
          <w:szCs w:val="22"/>
        </w:rPr>
        <w:t>é</w:t>
      </w:r>
      <w:r w:rsidR="00A41790" w:rsidRPr="00A965B3">
        <w:rPr>
          <w:rFonts w:ascii="Avenir" w:hAnsi="Avenir"/>
          <w:sz w:val="22"/>
          <w:szCs w:val="22"/>
        </w:rPr>
        <w:t>vues pour la p</w:t>
      </w:r>
      <w:r w:rsidR="00A41790" w:rsidRPr="00A965B3">
        <w:rPr>
          <w:rFonts w:ascii="Avenir" w:hAnsi="Avenir" w:hint="eastAsia"/>
          <w:sz w:val="22"/>
          <w:szCs w:val="22"/>
        </w:rPr>
        <w:t>é</w:t>
      </w:r>
      <w:r w:rsidR="00A41790" w:rsidRPr="00A965B3">
        <w:rPr>
          <w:rFonts w:ascii="Avenir" w:hAnsi="Avenir"/>
          <w:sz w:val="22"/>
          <w:szCs w:val="22"/>
        </w:rPr>
        <w:t xml:space="preserve">riode de rapportage. En effet, entre </w:t>
      </w:r>
      <w:r w:rsidR="00FA2BCF" w:rsidRPr="00A965B3">
        <w:rPr>
          <w:rFonts w:ascii="Avenir" w:hAnsi="Avenir"/>
          <w:sz w:val="22"/>
          <w:szCs w:val="22"/>
        </w:rPr>
        <w:t>avril</w:t>
      </w:r>
      <w:r w:rsidR="00A41790" w:rsidRPr="00A965B3">
        <w:rPr>
          <w:rFonts w:ascii="Avenir" w:hAnsi="Avenir"/>
          <w:sz w:val="22"/>
          <w:szCs w:val="22"/>
        </w:rPr>
        <w:t xml:space="preserve"> et </w:t>
      </w:r>
      <w:r w:rsidR="00FA2BCF" w:rsidRPr="00A965B3">
        <w:rPr>
          <w:rFonts w:ascii="Avenir" w:hAnsi="Avenir"/>
          <w:sz w:val="22"/>
          <w:szCs w:val="22"/>
        </w:rPr>
        <w:t>j</w:t>
      </w:r>
      <w:r w:rsidR="00A41790" w:rsidRPr="00A965B3">
        <w:rPr>
          <w:rFonts w:ascii="Avenir" w:hAnsi="Avenir"/>
          <w:sz w:val="22"/>
          <w:szCs w:val="22"/>
        </w:rPr>
        <w:t xml:space="preserve">uin 2025, aucune structure de mise en </w:t>
      </w:r>
      <w:r w:rsidR="00A41790" w:rsidRPr="00A965B3">
        <w:rPr>
          <w:rFonts w:ascii="Avenir" w:hAnsi="Avenir" w:hint="eastAsia"/>
          <w:sz w:val="22"/>
          <w:szCs w:val="22"/>
        </w:rPr>
        <w:t>œ</w:t>
      </w:r>
      <w:r w:rsidR="00A41790" w:rsidRPr="00A965B3">
        <w:rPr>
          <w:rFonts w:ascii="Avenir" w:hAnsi="Avenir"/>
          <w:sz w:val="22"/>
          <w:szCs w:val="22"/>
        </w:rPr>
        <w:t>uvre a re</w:t>
      </w:r>
      <w:r w:rsidR="00A41790" w:rsidRPr="00A965B3">
        <w:rPr>
          <w:rFonts w:ascii="Avenir" w:hAnsi="Avenir" w:hint="eastAsia"/>
          <w:sz w:val="22"/>
          <w:szCs w:val="22"/>
        </w:rPr>
        <w:t>ç</w:t>
      </w:r>
      <w:r w:rsidR="00A41790" w:rsidRPr="00A965B3">
        <w:rPr>
          <w:rFonts w:ascii="Avenir" w:hAnsi="Avenir"/>
          <w:sz w:val="22"/>
          <w:szCs w:val="22"/>
        </w:rPr>
        <w:t>u les fonds. Bien que certaines ont eu la possibilit</w:t>
      </w:r>
      <w:r w:rsidR="00A41790" w:rsidRPr="00A965B3">
        <w:rPr>
          <w:rFonts w:ascii="Avenir" w:hAnsi="Avenir" w:hint="eastAsia"/>
          <w:sz w:val="22"/>
          <w:szCs w:val="22"/>
        </w:rPr>
        <w:t>é</w:t>
      </w:r>
      <w:r w:rsidR="00A41790" w:rsidRPr="00A965B3">
        <w:rPr>
          <w:rFonts w:ascii="Avenir" w:hAnsi="Avenir"/>
          <w:sz w:val="22"/>
          <w:szCs w:val="22"/>
        </w:rPr>
        <w:t xml:space="preserve"> d</w:t>
      </w:r>
      <w:r w:rsidR="00A41790" w:rsidRPr="00A965B3">
        <w:rPr>
          <w:rFonts w:ascii="Avenir" w:hAnsi="Avenir" w:hint="eastAsia"/>
          <w:sz w:val="22"/>
          <w:szCs w:val="22"/>
        </w:rPr>
        <w:t>’</w:t>
      </w:r>
      <w:r w:rsidR="00A41790" w:rsidRPr="00A965B3">
        <w:rPr>
          <w:rFonts w:ascii="Avenir" w:hAnsi="Avenir"/>
          <w:sz w:val="22"/>
          <w:szCs w:val="22"/>
        </w:rPr>
        <w:t xml:space="preserve">anticiper les actions par leurs propres </w:t>
      </w:r>
      <w:r w:rsidR="00662AA7" w:rsidRPr="00A965B3">
        <w:rPr>
          <w:rFonts w:ascii="Avenir" w:hAnsi="Avenir"/>
          <w:sz w:val="22"/>
          <w:szCs w:val="22"/>
        </w:rPr>
        <w:t>moyens</w:t>
      </w:r>
      <w:r w:rsidR="00A41790" w:rsidRPr="00A965B3">
        <w:rPr>
          <w:rFonts w:ascii="Avenir" w:hAnsi="Avenir"/>
          <w:sz w:val="22"/>
          <w:szCs w:val="22"/>
        </w:rPr>
        <w:t>, d</w:t>
      </w:r>
      <w:r w:rsidR="00A41790" w:rsidRPr="00A965B3">
        <w:rPr>
          <w:rFonts w:ascii="Avenir" w:hAnsi="Avenir" w:hint="eastAsia"/>
          <w:sz w:val="22"/>
          <w:szCs w:val="22"/>
        </w:rPr>
        <w:t>’</w:t>
      </w:r>
      <w:r w:rsidR="00A41790" w:rsidRPr="00A965B3">
        <w:rPr>
          <w:rFonts w:ascii="Avenir" w:hAnsi="Avenir"/>
          <w:sz w:val="22"/>
          <w:szCs w:val="22"/>
        </w:rPr>
        <w:t>autres ont attendus le transfert pour le d</w:t>
      </w:r>
      <w:r w:rsidR="00A41790" w:rsidRPr="00A965B3">
        <w:rPr>
          <w:rFonts w:ascii="Avenir" w:hAnsi="Avenir" w:hint="eastAsia"/>
          <w:sz w:val="22"/>
          <w:szCs w:val="22"/>
        </w:rPr>
        <w:t>é</w:t>
      </w:r>
      <w:r w:rsidR="00A41790" w:rsidRPr="00A965B3">
        <w:rPr>
          <w:rFonts w:ascii="Avenir" w:hAnsi="Avenir"/>
          <w:sz w:val="22"/>
          <w:szCs w:val="22"/>
        </w:rPr>
        <w:t>marrage</w:t>
      </w:r>
      <w:r w:rsidR="00A117CC" w:rsidRPr="00A965B3">
        <w:rPr>
          <w:rFonts w:ascii="Avenir" w:hAnsi="Avenir"/>
          <w:sz w:val="22"/>
          <w:szCs w:val="22"/>
        </w:rPr>
        <w:t>, allant jusqu</w:t>
      </w:r>
      <w:r w:rsidR="00A117CC" w:rsidRPr="00A965B3">
        <w:rPr>
          <w:rFonts w:ascii="Avenir" w:hAnsi="Avenir" w:hint="eastAsia"/>
          <w:sz w:val="22"/>
          <w:szCs w:val="22"/>
        </w:rPr>
        <w:t>’</w:t>
      </w:r>
      <w:r w:rsidR="001B5976" w:rsidRPr="00A965B3">
        <w:rPr>
          <w:rFonts w:ascii="Avenir" w:hAnsi="Avenir"/>
          <w:sz w:val="22"/>
          <w:szCs w:val="22"/>
        </w:rPr>
        <w:t>en septembre</w:t>
      </w:r>
      <w:r w:rsidR="00405BD9" w:rsidRPr="00A965B3">
        <w:rPr>
          <w:rFonts w:ascii="Avenir" w:hAnsi="Avenir"/>
          <w:sz w:val="22"/>
          <w:szCs w:val="22"/>
        </w:rPr>
        <w:t xml:space="preserve"> (</w:t>
      </w:r>
      <w:r w:rsidR="001B5976" w:rsidRPr="00A965B3">
        <w:rPr>
          <w:rFonts w:ascii="Avenir" w:hAnsi="Avenir"/>
          <w:sz w:val="22"/>
          <w:szCs w:val="22"/>
        </w:rPr>
        <w:t>ITIE</w:t>
      </w:r>
      <w:r w:rsidR="00405BD9" w:rsidRPr="00A965B3">
        <w:rPr>
          <w:rFonts w:ascii="Avenir" w:hAnsi="Avenir"/>
          <w:sz w:val="22"/>
          <w:szCs w:val="22"/>
        </w:rPr>
        <w:t xml:space="preserve">) et </w:t>
      </w:r>
      <w:r w:rsidR="00FA2BCF" w:rsidRPr="00A965B3">
        <w:rPr>
          <w:rFonts w:ascii="Avenir" w:hAnsi="Avenir"/>
          <w:sz w:val="22"/>
          <w:szCs w:val="22"/>
        </w:rPr>
        <w:t>novembre</w:t>
      </w:r>
      <w:r w:rsidR="00A117CC" w:rsidRPr="00A965B3">
        <w:rPr>
          <w:rFonts w:ascii="Avenir" w:hAnsi="Avenir"/>
          <w:sz w:val="22"/>
          <w:szCs w:val="22"/>
        </w:rPr>
        <w:t xml:space="preserve"> 2025 (Mines)</w:t>
      </w:r>
      <w:r w:rsidR="00FA2BCF" w:rsidRPr="00A965B3">
        <w:rPr>
          <w:rFonts w:ascii="Avenir" w:hAnsi="Avenir"/>
          <w:sz w:val="22"/>
          <w:szCs w:val="22"/>
        </w:rPr>
        <w:t xml:space="preserve">. </w:t>
      </w:r>
      <w:r w:rsidR="00DE4813" w:rsidRPr="00A965B3">
        <w:rPr>
          <w:rFonts w:ascii="Avenir" w:hAnsi="Avenir"/>
          <w:sz w:val="22"/>
          <w:szCs w:val="22"/>
        </w:rPr>
        <w:t xml:space="preserve">Ce retard a </w:t>
      </w:r>
      <w:r w:rsidR="00B759F2" w:rsidRPr="00A965B3">
        <w:rPr>
          <w:rFonts w:ascii="Avenir" w:hAnsi="Avenir"/>
          <w:sz w:val="22"/>
          <w:szCs w:val="22"/>
        </w:rPr>
        <w:t>entra</w:t>
      </w:r>
      <w:r w:rsidR="00B759F2" w:rsidRPr="00A965B3">
        <w:rPr>
          <w:rFonts w:ascii="Avenir" w:hAnsi="Avenir" w:hint="eastAsia"/>
          <w:sz w:val="22"/>
          <w:szCs w:val="22"/>
        </w:rPr>
        <w:t>î</w:t>
      </w:r>
      <w:r w:rsidR="00B759F2" w:rsidRPr="00A965B3">
        <w:rPr>
          <w:rFonts w:ascii="Avenir" w:hAnsi="Avenir"/>
          <w:sz w:val="22"/>
          <w:szCs w:val="22"/>
        </w:rPr>
        <w:t>n</w:t>
      </w:r>
      <w:r w:rsidR="00B759F2" w:rsidRPr="00A965B3">
        <w:rPr>
          <w:rFonts w:ascii="Avenir" w:hAnsi="Avenir" w:hint="eastAsia"/>
          <w:sz w:val="22"/>
          <w:szCs w:val="22"/>
        </w:rPr>
        <w:t>é</w:t>
      </w:r>
      <w:r w:rsidR="00DE4813" w:rsidRPr="00A965B3">
        <w:rPr>
          <w:rFonts w:ascii="Avenir" w:hAnsi="Avenir"/>
          <w:sz w:val="22"/>
          <w:szCs w:val="22"/>
        </w:rPr>
        <w:t xml:space="preserve"> des cons</w:t>
      </w:r>
      <w:r w:rsidR="00DE4813" w:rsidRPr="00A965B3">
        <w:rPr>
          <w:rFonts w:ascii="Avenir" w:hAnsi="Avenir" w:hint="eastAsia"/>
          <w:sz w:val="22"/>
          <w:szCs w:val="22"/>
        </w:rPr>
        <w:t>é</w:t>
      </w:r>
      <w:r w:rsidR="00DE4813" w:rsidRPr="00A965B3">
        <w:rPr>
          <w:rFonts w:ascii="Avenir" w:hAnsi="Avenir"/>
          <w:sz w:val="22"/>
          <w:szCs w:val="22"/>
        </w:rPr>
        <w:t>quences sur la dur</w:t>
      </w:r>
      <w:r w:rsidR="00DE4813" w:rsidRPr="00A965B3">
        <w:rPr>
          <w:rFonts w:ascii="Avenir" w:hAnsi="Avenir" w:hint="eastAsia"/>
          <w:sz w:val="22"/>
          <w:szCs w:val="22"/>
        </w:rPr>
        <w:t>é</w:t>
      </w:r>
      <w:r w:rsidR="00DE4813" w:rsidRPr="00A965B3">
        <w:rPr>
          <w:rFonts w:ascii="Avenir" w:hAnsi="Avenir"/>
          <w:sz w:val="22"/>
          <w:szCs w:val="22"/>
        </w:rPr>
        <w:t>e d</w:t>
      </w:r>
      <w:r w:rsidR="00DE4813" w:rsidRPr="00A965B3">
        <w:rPr>
          <w:rFonts w:ascii="Avenir" w:hAnsi="Avenir" w:hint="eastAsia"/>
          <w:sz w:val="22"/>
          <w:szCs w:val="22"/>
        </w:rPr>
        <w:t>’</w:t>
      </w:r>
      <w:r w:rsidR="00DE4813" w:rsidRPr="00A965B3">
        <w:rPr>
          <w:rFonts w:ascii="Avenir" w:hAnsi="Avenir"/>
          <w:sz w:val="22"/>
          <w:szCs w:val="22"/>
        </w:rPr>
        <w:t>ex</w:t>
      </w:r>
      <w:r w:rsidR="00DE4813" w:rsidRPr="00A965B3">
        <w:rPr>
          <w:rFonts w:ascii="Avenir" w:hAnsi="Avenir" w:hint="eastAsia"/>
          <w:sz w:val="22"/>
          <w:szCs w:val="22"/>
        </w:rPr>
        <w:t>é</w:t>
      </w:r>
      <w:r w:rsidR="00DE4813" w:rsidRPr="00A965B3">
        <w:rPr>
          <w:rFonts w:ascii="Avenir" w:hAnsi="Avenir"/>
          <w:sz w:val="22"/>
          <w:szCs w:val="22"/>
        </w:rPr>
        <w:t>cution des activit</w:t>
      </w:r>
      <w:r w:rsidR="00DE4813" w:rsidRPr="00A965B3">
        <w:rPr>
          <w:rFonts w:ascii="Avenir" w:hAnsi="Avenir" w:hint="eastAsia"/>
          <w:sz w:val="22"/>
          <w:szCs w:val="22"/>
        </w:rPr>
        <w:t>é</w:t>
      </w:r>
      <w:r w:rsidR="00DE4813" w:rsidRPr="00A965B3">
        <w:rPr>
          <w:rFonts w:ascii="Avenir" w:hAnsi="Avenir"/>
          <w:sz w:val="22"/>
          <w:szCs w:val="22"/>
        </w:rPr>
        <w:t xml:space="preserve">s. </w:t>
      </w:r>
      <w:r w:rsidR="008E5E29" w:rsidRPr="00A965B3">
        <w:rPr>
          <w:rFonts w:ascii="Avenir" w:hAnsi="Avenir"/>
          <w:sz w:val="22"/>
          <w:szCs w:val="22"/>
        </w:rPr>
        <w:t>Des plans d’accélération ont été mis en place pour réaliser les activités dans un délai court</w:t>
      </w:r>
      <w:r w:rsidR="00DE4813" w:rsidRPr="00A965B3">
        <w:rPr>
          <w:rFonts w:ascii="Avenir" w:hAnsi="Avenir"/>
          <w:sz w:val="22"/>
          <w:szCs w:val="22"/>
        </w:rPr>
        <w:t xml:space="preserve">. </w:t>
      </w:r>
    </w:p>
    <w:p w14:paraId="1AAD6686" w14:textId="77777777" w:rsidR="009954DF" w:rsidRPr="00A965B3" w:rsidRDefault="009954DF" w:rsidP="006D79E9">
      <w:pPr>
        <w:pStyle w:val="Paragraphedeliste"/>
        <w:spacing w:before="240"/>
        <w:jc w:val="both"/>
        <w:rPr>
          <w:rFonts w:ascii="Avenir" w:hAnsi="Avenir"/>
          <w:sz w:val="22"/>
          <w:szCs w:val="22"/>
        </w:rPr>
      </w:pPr>
    </w:p>
    <w:p w14:paraId="27858CFC" w14:textId="38B8FCBE" w:rsidR="009954DF" w:rsidRPr="00A965B3" w:rsidRDefault="00662AA7" w:rsidP="00A965B3">
      <w:pPr>
        <w:pStyle w:val="Paragraphedeliste"/>
        <w:numPr>
          <w:ilvl w:val="0"/>
          <w:numId w:val="39"/>
        </w:numPr>
        <w:spacing w:before="240"/>
        <w:jc w:val="both"/>
        <w:rPr>
          <w:rFonts w:ascii="Avenir" w:hAnsi="Avenir"/>
          <w:sz w:val="22"/>
          <w:szCs w:val="22"/>
        </w:rPr>
      </w:pPr>
      <w:r w:rsidRPr="00C460FF">
        <w:rPr>
          <w:rFonts w:ascii="Avenir" w:hAnsi="Avenir"/>
          <w:b/>
          <w:bCs/>
          <w:sz w:val="22"/>
          <w:szCs w:val="22"/>
        </w:rPr>
        <w:t>Absence d</w:t>
      </w:r>
      <w:r w:rsidRPr="00C460FF">
        <w:rPr>
          <w:rFonts w:ascii="Avenir" w:hAnsi="Avenir" w:hint="eastAsia"/>
          <w:b/>
          <w:bCs/>
          <w:sz w:val="22"/>
          <w:szCs w:val="22"/>
        </w:rPr>
        <w:t>’</w:t>
      </w:r>
      <w:r w:rsidRPr="00C460FF">
        <w:rPr>
          <w:rFonts w:ascii="Avenir" w:hAnsi="Avenir"/>
          <w:b/>
          <w:bCs/>
          <w:sz w:val="22"/>
          <w:szCs w:val="22"/>
        </w:rPr>
        <w:t>arr</w:t>
      </w:r>
      <w:r w:rsidRPr="00C460FF">
        <w:rPr>
          <w:rFonts w:ascii="Avenir" w:hAnsi="Avenir" w:hint="eastAsia"/>
          <w:b/>
          <w:bCs/>
          <w:sz w:val="22"/>
          <w:szCs w:val="22"/>
        </w:rPr>
        <w:t>ê</w:t>
      </w:r>
      <w:r w:rsidRPr="00C460FF">
        <w:rPr>
          <w:rFonts w:ascii="Avenir" w:hAnsi="Avenir"/>
          <w:b/>
          <w:bCs/>
          <w:sz w:val="22"/>
          <w:szCs w:val="22"/>
        </w:rPr>
        <w:t>t</w:t>
      </w:r>
      <w:r w:rsidRPr="00C460FF">
        <w:rPr>
          <w:rFonts w:ascii="Avenir" w:hAnsi="Avenir" w:hint="eastAsia"/>
          <w:b/>
          <w:bCs/>
          <w:sz w:val="22"/>
          <w:szCs w:val="22"/>
        </w:rPr>
        <w:t>é</w:t>
      </w:r>
      <w:r w:rsidRPr="00C460FF">
        <w:rPr>
          <w:rFonts w:ascii="Avenir" w:hAnsi="Avenir"/>
          <w:b/>
          <w:bCs/>
          <w:sz w:val="22"/>
          <w:szCs w:val="22"/>
        </w:rPr>
        <w:t xml:space="preserve"> de mise en place </w:t>
      </w:r>
      <w:r w:rsidR="00BC5C78" w:rsidRPr="00C460FF">
        <w:rPr>
          <w:rFonts w:ascii="Avenir" w:hAnsi="Avenir"/>
          <w:b/>
          <w:bCs/>
          <w:sz w:val="22"/>
          <w:szCs w:val="22"/>
        </w:rPr>
        <w:t>des task-forces</w:t>
      </w:r>
      <w:r w:rsidRPr="00C460FF">
        <w:rPr>
          <w:rFonts w:ascii="Avenir" w:hAnsi="Avenir"/>
          <w:sz w:val="22"/>
          <w:szCs w:val="22"/>
        </w:rPr>
        <w:t xml:space="preserve">. </w:t>
      </w:r>
      <w:r w:rsidR="00A41790" w:rsidRPr="00C460FF">
        <w:rPr>
          <w:rFonts w:ascii="Avenir" w:hAnsi="Avenir"/>
          <w:sz w:val="22"/>
          <w:szCs w:val="22"/>
        </w:rPr>
        <w:t xml:space="preserve">Certaines </w:t>
      </w:r>
      <w:r w:rsidR="00F04B96" w:rsidRPr="00C460FF">
        <w:rPr>
          <w:rFonts w:ascii="Avenir" w:hAnsi="Avenir"/>
          <w:sz w:val="22"/>
          <w:szCs w:val="22"/>
        </w:rPr>
        <w:t xml:space="preserve">structures </w:t>
      </w:r>
      <w:r w:rsidR="00A41790" w:rsidRPr="00C460FF">
        <w:rPr>
          <w:rFonts w:ascii="Avenir" w:hAnsi="Avenir"/>
          <w:sz w:val="22"/>
          <w:szCs w:val="22"/>
        </w:rPr>
        <w:t xml:space="preserve">de mise en </w:t>
      </w:r>
      <w:r w:rsidR="00A41790" w:rsidRPr="00C460FF">
        <w:rPr>
          <w:rFonts w:ascii="Avenir" w:hAnsi="Avenir" w:hint="eastAsia"/>
          <w:sz w:val="22"/>
          <w:szCs w:val="22"/>
        </w:rPr>
        <w:t>œ</w:t>
      </w:r>
      <w:r w:rsidR="00A41790" w:rsidRPr="00C460FF">
        <w:rPr>
          <w:rFonts w:ascii="Avenir" w:hAnsi="Avenir"/>
          <w:sz w:val="22"/>
          <w:szCs w:val="22"/>
        </w:rPr>
        <w:t>uvre (Mines, Hydrocarbures) n</w:t>
      </w:r>
      <w:r w:rsidR="00A41790" w:rsidRPr="00C460FF">
        <w:rPr>
          <w:rFonts w:ascii="Avenir" w:hAnsi="Avenir" w:hint="eastAsia"/>
          <w:sz w:val="22"/>
          <w:szCs w:val="22"/>
        </w:rPr>
        <w:t>’</w:t>
      </w:r>
      <w:r w:rsidR="00A41790" w:rsidRPr="00C460FF">
        <w:rPr>
          <w:rFonts w:ascii="Avenir" w:hAnsi="Avenir"/>
          <w:sz w:val="22"/>
          <w:szCs w:val="22"/>
        </w:rPr>
        <w:t>ont pas pris l</w:t>
      </w:r>
      <w:r w:rsidR="00A41790" w:rsidRPr="00C460FF">
        <w:rPr>
          <w:rFonts w:ascii="Avenir" w:hAnsi="Avenir" w:hint="eastAsia"/>
          <w:sz w:val="22"/>
          <w:szCs w:val="22"/>
        </w:rPr>
        <w:t>’</w:t>
      </w:r>
      <w:r w:rsidR="00F04B96" w:rsidRPr="00C460FF">
        <w:rPr>
          <w:rFonts w:ascii="Avenir" w:hAnsi="Avenir"/>
          <w:sz w:val="22"/>
          <w:szCs w:val="22"/>
        </w:rPr>
        <w:t>a</w:t>
      </w:r>
      <w:r w:rsidR="00A41790" w:rsidRPr="00C460FF">
        <w:rPr>
          <w:rFonts w:ascii="Avenir" w:hAnsi="Avenir"/>
          <w:sz w:val="22"/>
          <w:szCs w:val="22"/>
        </w:rPr>
        <w:t>rr</w:t>
      </w:r>
      <w:r w:rsidR="00A41790" w:rsidRPr="00C460FF">
        <w:rPr>
          <w:rFonts w:ascii="Avenir" w:hAnsi="Avenir" w:hint="eastAsia"/>
          <w:sz w:val="22"/>
          <w:szCs w:val="22"/>
        </w:rPr>
        <w:t>ê</w:t>
      </w:r>
      <w:r w:rsidR="00A41790" w:rsidRPr="00C460FF">
        <w:rPr>
          <w:rFonts w:ascii="Avenir" w:hAnsi="Avenir"/>
          <w:sz w:val="22"/>
          <w:szCs w:val="22"/>
        </w:rPr>
        <w:t>t</w:t>
      </w:r>
      <w:r w:rsidR="00A41790" w:rsidRPr="00C460FF">
        <w:rPr>
          <w:rFonts w:ascii="Avenir" w:hAnsi="Avenir" w:hint="eastAsia"/>
          <w:sz w:val="22"/>
          <w:szCs w:val="22"/>
        </w:rPr>
        <w:t>é</w:t>
      </w:r>
      <w:r w:rsidR="00A41790" w:rsidRPr="00C460FF">
        <w:rPr>
          <w:rFonts w:ascii="Avenir" w:hAnsi="Avenir"/>
          <w:sz w:val="22"/>
          <w:szCs w:val="22"/>
        </w:rPr>
        <w:t xml:space="preserve"> de mise en place de la task-force jusqu</w:t>
      </w:r>
      <w:r w:rsidR="00A41790" w:rsidRPr="00C460FF">
        <w:rPr>
          <w:rFonts w:ascii="Avenir" w:hAnsi="Avenir" w:hint="eastAsia"/>
          <w:sz w:val="22"/>
          <w:szCs w:val="22"/>
        </w:rPr>
        <w:t>’à</w:t>
      </w:r>
      <w:r w:rsidR="00A41790" w:rsidRPr="00C460FF">
        <w:rPr>
          <w:rFonts w:ascii="Avenir" w:hAnsi="Avenir"/>
          <w:sz w:val="22"/>
          <w:szCs w:val="22"/>
        </w:rPr>
        <w:t xml:space="preserve"> la p</w:t>
      </w:r>
      <w:r w:rsidR="00A41790" w:rsidRPr="00C460FF">
        <w:rPr>
          <w:rFonts w:ascii="Avenir" w:hAnsi="Avenir" w:hint="eastAsia"/>
          <w:sz w:val="22"/>
          <w:szCs w:val="22"/>
        </w:rPr>
        <w:t>é</w:t>
      </w:r>
      <w:r w:rsidR="00A41790" w:rsidRPr="00C460FF">
        <w:rPr>
          <w:rFonts w:ascii="Avenir" w:hAnsi="Avenir"/>
          <w:sz w:val="22"/>
          <w:szCs w:val="22"/>
        </w:rPr>
        <w:t>riode de rapportage</w:t>
      </w:r>
      <w:r w:rsidR="00A117CC" w:rsidRPr="00C460FF">
        <w:rPr>
          <w:rFonts w:ascii="Avenir" w:hAnsi="Avenir"/>
          <w:sz w:val="22"/>
          <w:szCs w:val="22"/>
        </w:rPr>
        <w:t>. Cela a occasionn</w:t>
      </w:r>
      <w:r w:rsidR="00A117CC" w:rsidRPr="00C460FF">
        <w:rPr>
          <w:rFonts w:ascii="Avenir" w:hAnsi="Avenir" w:hint="eastAsia"/>
          <w:sz w:val="22"/>
          <w:szCs w:val="22"/>
        </w:rPr>
        <w:t>é</w:t>
      </w:r>
      <w:r w:rsidR="00A117CC" w:rsidRPr="00C460FF">
        <w:rPr>
          <w:rFonts w:ascii="Avenir" w:hAnsi="Avenir"/>
          <w:sz w:val="22"/>
          <w:szCs w:val="22"/>
        </w:rPr>
        <w:t xml:space="preserve"> un d</w:t>
      </w:r>
      <w:r w:rsidR="00A117CC" w:rsidRPr="00C460FF">
        <w:rPr>
          <w:rFonts w:ascii="Avenir" w:hAnsi="Avenir" w:hint="eastAsia"/>
          <w:sz w:val="22"/>
          <w:szCs w:val="22"/>
        </w:rPr>
        <w:t>é</w:t>
      </w:r>
      <w:r w:rsidR="00A117CC" w:rsidRPr="00C460FF">
        <w:rPr>
          <w:rFonts w:ascii="Avenir" w:hAnsi="Avenir"/>
          <w:sz w:val="22"/>
          <w:szCs w:val="22"/>
        </w:rPr>
        <w:t xml:space="preserve">marrage </w:t>
      </w:r>
      <w:r w:rsidR="008E5E29" w:rsidRPr="00C460FF">
        <w:rPr>
          <w:rFonts w:ascii="Avenir" w:hAnsi="Avenir"/>
          <w:sz w:val="22"/>
          <w:szCs w:val="22"/>
        </w:rPr>
        <w:t xml:space="preserve">tardif </w:t>
      </w:r>
      <w:r w:rsidR="00A117CC" w:rsidRPr="00C460FF">
        <w:rPr>
          <w:rFonts w:ascii="Avenir" w:hAnsi="Avenir"/>
          <w:sz w:val="22"/>
          <w:szCs w:val="22"/>
        </w:rPr>
        <w:t>des activit</w:t>
      </w:r>
      <w:r w:rsidR="00A117CC" w:rsidRPr="00C460FF">
        <w:rPr>
          <w:rFonts w:ascii="Avenir" w:hAnsi="Avenir" w:hint="eastAsia"/>
          <w:sz w:val="22"/>
          <w:szCs w:val="22"/>
        </w:rPr>
        <w:t>é</w:t>
      </w:r>
      <w:r w:rsidR="00A117CC" w:rsidRPr="00C460FF">
        <w:rPr>
          <w:rFonts w:ascii="Avenir" w:hAnsi="Avenir"/>
          <w:sz w:val="22"/>
          <w:szCs w:val="22"/>
        </w:rPr>
        <w:t>s (septembre 2025 pour le cas de Hydrocarbures</w:t>
      </w:r>
      <w:r w:rsidR="001B5976" w:rsidRPr="00C460FF">
        <w:rPr>
          <w:rFonts w:ascii="Avenir" w:hAnsi="Avenir"/>
          <w:sz w:val="22"/>
          <w:szCs w:val="22"/>
        </w:rPr>
        <w:t>)</w:t>
      </w:r>
      <w:r w:rsidR="00A117CC" w:rsidRPr="00C460FF">
        <w:rPr>
          <w:rFonts w:ascii="Avenir" w:hAnsi="Avenir"/>
          <w:sz w:val="22"/>
          <w:szCs w:val="22"/>
        </w:rPr>
        <w:t xml:space="preserve">. </w:t>
      </w:r>
      <w:r w:rsidR="00A965B3">
        <w:rPr>
          <w:rFonts w:ascii="Avenir" w:hAnsi="Avenir"/>
          <w:sz w:val="22"/>
          <w:szCs w:val="22"/>
        </w:rPr>
        <w:t xml:space="preserve">Une proposition de draft d’arrêté a été soumis à l’autorité par la taskforce. </w:t>
      </w:r>
    </w:p>
    <w:p w14:paraId="30DAEB46" w14:textId="649AA6EA" w:rsidR="00A34D1C" w:rsidRPr="00C460FF" w:rsidRDefault="00A34D1C" w:rsidP="00A965B3">
      <w:pPr>
        <w:pStyle w:val="Paragraphedeliste"/>
        <w:numPr>
          <w:ilvl w:val="0"/>
          <w:numId w:val="39"/>
        </w:numPr>
        <w:spacing w:before="240"/>
        <w:jc w:val="both"/>
        <w:rPr>
          <w:rFonts w:ascii="Avenir" w:hAnsi="Avenir"/>
          <w:sz w:val="22"/>
          <w:szCs w:val="22"/>
        </w:rPr>
      </w:pPr>
      <w:r w:rsidRPr="00C460FF">
        <w:rPr>
          <w:rFonts w:ascii="Avenir" w:hAnsi="Avenir"/>
          <w:b/>
          <w:bCs/>
          <w:sz w:val="22"/>
          <w:szCs w:val="22"/>
        </w:rPr>
        <w:t>Retard dans l</w:t>
      </w:r>
      <w:r w:rsidRPr="00C460FF">
        <w:rPr>
          <w:rFonts w:ascii="Avenir" w:hAnsi="Avenir" w:hint="eastAsia"/>
          <w:b/>
          <w:bCs/>
          <w:sz w:val="22"/>
          <w:szCs w:val="22"/>
        </w:rPr>
        <w:t>’</w:t>
      </w:r>
      <w:r w:rsidRPr="00C460FF">
        <w:rPr>
          <w:rFonts w:ascii="Avenir" w:hAnsi="Avenir"/>
          <w:b/>
          <w:bCs/>
          <w:sz w:val="22"/>
          <w:szCs w:val="22"/>
        </w:rPr>
        <w:t>ex</w:t>
      </w:r>
      <w:r w:rsidRPr="00C460FF">
        <w:rPr>
          <w:rFonts w:ascii="Avenir" w:hAnsi="Avenir" w:hint="eastAsia"/>
          <w:b/>
          <w:bCs/>
          <w:sz w:val="22"/>
          <w:szCs w:val="22"/>
        </w:rPr>
        <w:t>é</w:t>
      </w:r>
      <w:r w:rsidRPr="00C460FF">
        <w:rPr>
          <w:rFonts w:ascii="Avenir" w:hAnsi="Avenir"/>
          <w:b/>
          <w:bCs/>
          <w:sz w:val="22"/>
          <w:szCs w:val="22"/>
        </w:rPr>
        <w:t>cution des feuilles de route</w:t>
      </w:r>
      <w:r w:rsidRPr="00C460FF">
        <w:rPr>
          <w:rFonts w:ascii="Avenir" w:hAnsi="Avenir"/>
          <w:sz w:val="22"/>
          <w:szCs w:val="22"/>
        </w:rPr>
        <w:t xml:space="preserve">. Les feuilles de route </w:t>
      </w:r>
      <w:r w:rsidRPr="00C460FF">
        <w:rPr>
          <w:rFonts w:ascii="Avenir" w:hAnsi="Avenir" w:hint="eastAsia"/>
          <w:sz w:val="22"/>
          <w:szCs w:val="22"/>
        </w:rPr>
        <w:t>é</w:t>
      </w:r>
      <w:r w:rsidRPr="00C460FF">
        <w:rPr>
          <w:rFonts w:ascii="Avenir" w:hAnsi="Avenir"/>
          <w:sz w:val="22"/>
          <w:szCs w:val="22"/>
        </w:rPr>
        <w:t>labor</w:t>
      </w:r>
      <w:r w:rsidRPr="00C460FF">
        <w:rPr>
          <w:rFonts w:ascii="Avenir" w:hAnsi="Avenir" w:hint="eastAsia"/>
          <w:sz w:val="22"/>
          <w:szCs w:val="22"/>
        </w:rPr>
        <w:t>é</w:t>
      </w:r>
      <w:r w:rsidRPr="00C460FF">
        <w:rPr>
          <w:rFonts w:ascii="Avenir" w:hAnsi="Avenir"/>
          <w:sz w:val="22"/>
          <w:szCs w:val="22"/>
        </w:rPr>
        <w:t>es au d</w:t>
      </w:r>
      <w:r w:rsidRPr="00C460FF">
        <w:rPr>
          <w:rFonts w:ascii="Avenir" w:hAnsi="Avenir" w:hint="eastAsia"/>
          <w:sz w:val="22"/>
          <w:szCs w:val="22"/>
        </w:rPr>
        <w:t>é</w:t>
      </w:r>
      <w:r w:rsidRPr="00C460FF">
        <w:rPr>
          <w:rFonts w:ascii="Avenir" w:hAnsi="Avenir"/>
          <w:sz w:val="22"/>
          <w:szCs w:val="22"/>
        </w:rPr>
        <w:t>but du projet n</w:t>
      </w:r>
      <w:r w:rsidRPr="00C460FF">
        <w:rPr>
          <w:rFonts w:ascii="Avenir" w:hAnsi="Avenir" w:hint="eastAsia"/>
          <w:sz w:val="22"/>
          <w:szCs w:val="22"/>
        </w:rPr>
        <w:t>’</w:t>
      </w:r>
      <w:r w:rsidRPr="00C460FF">
        <w:rPr>
          <w:rFonts w:ascii="Avenir" w:hAnsi="Avenir"/>
          <w:sz w:val="22"/>
          <w:szCs w:val="22"/>
        </w:rPr>
        <w:t xml:space="preserve">ont pas </w:t>
      </w:r>
      <w:r w:rsidRPr="00C460FF">
        <w:rPr>
          <w:rFonts w:ascii="Avenir" w:hAnsi="Avenir" w:hint="eastAsia"/>
          <w:sz w:val="22"/>
          <w:szCs w:val="22"/>
        </w:rPr>
        <w:t>é</w:t>
      </w:r>
      <w:r w:rsidRPr="00C460FF">
        <w:rPr>
          <w:rFonts w:ascii="Avenir" w:hAnsi="Avenir"/>
          <w:sz w:val="22"/>
          <w:szCs w:val="22"/>
        </w:rPr>
        <w:t>t</w:t>
      </w:r>
      <w:r w:rsidRPr="00C460FF">
        <w:rPr>
          <w:rFonts w:ascii="Avenir" w:hAnsi="Avenir" w:hint="eastAsia"/>
          <w:sz w:val="22"/>
          <w:szCs w:val="22"/>
        </w:rPr>
        <w:t>é</w:t>
      </w:r>
      <w:r w:rsidRPr="00C460FF">
        <w:rPr>
          <w:rFonts w:ascii="Avenir" w:hAnsi="Avenir"/>
          <w:sz w:val="22"/>
          <w:szCs w:val="22"/>
        </w:rPr>
        <w:t xml:space="preserve"> respect</w:t>
      </w:r>
      <w:r w:rsidRPr="00C460FF">
        <w:rPr>
          <w:rFonts w:ascii="Avenir" w:hAnsi="Avenir" w:hint="eastAsia"/>
          <w:sz w:val="22"/>
          <w:szCs w:val="22"/>
        </w:rPr>
        <w:t>é</w:t>
      </w:r>
      <w:r w:rsidRPr="00C460FF">
        <w:rPr>
          <w:rFonts w:ascii="Avenir" w:hAnsi="Avenir"/>
          <w:sz w:val="22"/>
          <w:szCs w:val="22"/>
        </w:rPr>
        <w:t>es pour la majorit</w:t>
      </w:r>
      <w:r w:rsidRPr="00C460FF">
        <w:rPr>
          <w:rFonts w:ascii="Avenir" w:hAnsi="Avenir" w:hint="eastAsia"/>
          <w:sz w:val="22"/>
          <w:szCs w:val="22"/>
        </w:rPr>
        <w:t>é</w:t>
      </w:r>
      <w:r w:rsidRPr="00C460FF">
        <w:rPr>
          <w:rFonts w:ascii="Avenir" w:hAnsi="Avenir"/>
          <w:sz w:val="22"/>
          <w:szCs w:val="22"/>
        </w:rPr>
        <w:t xml:space="preserve"> des task-forces. D</w:t>
      </w:r>
      <w:r w:rsidRPr="00C460FF">
        <w:rPr>
          <w:rFonts w:ascii="Avenir" w:hAnsi="Avenir" w:hint="eastAsia"/>
          <w:sz w:val="22"/>
          <w:szCs w:val="22"/>
        </w:rPr>
        <w:t>’</w:t>
      </w:r>
      <w:r w:rsidRPr="00C460FF">
        <w:rPr>
          <w:rFonts w:ascii="Avenir" w:hAnsi="Avenir"/>
          <w:sz w:val="22"/>
          <w:szCs w:val="22"/>
        </w:rPr>
        <w:t>une part certains membres de la task-force disposent d</w:t>
      </w:r>
      <w:r w:rsidRPr="00C460FF">
        <w:rPr>
          <w:rFonts w:ascii="Avenir" w:hAnsi="Avenir" w:hint="eastAsia"/>
          <w:sz w:val="22"/>
          <w:szCs w:val="22"/>
        </w:rPr>
        <w:t>’</w:t>
      </w:r>
      <w:r w:rsidRPr="00C460FF">
        <w:rPr>
          <w:rFonts w:ascii="Avenir" w:hAnsi="Avenir"/>
          <w:sz w:val="22"/>
          <w:szCs w:val="22"/>
        </w:rPr>
        <w:t>autres responsabilit</w:t>
      </w:r>
      <w:r w:rsidRPr="00C460FF">
        <w:rPr>
          <w:rFonts w:ascii="Avenir" w:hAnsi="Avenir" w:hint="eastAsia"/>
          <w:sz w:val="22"/>
          <w:szCs w:val="22"/>
        </w:rPr>
        <w:t>é</w:t>
      </w:r>
      <w:r w:rsidRPr="00C460FF">
        <w:rPr>
          <w:rFonts w:ascii="Avenir" w:hAnsi="Avenir"/>
          <w:sz w:val="22"/>
          <w:szCs w:val="22"/>
        </w:rPr>
        <w:t>s ou sont align</w:t>
      </w:r>
      <w:r w:rsidRPr="00C460FF">
        <w:rPr>
          <w:rFonts w:ascii="Avenir" w:hAnsi="Avenir" w:hint="eastAsia"/>
          <w:sz w:val="22"/>
          <w:szCs w:val="22"/>
        </w:rPr>
        <w:t>é</w:t>
      </w:r>
      <w:r w:rsidRPr="00C460FF">
        <w:rPr>
          <w:rFonts w:ascii="Avenir" w:hAnsi="Avenir"/>
          <w:sz w:val="22"/>
          <w:szCs w:val="22"/>
        </w:rPr>
        <w:t>es sur d</w:t>
      </w:r>
      <w:r w:rsidRPr="00C460FF">
        <w:rPr>
          <w:rFonts w:ascii="Avenir" w:hAnsi="Avenir" w:hint="eastAsia"/>
          <w:sz w:val="22"/>
          <w:szCs w:val="22"/>
        </w:rPr>
        <w:t>’</w:t>
      </w:r>
      <w:r w:rsidRPr="00C460FF">
        <w:rPr>
          <w:rFonts w:ascii="Avenir" w:hAnsi="Avenir"/>
          <w:sz w:val="22"/>
          <w:szCs w:val="22"/>
        </w:rPr>
        <w:t>autres missions qui les emp</w:t>
      </w:r>
      <w:r w:rsidRPr="00C460FF">
        <w:rPr>
          <w:rFonts w:ascii="Avenir" w:hAnsi="Avenir" w:hint="eastAsia"/>
          <w:sz w:val="22"/>
          <w:szCs w:val="22"/>
        </w:rPr>
        <w:t>ê</w:t>
      </w:r>
      <w:r w:rsidRPr="00C460FF">
        <w:rPr>
          <w:rFonts w:ascii="Avenir" w:hAnsi="Avenir"/>
          <w:sz w:val="22"/>
          <w:szCs w:val="22"/>
        </w:rPr>
        <w:t>chent</w:t>
      </w:r>
      <w:r w:rsidR="00C95678" w:rsidRPr="00C460FF">
        <w:rPr>
          <w:rFonts w:ascii="Avenir" w:hAnsi="Avenir"/>
          <w:sz w:val="22"/>
          <w:szCs w:val="22"/>
        </w:rPr>
        <w:t xml:space="preserve"> d</w:t>
      </w:r>
      <w:r w:rsidR="00C95678" w:rsidRPr="00C460FF">
        <w:rPr>
          <w:rFonts w:ascii="Avenir" w:hAnsi="Avenir" w:hint="eastAsia"/>
          <w:sz w:val="22"/>
          <w:szCs w:val="22"/>
        </w:rPr>
        <w:t>’</w:t>
      </w:r>
      <w:r w:rsidR="00C95678" w:rsidRPr="00C460FF">
        <w:rPr>
          <w:rFonts w:ascii="Avenir" w:hAnsi="Avenir"/>
          <w:sz w:val="22"/>
          <w:szCs w:val="22"/>
        </w:rPr>
        <w:t xml:space="preserve">avoir une implication totale </w:t>
      </w:r>
      <w:r w:rsidR="008E5E29" w:rsidRPr="00C460FF">
        <w:rPr>
          <w:rFonts w:ascii="Avenir" w:hAnsi="Avenir"/>
          <w:sz w:val="22"/>
          <w:szCs w:val="22"/>
        </w:rPr>
        <w:t xml:space="preserve">dans le </w:t>
      </w:r>
      <w:r w:rsidR="00C95678" w:rsidRPr="00C460FF">
        <w:rPr>
          <w:rFonts w:ascii="Avenir" w:hAnsi="Avenir"/>
          <w:sz w:val="22"/>
          <w:szCs w:val="22"/>
        </w:rPr>
        <w:t>projet. D</w:t>
      </w:r>
      <w:r w:rsidR="00C95678" w:rsidRPr="00C460FF">
        <w:rPr>
          <w:rFonts w:ascii="Avenir" w:hAnsi="Avenir" w:hint="eastAsia"/>
          <w:sz w:val="22"/>
          <w:szCs w:val="22"/>
        </w:rPr>
        <w:t>’</w:t>
      </w:r>
      <w:r w:rsidR="00C95678" w:rsidRPr="00C460FF">
        <w:rPr>
          <w:rFonts w:ascii="Avenir" w:hAnsi="Avenir"/>
          <w:sz w:val="22"/>
          <w:szCs w:val="22"/>
        </w:rPr>
        <w:t>autre part, certaines activit</w:t>
      </w:r>
      <w:r w:rsidR="00C95678" w:rsidRPr="00C460FF">
        <w:rPr>
          <w:rFonts w:ascii="Avenir" w:hAnsi="Avenir" w:hint="eastAsia"/>
          <w:sz w:val="22"/>
          <w:szCs w:val="22"/>
        </w:rPr>
        <w:t>é</w:t>
      </w:r>
      <w:r w:rsidR="00C95678" w:rsidRPr="00C460FF">
        <w:rPr>
          <w:rFonts w:ascii="Avenir" w:hAnsi="Avenir"/>
          <w:sz w:val="22"/>
          <w:szCs w:val="22"/>
        </w:rPr>
        <w:t>s exigent la prise d</w:t>
      </w:r>
      <w:r w:rsidR="00C95678" w:rsidRPr="00C460FF">
        <w:rPr>
          <w:rFonts w:ascii="Avenir" w:hAnsi="Avenir" w:hint="eastAsia"/>
          <w:sz w:val="22"/>
          <w:szCs w:val="22"/>
        </w:rPr>
        <w:t>’</w:t>
      </w:r>
      <w:r w:rsidR="00C95678" w:rsidRPr="00C460FF">
        <w:rPr>
          <w:rFonts w:ascii="Avenir" w:hAnsi="Avenir"/>
          <w:sz w:val="22"/>
          <w:szCs w:val="22"/>
        </w:rPr>
        <w:t>acte</w:t>
      </w:r>
      <w:r w:rsidR="001B5976" w:rsidRPr="00C460FF">
        <w:rPr>
          <w:rFonts w:ascii="Avenir" w:hAnsi="Avenir"/>
          <w:sz w:val="22"/>
          <w:szCs w:val="22"/>
        </w:rPr>
        <w:t>s</w:t>
      </w:r>
      <w:r w:rsidR="00C95678" w:rsidRPr="00C460FF">
        <w:rPr>
          <w:rFonts w:ascii="Avenir" w:hAnsi="Avenir"/>
          <w:sz w:val="22"/>
          <w:szCs w:val="22"/>
        </w:rPr>
        <w:t xml:space="preserve"> juridiques</w:t>
      </w:r>
      <w:r w:rsidR="00CF7557" w:rsidRPr="00C460FF">
        <w:rPr>
          <w:rStyle w:val="Appelnotedebasdep"/>
          <w:rFonts w:ascii="Avenir" w:hAnsi="Avenir"/>
          <w:sz w:val="22"/>
          <w:szCs w:val="22"/>
        </w:rPr>
        <w:footnoteReference w:id="4"/>
      </w:r>
      <w:r w:rsidR="00C95678" w:rsidRPr="00C460FF">
        <w:rPr>
          <w:rFonts w:ascii="Avenir" w:hAnsi="Avenir"/>
          <w:sz w:val="22"/>
          <w:szCs w:val="22"/>
        </w:rPr>
        <w:t xml:space="preserve"> qui demandent l</w:t>
      </w:r>
      <w:r w:rsidR="00C95678" w:rsidRPr="00C460FF">
        <w:rPr>
          <w:rFonts w:ascii="Avenir" w:hAnsi="Avenir" w:hint="eastAsia"/>
          <w:sz w:val="22"/>
          <w:szCs w:val="22"/>
        </w:rPr>
        <w:t>’</w:t>
      </w:r>
      <w:r w:rsidR="00C95678" w:rsidRPr="00C460FF">
        <w:rPr>
          <w:rFonts w:ascii="Avenir" w:hAnsi="Avenir"/>
          <w:sz w:val="22"/>
          <w:szCs w:val="22"/>
        </w:rPr>
        <w:t>implication des autorit</w:t>
      </w:r>
      <w:r w:rsidR="00C95678" w:rsidRPr="00C460FF">
        <w:rPr>
          <w:rFonts w:ascii="Avenir" w:hAnsi="Avenir" w:hint="eastAsia"/>
          <w:sz w:val="22"/>
          <w:szCs w:val="22"/>
        </w:rPr>
        <w:t>é</w:t>
      </w:r>
      <w:r w:rsidR="00C95678" w:rsidRPr="00C460FF">
        <w:rPr>
          <w:rFonts w:ascii="Avenir" w:hAnsi="Avenir"/>
          <w:sz w:val="22"/>
          <w:szCs w:val="22"/>
        </w:rPr>
        <w:t>s politiques (d</w:t>
      </w:r>
      <w:r w:rsidR="00C95678" w:rsidRPr="00C460FF">
        <w:rPr>
          <w:rFonts w:ascii="Avenir" w:hAnsi="Avenir" w:hint="eastAsia"/>
          <w:sz w:val="22"/>
          <w:szCs w:val="22"/>
        </w:rPr>
        <w:t>é</w:t>
      </w:r>
      <w:r w:rsidR="00C95678" w:rsidRPr="00C460FF">
        <w:rPr>
          <w:rFonts w:ascii="Avenir" w:hAnsi="Avenir"/>
          <w:sz w:val="22"/>
          <w:szCs w:val="22"/>
        </w:rPr>
        <w:t>cret, arr</w:t>
      </w:r>
      <w:r w:rsidR="00C95678" w:rsidRPr="00C460FF">
        <w:rPr>
          <w:rFonts w:ascii="Avenir" w:hAnsi="Avenir" w:hint="eastAsia"/>
          <w:sz w:val="22"/>
          <w:szCs w:val="22"/>
        </w:rPr>
        <w:t>ê</w:t>
      </w:r>
      <w:r w:rsidR="00C95678" w:rsidRPr="00C460FF">
        <w:rPr>
          <w:rFonts w:ascii="Avenir" w:hAnsi="Avenir"/>
          <w:sz w:val="22"/>
          <w:szCs w:val="22"/>
        </w:rPr>
        <w:t>t</w:t>
      </w:r>
      <w:r w:rsidR="00C95678" w:rsidRPr="00C460FF">
        <w:rPr>
          <w:rFonts w:ascii="Avenir" w:hAnsi="Avenir" w:hint="eastAsia"/>
          <w:sz w:val="22"/>
          <w:szCs w:val="22"/>
        </w:rPr>
        <w:t>é</w:t>
      </w:r>
      <w:r w:rsidR="00C95678" w:rsidRPr="00C460FF">
        <w:rPr>
          <w:rFonts w:ascii="Avenir" w:hAnsi="Avenir"/>
          <w:sz w:val="22"/>
          <w:szCs w:val="22"/>
        </w:rPr>
        <w:t xml:space="preserve">, </w:t>
      </w:r>
      <w:r w:rsidR="00C95678" w:rsidRPr="00C460FF">
        <w:rPr>
          <w:rFonts w:ascii="Avenir" w:hAnsi="Avenir" w:hint="eastAsia"/>
          <w:sz w:val="22"/>
          <w:szCs w:val="22"/>
        </w:rPr>
        <w:t>é</w:t>
      </w:r>
      <w:r w:rsidR="00C95678" w:rsidRPr="00C460FF">
        <w:rPr>
          <w:rFonts w:ascii="Avenir" w:hAnsi="Avenir"/>
          <w:sz w:val="22"/>
          <w:szCs w:val="22"/>
        </w:rPr>
        <w:t>laboration des politiques)</w:t>
      </w:r>
      <w:r w:rsidRPr="00C460FF">
        <w:rPr>
          <w:rFonts w:ascii="Avenir" w:hAnsi="Avenir"/>
          <w:sz w:val="22"/>
          <w:szCs w:val="22"/>
        </w:rPr>
        <w:t>.</w:t>
      </w:r>
      <w:r w:rsidR="00C95678" w:rsidRPr="00C460FF">
        <w:rPr>
          <w:rFonts w:ascii="Avenir" w:hAnsi="Avenir"/>
          <w:sz w:val="22"/>
          <w:szCs w:val="22"/>
        </w:rPr>
        <w:t xml:space="preserve"> Le retard dans la prise de ces actes, rallonge la p</w:t>
      </w:r>
      <w:r w:rsidR="00C95678" w:rsidRPr="00C460FF">
        <w:rPr>
          <w:rFonts w:ascii="Avenir" w:hAnsi="Avenir" w:hint="eastAsia"/>
          <w:sz w:val="22"/>
          <w:szCs w:val="22"/>
        </w:rPr>
        <w:t>é</w:t>
      </w:r>
      <w:r w:rsidR="00C95678" w:rsidRPr="00C460FF">
        <w:rPr>
          <w:rFonts w:ascii="Avenir" w:hAnsi="Avenir"/>
          <w:sz w:val="22"/>
          <w:szCs w:val="22"/>
        </w:rPr>
        <w:t xml:space="preserve">riode de mise en </w:t>
      </w:r>
      <w:r w:rsidR="00C95678" w:rsidRPr="00C460FF">
        <w:rPr>
          <w:rFonts w:ascii="Avenir" w:hAnsi="Avenir" w:hint="eastAsia"/>
          <w:sz w:val="22"/>
          <w:szCs w:val="22"/>
        </w:rPr>
        <w:t>œ</w:t>
      </w:r>
      <w:r w:rsidR="00C95678" w:rsidRPr="00C460FF">
        <w:rPr>
          <w:rFonts w:ascii="Avenir" w:hAnsi="Avenir"/>
          <w:sz w:val="22"/>
          <w:szCs w:val="22"/>
        </w:rPr>
        <w:t>uvre d</w:t>
      </w:r>
      <w:r w:rsidR="00C95678" w:rsidRPr="00C460FF">
        <w:rPr>
          <w:rFonts w:ascii="Avenir" w:hAnsi="Avenir" w:hint="eastAsia"/>
          <w:sz w:val="22"/>
          <w:szCs w:val="22"/>
        </w:rPr>
        <w:t>’</w:t>
      </w:r>
      <w:r w:rsidR="00C95678" w:rsidRPr="00C460FF">
        <w:rPr>
          <w:rFonts w:ascii="Avenir" w:hAnsi="Avenir"/>
          <w:sz w:val="22"/>
          <w:szCs w:val="22"/>
        </w:rPr>
        <w:t>autres activit</w:t>
      </w:r>
      <w:r w:rsidR="00C95678" w:rsidRPr="00C460FF">
        <w:rPr>
          <w:rFonts w:ascii="Avenir" w:hAnsi="Avenir" w:hint="eastAsia"/>
          <w:sz w:val="22"/>
          <w:szCs w:val="22"/>
        </w:rPr>
        <w:t>é</w:t>
      </w:r>
      <w:r w:rsidR="00C95678" w:rsidRPr="00C460FF">
        <w:rPr>
          <w:rFonts w:ascii="Avenir" w:hAnsi="Avenir"/>
          <w:sz w:val="22"/>
          <w:szCs w:val="22"/>
        </w:rPr>
        <w:t>s qui en d</w:t>
      </w:r>
      <w:r w:rsidR="00C95678" w:rsidRPr="00C460FF">
        <w:rPr>
          <w:rFonts w:ascii="Avenir" w:hAnsi="Avenir" w:hint="eastAsia"/>
          <w:sz w:val="22"/>
          <w:szCs w:val="22"/>
        </w:rPr>
        <w:t>é</w:t>
      </w:r>
      <w:r w:rsidR="00C95678" w:rsidRPr="00C460FF">
        <w:rPr>
          <w:rFonts w:ascii="Avenir" w:hAnsi="Avenir"/>
          <w:sz w:val="22"/>
          <w:szCs w:val="22"/>
        </w:rPr>
        <w:t>pendent.</w:t>
      </w:r>
      <w:r w:rsidRPr="00C460FF">
        <w:rPr>
          <w:rFonts w:ascii="Avenir" w:hAnsi="Avenir"/>
          <w:sz w:val="22"/>
          <w:szCs w:val="22"/>
        </w:rPr>
        <w:t xml:space="preserve"> </w:t>
      </w:r>
      <w:r w:rsidR="00A965B3">
        <w:rPr>
          <w:rFonts w:ascii="Avenir" w:hAnsi="Avenir"/>
          <w:sz w:val="22"/>
          <w:szCs w:val="22"/>
        </w:rPr>
        <w:t xml:space="preserve">Les dossiers techniques ont été préparés (modules de formation, projet de document) et le plaidoyer renforcé auprès des autorités. </w:t>
      </w:r>
    </w:p>
    <w:p w14:paraId="096A9ED8" w14:textId="7A01CD52" w:rsidR="005624CA" w:rsidRPr="00C460FF" w:rsidRDefault="005624CA" w:rsidP="00A965B3">
      <w:pPr>
        <w:pStyle w:val="Paragraphedeliste"/>
        <w:numPr>
          <w:ilvl w:val="0"/>
          <w:numId w:val="39"/>
        </w:numPr>
        <w:spacing w:before="240"/>
        <w:jc w:val="both"/>
        <w:rPr>
          <w:rFonts w:ascii="Avenir" w:hAnsi="Avenir"/>
          <w:sz w:val="22"/>
          <w:szCs w:val="22"/>
        </w:rPr>
      </w:pPr>
      <w:r w:rsidRPr="00C460FF">
        <w:rPr>
          <w:rFonts w:ascii="Avenir" w:hAnsi="Avenir"/>
          <w:b/>
          <w:bCs/>
          <w:sz w:val="22"/>
          <w:szCs w:val="22"/>
        </w:rPr>
        <w:t>Fonds insuffisants pour certaines activit</w:t>
      </w:r>
      <w:r w:rsidRPr="00C460FF">
        <w:rPr>
          <w:rFonts w:ascii="Avenir" w:hAnsi="Avenir" w:hint="eastAsia"/>
          <w:b/>
          <w:bCs/>
          <w:sz w:val="22"/>
          <w:szCs w:val="22"/>
        </w:rPr>
        <w:t>é</w:t>
      </w:r>
      <w:r w:rsidRPr="00C460FF">
        <w:rPr>
          <w:rFonts w:ascii="Avenir" w:hAnsi="Avenir"/>
          <w:b/>
          <w:bCs/>
          <w:sz w:val="22"/>
          <w:szCs w:val="22"/>
        </w:rPr>
        <w:t>s</w:t>
      </w:r>
      <w:r w:rsidRPr="00C460FF">
        <w:rPr>
          <w:rFonts w:ascii="Avenir" w:hAnsi="Avenir"/>
          <w:sz w:val="22"/>
          <w:szCs w:val="22"/>
        </w:rPr>
        <w:t xml:space="preserve">. Dans la mise en </w:t>
      </w:r>
      <w:r w:rsidRPr="00C460FF">
        <w:rPr>
          <w:rFonts w:ascii="Avenir" w:hAnsi="Avenir" w:hint="eastAsia"/>
          <w:sz w:val="22"/>
          <w:szCs w:val="22"/>
        </w:rPr>
        <w:t>œ</w:t>
      </w:r>
      <w:r w:rsidRPr="00C460FF">
        <w:rPr>
          <w:rFonts w:ascii="Avenir" w:hAnsi="Avenir"/>
          <w:sz w:val="22"/>
          <w:szCs w:val="22"/>
        </w:rPr>
        <w:t>uvre de certaines activit</w:t>
      </w:r>
      <w:r w:rsidRPr="00C460FF">
        <w:rPr>
          <w:rFonts w:ascii="Avenir" w:hAnsi="Avenir" w:hint="eastAsia"/>
          <w:sz w:val="22"/>
          <w:szCs w:val="22"/>
        </w:rPr>
        <w:t>é</w:t>
      </w:r>
      <w:r w:rsidRPr="00C460FF">
        <w:rPr>
          <w:rFonts w:ascii="Avenir" w:hAnsi="Avenir"/>
          <w:sz w:val="22"/>
          <w:szCs w:val="22"/>
        </w:rPr>
        <w:t xml:space="preserve">s comme les </w:t>
      </w:r>
      <w:r w:rsidRPr="00C460FF">
        <w:rPr>
          <w:rFonts w:ascii="Avenir" w:hAnsi="Avenir" w:hint="eastAsia"/>
          <w:sz w:val="22"/>
          <w:szCs w:val="22"/>
        </w:rPr>
        <w:t>é</w:t>
      </w:r>
      <w:r w:rsidRPr="00C460FF">
        <w:rPr>
          <w:rFonts w:ascii="Avenir" w:hAnsi="Avenir"/>
          <w:sz w:val="22"/>
          <w:szCs w:val="22"/>
        </w:rPr>
        <w:t xml:space="preserve">tudes de diagnostics, les consultations provinciales </w:t>
      </w:r>
      <w:r w:rsidR="00DE4813" w:rsidRPr="00C460FF">
        <w:rPr>
          <w:rFonts w:ascii="Avenir" w:hAnsi="Avenir"/>
          <w:sz w:val="22"/>
          <w:szCs w:val="22"/>
        </w:rPr>
        <w:t>au cours des</w:t>
      </w:r>
      <w:r w:rsidRPr="00C460FF">
        <w:rPr>
          <w:rFonts w:ascii="Avenir" w:hAnsi="Avenir"/>
          <w:sz w:val="22"/>
          <w:szCs w:val="22"/>
        </w:rPr>
        <w:t xml:space="preserve"> processus d</w:t>
      </w:r>
      <w:r w:rsidRPr="00C460FF">
        <w:rPr>
          <w:rFonts w:ascii="Avenir" w:hAnsi="Avenir" w:hint="eastAsia"/>
          <w:sz w:val="22"/>
          <w:szCs w:val="22"/>
        </w:rPr>
        <w:t>’é</w:t>
      </w:r>
      <w:r w:rsidRPr="00C460FF">
        <w:rPr>
          <w:rFonts w:ascii="Avenir" w:hAnsi="Avenir"/>
          <w:sz w:val="22"/>
          <w:szCs w:val="22"/>
        </w:rPr>
        <w:t>laboration des politiques</w:t>
      </w:r>
      <w:r w:rsidR="00CF7557" w:rsidRPr="00C460FF">
        <w:rPr>
          <w:rFonts w:ascii="Avenir" w:hAnsi="Avenir"/>
          <w:sz w:val="22"/>
          <w:szCs w:val="22"/>
        </w:rPr>
        <w:t xml:space="preserve"> (cas de PNP, PFN)</w:t>
      </w:r>
      <w:r w:rsidRPr="00C460FF">
        <w:rPr>
          <w:rFonts w:ascii="Avenir" w:hAnsi="Avenir"/>
          <w:sz w:val="22"/>
          <w:szCs w:val="22"/>
        </w:rPr>
        <w:t xml:space="preserve">, </w:t>
      </w:r>
      <w:r w:rsidR="00DE4813" w:rsidRPr="00C460FF">
        <w:rPr>
          <w:rFonts w:ascii="Avenir" w:hAnsi="Avenir"/>
          <w:sz w:val="22"/>
          <w:szCs w:val="22"/>
        </w:rPr>
        <w:t>les fonds allou</w:t>
      </w:r>
      <w:r w:rsidR="00DE4813" w:rsidRPr="00C460FF">
        <w:rPr>
          <w:rFonts w:ascii="Avenir" w:hAnsi="Avenir" w:hint="eastAsia"/>
          <w:sz w:val="22"/>
          <w:szCs w:val="22"/>
        </w:rPr>
        <w:t>é</w:t>
      </w:r>
      <w:r w:rsidR="00DE4813" w:rsidRPr="00C460FF">
        <w:rPr>
          <w:rFonts w:ascii="Avenir" w:hAnsi="Avenir"/>
          <w:sz w:val="22"/>
          <w:szCs w:val="22"/>
        </w:rPr>
        <w:t>s par le projet n</w:t>
      </w:r>
      <w:r w:rsidR="00DE4813" w:rsidRPr="00C460FF">
        <w:rPr>
          <w:rFonts w:ascii="Avenir" w:hAnsi="Avenir" w:hint="eastAsia"/>
          <w:sz w:val="22"/>
          <w:szCs w:val="22"/>
        </w:rPr>
        <w:t>’</w:t>
      </w:r>
      <w:r w:rsidR="00DE4813" w:rsidRPr="00C460FF">
        <w:rPr>
          <w:rFonts w:ascii="Avenir" w:hAnsi="Avenir"/>
          <w:sz w:val="22"/>
          <w:szCs w:val="22"/>
        </w:rPr>
        <w:t xml:space="preserve">ont pas </w:t>
      </w:r>
      <w:r w:rsidR="00DE4813" w:rsidRPr="00C460FF">
        <w:rPr>
          <w:rFonts w:ascii="Avenir" w:hAnsi="Avenir" w:hint="eastAsia"/>
          <w:sz w:val="22"/>
          <w:szCs w:val="22"/>
        </w:rPr>
        <w:t>é</w:t>
      </w:r>
      <w:r w:rsidR="00DE4813" w:rsidRPr="00C460FF">
        <w:rPr>
          <w:rFonts w:ascii="Avenir" w:hAnsi="Avenir"/>
          <w:sz w:val="22"/>
          <w:szCs w:val="22"/>
        </w:rPr>
        <w:t>t</w:t>
      </w:r>
      <w:r w:rsidR="00DE4813" w:rsidRPr="00C460FF">
        <w:rPr>
          <w:rFonts w:ascii="Avenir" w:hAnsi="Avenir" w:hint="eastAsia"/>
          <w:sz w:val="22"/>
          <w:szCs w:val="22"/>
        </w:rPr>
        <w:t>é</w:t>
      </w:r>
      <w:r w:rsidR="00DE4813" w:rsidRPr="00C460FF">
        <w:rPr>
          <w:rFonts w:ascii="Avenir" w:hAnsi="Avenir"/>
          <w:sz w:val="22"/>
          <w:szCs w:val="22"/>
        </w:rPr>
        <w:t xml:space="preserve"> suffisants. Pour y faire face, les entit</w:t>
      </w:r>
      <w:r w:rsidR="00DE4813" w:rsidRPr="00C460FF">
        <w:rPr>
          <w:rFonts w:ascii="Avenir" w:hAnsi="Avenir" w:hint="eastAsia"/>
          <w:sz w:val="22"/>
          <w:szCs w:val="22"/>
        </w:rPr>
        <w:t>é</w:t>
      </w:r>
      <w:r w:rsidR="00DE4813" w:rsidRPr="00C460FF">
        <w:rPr>
          <w:rFonts w:ascii="Avenir" w:hAnsi="Avenir"/>
          <w:sz w:val="22"/>
          <w:szCs w:val="22"/>
        </w:rPr>
        <w:t>s ont soit s</w:t>
      </w:r>
      <w:r w:rsidR="00DE4813" w:rsidRPr="00C460FF">
        <w:rPr>
          <w:rFonts w:ascii="Avenir" w:hAnsi="Avenir" w:hint="eastAsia"/>
          <w:sz w:val="22"/>
          <w:szCs w:val="22"/>
        </w:rPr>
        <w:t>é</w:t>
      </w:r>
      <w:r w:rsidR="00DE4813" w:rsidRPr="00C460FF">
        <w:rPr>
          <w:rFonts w:ascii="Avenir" w:hAnsi="Avenir"/>
          <w:sz w:val="22"/>
          <w:szCs w:val="22"/>
        </w:rPr>
        <w:t>lectionn</w:t>
      </w:r>
      <w:r w:rsidR="00DE4813" w:rsidRPr="00C460FF">
        <w:rPr>
          <w:rFonts w:ascii="Avenir" w:hAnsi="Avenir" w:hint="eastAsia"/>
          <w:sz w:val="22"/>
          <w:szCs w:val="22"/>
        </w:rPr>
        <w:t>é</w:t>
      </w:r>
      <w:r w:rsidR="00DE4813" w:rsidRPr="00C460FF">
        <w:rPr>
          <w:rFonts w:ascii="Avenir" w:hAnsi="Avenir"/>
          <w:sz w:val="22"/>
          <w:szCs w:val="22"/>
        </w:rPr>
        <w:t xml:space="preserve">s certaines provinces, soit mobiliser des partenariats financiers. </w:t>
      </w:r>
    </w:p>
    <w:p w14:paraId="290B43E8" w14:textId="5D23ED66" w:rsidR="00DE4813" w:rsidRDefault="00DE4813" w:rsidP="009954DF">
      <w:pPr>
        <w:pStyle w:val="Paragraphedeliste"/>
        <w:numPr>
          <w:ilvl w:val="0"/>
          <w:numId w:val="39"/>
        </w:numPr>
        <w:spacing w:before="240"/>
        <w:jc w:val="both"/>
        <w:rPr>
          <w:rFonts w:ascii="Avenir" w:hAnsi="Avenir"/>
          <w:sz w:val="22"/>
          <w:szCs w:val="22"/>
        </w:rPr>
      </w:pPr>
      <w:r w:rsidRPr="00C460FF">
        <w:rPr>
          <w:rFonts w:ascii="Avenir" w:hAnsi="Avenir"/>
          <w:b/>
          <w:bCs/>
          <w:sz w:val="22"/>
          <w:szCs w:val="22"/>
        </w:rPr>
        <w:t>Alignement de toutes les activit</w:t>
      </w:r>
      <w:r w:rsidRPr="00C460FF">
        <w:rPr>
          <w:rFonts w:ascii="Avenir" w:hAnsi="Avenir" w:hint="eastAsia"/>
          <w:b/>
          <w:bCs/>
          <w:sz w:val="22"/>
          <w:szCs w:val="22"/>
        </w:rPr>
        <w:t>é</w:t>
      </w:r>
      <w:r w:rsidRPr="00C460FF">
        <w:rPr>
          <w:rFonts w:ascii="Avenir" w:hAnsi="Avenir"/>
          <w:b/>
          <w:bCs/>
          <w:sz w:val="22"/>
          <w:szCs w:val="22"/>
        </w:rPr>
        <w:t xml:space="preserve">s du projet </w:t>
      </w:r>
      <w:r w:rsidRPr="00C460FF">
        <w:rPr>
          <w:rFonts w:ascii="Avenir" w:hAnsi="Avenir" w:hint="eastAsia"/>
          <w:b/>
          <w:bCs/>
          <w:sz w:val="22"/>
          <w:szCs w:val="22"/>
        </w:rPr>
        <w:t>à</w:t>
      </w:r>
      <w:r w:rsidRPr="00C460FF">
        <w:rPr>
          <w:rFonts w:ascii="Avenir" w:hAnsi="Avenir"/>
          <w:b/>
          <w:bCs/>
          <w:sz w:val="22"/>
          <w:szCs w:val="22"/>
        </w:rPr>
        <w:t xml:space="preserve"> l</w:t>
      </w:r>
      <w:r w:rsidRPr="00C460FF">
        <w:rPr>
          <w:rFonts w:ascii="Avenir" w:hAnsi="Avenir" w:hint="eastAsia"/>
          <w:b/>
          <w:bCs/>
          <w:sz w:val="22"/>
          <w:szCs w:val="22"/>
        </w:rPr>
        <w:t>’</w:t>
      </w:r>
      <w:r w:rsidRPr="00C460FF">
        <w:rPr>
          <w:rFonts w:ascii="Avenir" w:hAnsi="Avenir"/>
          <w:b/>
          <w:bCs/>
          <w:sz w:val="22"/>
          <w:szCs w:val="22"/>
        </w:rPr>
        <w:t>ann</w:t>
      </w:r>
      <w:r w:rsidRPr="00C460FF">
        <w:rPr>
          <w:rFonts w:ascii="Avenir" w:hAnsi="Avenir" w:hint="eastAsia"/>
          <w:b/>
          <w:bCs/>
          <w:sz w:val="22"/>
          <w:szCs w:val="22"/>
        </w:rPr>
        <w:t>é</w:t>
      </w:r>
      <w:r w:rsidRPr="00C460FF">
        <w:rPr>
          <w:rFonts w:ascii="Avenir" w:hAnsi="Avenir"/>
          <w:b/>
          <w:bCs/>
          <w:sz w:val="22"/>
          <w:szCs w:val="22"/>
        </w:rPr>
        <w:t>e 1</w:t>
      </w:r>
      <w:r w:rsidRPr="00C460FF">
        <w:rPr>
          <w:rFonts w:ascii="Avenir" w:hAnsi="Avenir"/>
          <w:sz w:val="22"/>
          <w:szCs w:val="22"/>
        </w:rPr>
        <w:t>. Le PTBA 2025 a align</w:t>
      </w:r>
      <w:r w:rsidRPr="00C460FF">
        <w:rPr>
          <w:rFonts w:ascii="Avenir" w:hAnsi="Avenir" w:hint="eastAsia"/>
          <w:sz w:val="22"/>
          <w:szCs w:val="22"/>
        </w:rPr>
        <w:t>é</w:t>
      </w:r>
      <w:r w:rsidRPr="00C460FF">
        <w:rPr>
          <w:rFonts w:ascii="Avenir" w:hAnsi="Avenir"/>
          <w:sz w:val="22"/>
          <w:szCs w:val="22"/>
        </w:rPr>
        <w:t xml:space="preserve"> presque toutes les activit</w:t>
      </w:r>
      <w:r w:rsidRPr="00C460FF">
        <w:rPr>
          <w:rFonts w:ascii="Avenir" w:hAnsi="Avenir" w:hint="eastAsia"/>
          <w:sz w:val="22"/>
          <w:szCs w:val="22"/>
        </w:rPr>
        <w:t>é</w:t>
      </w:r>
      <w:r w:rsidRPr="00C460FF">
        <w:rPr>
          <w:rFonts w:ascii="Avenir" w:hAnsi="Avenir"/>
          <w:sz w:val="22"/>
          <w:szCs w:val="22"/>
        </w:rPr>
        <w:t>s pr</w:t>
      </w:r>
      <w:r w:rsidRPr="00C460FF">
        <w:rPr>
          <w:rFonts w:ascii="Avenir" w:hAnsi="Avenir" w:hint="eastAsia"/>
          <w:sz w:val="22"/>
          <w:szCs w:val="22"/>
        </w:rPr>
        <w:t>é</w:t>
      </w:r>
      <w:r w:rsidRPr="00C460FF">
        <w:rPr>
          <w:rFonts w:ascii="Avenir" w:hAnsi="Avenir"/>
          <w:sz w:val="22"/>
          <w:szCs w:val="22"/>
        </w:rPr>
        <w:t>vues par le projet. Pour les entit</w:t>
      </w:r>
      <w:r w:rsidRPr="00C460FF">
        <w:rPr>
          <w:rFonts w:ascii="Avenir" w:hAnsi="Avenir" w:hint="eastAsia"/>
          <w:sz w:val="22"/>
          <w:szCs w:val="22"/>
        </w:rPr>
        <w:t>é</w:t>
      </w:r>
      <w:r w:rsidRPr="00C460FF">
        <w:rPr>
          <w:rFonts w:ascii="Avenir" w:hAnsi="Avenir"/>
          <w:sz w:val="22"/>
          <w:szCs w:val="22"/>
        </w:rPr>
        <w:t>s ayant un grand nombre de jalons comme Environnement, Am</w:t>
      </w:r>
      <w:r w:rsidRPr="00C460FF">
        <w:rPr>
          <w:rFonts w:ascii="Avenir" w:hAnsi="Avenir" w:hint="eastAsia"/>
          <w:sz w:val="22"/>
          <w:szCs w:val="22"/>
        </w:rPr>
        <w:t>é</w:t>
      </w:r>
      <w:r w:rsidRPr="00C460FF">
        <w:rPr>
          <w:rFonts w:ascii="Avenir" w:hAnsi="Avenir"/>
          <w:sz w:val="22"/>
          <w:szCs w:val="22"/>
        </w:rPr>
        <w:t>nagement de territoire, la coordination des activit</w:t>
      </w:r>
      <w:r w:rsidRPr="00C460FF">
        <w:rPr>
          <w:rFonts w:ascii="Avenir" w:hAnsi="Avenir" w:hint="eastAsia"/>
          <w:sz w:val="22"/>
          <w:szCs w:val="22"/>
        </w:rPr>
        <w:t>é</w:t>
      </w:r>
      <w:r w:rsidRPr="00C460FF">
        <w:rPr>
          <w:rFonts w:ascii="Avenir" w:hAnsi="Avenir"/>
          <w:sz w:val="22"/>
          <w:szCs w:val="22"/>
        </w:rPr>
        <w:t xml:space="preserve">s a </w:t>
      </w:r>
      <w:r w:rsidRPr="00C460FF">
        <w:rPr>
          <w:rFonts w:ascii="Avenir" w:hAnsi="Avenir" w:hint="eastAsia"/>
          <w:sz w:val="22"/>
          <w:szCs w:val="22"/>
        </w:rPr>
        <w:t>é</w:t>
      </w:r>
      <w:r w:rsidRPr="00C460FF">
        <w:rPr>
          <w:rFonts w:ascii="Avenir" w:hAnsi="Avenir"/>
          <w:sz w:val="22"/>
          <w:szCs w:val="22"/>
        </w:rPr>
        <w:t>t</w:t>
      </w:r>
      <w:r w:rsidRPr="00C460FF">
        <w:rPr>
          <w:rFonts w:ascii="Avenir" w:hAnsi="Avenir" w:hint="eastAsia"/>
          <w:sz w:val="22"/>
          <w:szCs w:val="22"/>
        </w:rPr>
        <w:t>é</w:t>
      </w:r>
      <w:r w:rsidRPr="00C460FF">
        <w:rPr>
          <w:rFonts w:ascii="Avenir" w:hAnsi="Avenir"/>
          <w:sz w:val="22"/>
          <w:szCs w:val="22"/>
        </w:rPr>
        <w:t xml:space="preserve"> </w:t>
      </w:r>
      <w:r w:rsidR="006C5592" w:rsidRPr="00C460FF">
        <w:rPr>
          <w:rFonts w:ascii="Avenir" w:hAnsi="Avenir"/>
          <w:sz w:val="22"/>
          <w:szCs w:val="22"/>
        </w:rPr>
        <w:t>un d</w:t>
      </w:r>
      <w:r w:rsidR="006C5592" w:rsidRPr="00C460FF">
        <w:rPr>
          <w:rFonts w:ascii="Avenir" w:hAnsi="Avenir" w:hint="eastAsia"/>
          <w:sz w:val="22"/>
          <w:szCs w:val="22"/>
        </w:rPr>
        <w:t>é</w:t>
      </w:r>
      <w:r w:rsidR="006C5592" w:rsidRPr="00C460FF">
        <w:rPr>
          <w:rFonts w:ascii="Avenir" w:hAnsi="Avenir"/>
          <w:sz w:val="22"/>
          <w:szCs w:val="22"/>
        </w:rPr>
        <w:t>fi</w:t>
      </w:r>
      <w:r w:rsidRPr="00C460FF">
        <w:rPr>
          <w:rFonts w:ascii="Avenir" w:hAnsi="Avenir"/>
          <w:sz w:val="22"/>
          <w:szCs w:val="22"/>
        </w:rPr>
        <w:t xml:space="preserve">. </w:t>
      </w:r>
      <w:r w:rsidR="006C5592" w:rsidRPr="00C460FF">
        <w:rPr>
          <w:rFonts w:ascii="Avenir" w:hAnsi="Avenir"/>
          <w:sz w:val="22"/>
          <w:szCs w:val="22"/>
        </w:rPr>
        <w:t xml:space="preserve">Par ailleurs, les fonds ont </w:t>
      </w:r>
      <w:r w:rsidR="006C5592" w:rsidRPr="00C460FF">
        <w:rPr>
          <w:rFonts w:ascii="Avenir" w:hAnsi="Avenir" w:hint="eastAsia"/>
          <w:sz w:val="22"/>
          <w:szCs w:val="22"/>
        </w:rPr>
        <w:t>é</w:t>
      </w:r>
      <w:r w:rsidR="006C5592" w:rsidRPr="00C460FF">
        <w:rPr>
          <w:rFonts w:ascii="Avenir" w:hAnsi="Avenir"/>
          <w:sz w:val="22"/>
          <w:szCs w:val="22"/>
        </w:rPr>
        <w:t>t</w:t>
      </w:r>
      <w:r w:rsidR="006C5592" w:rsidRPr="00C460FF">
        <w:rPr>
          <w:rFonts w:ascii="Avenir" w:hAnsi="Avenir" w:hint="eastAsia"/>
          <w:sz w:val="22"/>
          <w:szCs w:val="22"/>
        </w:rPr>
        <w:t>é</w:t>
      </w:r>
      <w:r w:rsidR="006C5592" w:rsidRPr="00C460FF">
        <w:rPr>
          <w:rFonts w:ascii="Avenir" w:hAnsi="Avenir"/>
          <w:sz w:val="22"/>
          <w:szCs w:val="22"/>
        </w:rPr>
        <w:t xml:space="preserve"> divis</w:t>
      </w:r>
      <w:r w:rsidR="006C5592" w:rsidRPr="00C460FF">
        <w:rPr>
          <w:rFonts w:ascii="Avenir" w:hAnsi="Avenir" w:hint="eastAsia"/>
          <w:sz w:val="22"/>
          <w:szCs w:val="22"/>
        </w:rPr>
        <w:t>é</w:t>
      </w:r>
      <w:r w:rsidR="006C5592" w:rsidRPr="00C460FF">
        <w:rPr>
          <w:rFonts w:ascii="Avenir" w:hAnsi="Avenir"/>
          <w:sz w:val="22"/>
          <w:szCs w:val="22"/>
        </w:rPr>
        <w:t xml:space="preserve">s en deux </w:t>
      </w:r>
      <w:r w:rsidR="009336B8" w:rsidRPr="00C460FF">
        <w:rPr>
          <w:rFonts w:ascii="Avenir" w:hAnsi="Avenir"/>
          <w:sz w:val="22"/>
          <w:szCs w:val="22"/>
        </w:rPr>
        <w:t xml:space="preserve">tranches </w:t>
      </w:r>
      <w:r w:rsidR="006C5592" w:rsidRPr="00C460FF">
        <w:rPr>
          <w:rFonts w:ascii="Avenir" w:hAnsi="Avenir"/>
          <w:sz w:val="22"/>
          <w:szCs w:val="22"/>
        </w:rPr>
        <w:t xml:space="preserve">sans tenir compte des taches </w:t>
      </w:r>
      <w:r w:rsidR="006C5592" w:rsidRPr="00C460FF">
        <w:rPr>
          <w:rFonts w:ascii="Avenir" w:hAnsi="Avenir" w:hint="eastAsia"/>
          <w:sz w:val="22"/>
          <w:szCs w:val="22"/>
        </w:rPr>
        <w:t>à</w:t>
      </w:r>
      <w:r w:rsidR="006C5592" w:rsidRPr="00C460FF">
        <w:rPr>
          <w:rFonts w:ascii="Avenir" w:hAnsi="Avenir"/>
          <w:sz w:val="22"/>
          <w:szCs w:val="22"/>
        </w:rPr>
        <w:t xml:space="preserve"> r</w:t>
      </w:r>
      <w:r w:rsidR="006C5592" w:rsidRPr="00C460FF">
        <w:rPr>
          <w:rFonts w:ascii="Avenir" w:hAnsi="Avenir" w:hint="eastAsia"/>
          <w:sz w:val="22"/>
          <w:szCs w:val="22"/>
        </w:rPr>
        <w:t>é</w:t>
      </w:r>
      <w:r w:rsidR="006C5592" w:rsidRPr="00C460FF">
        <w:rPr>
          <w:rFonts w:ascii="Avenir" w:hAnsi="Avenir"/>
          <w:sz w:val="22"/>
          <w:szCs w:val="22"/>
        </w:rPr>
        <w:t>aliser par activit</w:t>
      </w:r>
      <w:r w:rsidR="006C5592" w:rsidRPr="00C460FF">
        <w:rPr>
          <w:rFonts w:ascii="Avenir" w:hAnsi="Avenir" w:hint="eastAsia"/>
          <w:sz w:val="22"/>
          <w:szCs w:val="22"/>
        </w:rPr>
        <w:t>é</w:t>
      </w:r>
      <w:r w:rsidR="006C5592" w:rsidRPr="00C460FF">
        <w:rPr>
          <w:rFonts w:ascii="Avenir" w:hAnsi="Avenir"/>
          <w:sz w:val="22"/>
          <w:szCs w:val="22"/>
        </w:rPr>
        <w:t xml:space="preserve"> et la priorisation des jalons obligatoires pour l</w:t>
      </w:r>
      <w:r w:rsidR="006C5592" w:rsidRPr="00C460FF">
        <w:rPr>
          <w:rFonts w:ascii="Avenir" w:hAnsi="Avenir" w:hint="eastAsia"/>
          <w:sz w:val="22"/>
          <w:szCs w:val="22"/>
        </w:rPr>
        <w:t>’</w:t>
      </w:r>
      <w:r w:rsidR="006C5592" w:rsidRPr="00C460FF">
        <w:rPr>
          <w:rFonts w:ascii="Avenir" w:hAnsi="Avenir"/>
          <w:sz w:val="22"/>
          <w:szCs w:val="22"/>
        </w:rPr>
        <w:t>ann</w:t>
      </w:r>
      <w:r w:rsidR="006C5592" w:rsidRPr="00C460FF">
        <w:rPr>
          <w:rFonts w:ascii="Avenir" w:hAnsi="Avenir" w:hint="eastAsia"/>
          <w:sz w:val="22"/>
          <w:szCs w:val="22"/>
        </w:rPr>
        <w:t>é</w:t>
      </w:r>
      <w:r w:rsidR="006C5592" w:rsidRPr="00C460FF">
        <w:rPr>
          <w:rFonts w:ascii="Avenir" w:hAnsi="Avenir"/>
          <w:sz w:val="22"/>
          <w:szCs w:val="22"/>
        </w:rPr>
        <w:t>e 2025.</w:t>
      </w:r>
      <w:r w:rsidRPr="00C460FF">
        <w:rPr>
          <w:rFonts w:ascii="Avenir" w:hAnsi="Avenir"/>
          <w:sz w:val="22"/>
          <w:szCs w:val="22"/>
        </w:rPr>
        <w:t xml:space="preserve"> </w:t>
      </w:r>
      <w:r w:rsidR="00A965B3">
        <w:rPr>
          <w:rFonts w:ascii="Avenir" w:hAnsi="Avenir"/>
          <w:sz w:val="22"/>
          <w:szCs w:val="22"/>
        </w:rPr>
        <w:t xml:space="preserve">Les discussions ont eu lieu avec l’équipe de gestion du projet pour mettre en place les mécanismes d’organisation d’activité selon le cas. </w:t>
      </w:r>
    </w:p>
    <w:p w14:paraId="110DE55E" w14:textId="77777777" w:rsidR="009954DF" w:rsidRPr="00C460FF" w:rsidRDefault="009954DF" w:rsidP="006D79E9">
      <w:pPr>
        <w:pStyle w:val="Paragraphedeliste"/>
        <w:spacing w:before="240"/>
        <w:jc w:val="both"/>
        <w:rPr>
          <w:rFonts w:ascii="Avenir" w:hAnsi="Avenir"/>
          <w:sz w:val="22"/>
          <w:szCs w:val="22"/>
        </w:rPr>
      </w:pPr>
    </w:p>
    <w:p w14:paraId="3B5D30DE" w14:textId="77777777" w:rsidR="0024617D" w:rsidRPr="00E11FFB" w:rsidRDefault="00C83F85" w:rsidP="00A41790">
      <w:pPr>
        <w:pStyle w:val="Titre2"/>
        <w:spacing w:after="240"/>
      </w:pPr>
      <w:bookmarkStart w:id="5" w:name="_Toc224044706"/>
      <w:r w:rsidRPr="00E11FFB">
        <w:t>3.3 Commentaires</w:t>
      </w:r>
      <w:bookmarkEnd w:id="5"/>
    </w:p>
    <w:p w14:paraId="2CDA0DDC" w14:textId="685E46F4" w:rsidR="00C95678" w:rsidRPr="00C460FF" w:rsidRDefault="00C95678" w:rsidP="009336B8">
      <w:pPr>
        <w:tabs>
          <w:tab w:val="center" w:pos="5024"/>
        </w:tabs>
        <w:spacing w:before="57" w:after="198"/>
        <w:ind w:left="-15"/>
        <w:jc w:val="both"/>
        <w:rPr>
          <w:rFonts w:ascii="Avenir" w:hAnsi="Avenir"/>
          <w:sz w:val="22"/>
          <w:szCs w:val="22"/>
        </w:rPr>
        <w:sectPr w:rsidR="00C95678" w:rsidRPr="00C460FF" w:rsidSect="005C2203">
          <w:headerReference w:type="default" r:id="rId16"/>
          <w:footerReference w:type="default" r:id="rId17"/>
          <w:headerReference w:type="first" r:id="rId18"/>
          <w:footerReference w:type="first" r:id="rId19"/>
          <w:pgSz w:w="11900" w:h="16840"/>
          <w:pgMar w:top="1469" w:right="1555" w:bottom="1498" w:left="1584" w:header="1022" w:footer="1109" w:gutter="0"/>
          <w:pgNumType w:start="1"/>
          <w:cols w:space="720"/>
          <w:titlePg/>
        </w:sectPr>
      </w:pPr>
      <w:r w:rsidRPr="00C460FF">
        <w:rPr>
          <w:rFonts w:ascii="Avenir" w:hAnsi="Avenir"/>
          <w:sz w:val="22"/>
          <w:szCs w:val="22"/>
        </w:rPr>
        <w:t>En raison des d</w:t>
      </w:r>
      <w:r w:rsidRPr="00C460FF">
        <w:rPr>
          <w:rFonts w:ascii="Avenir" w:hAnsi="Avenir" w:hint="eastAsia"/>
          <w:sz w:val="22"/>
          <w:szCs w:val="22"/>
        </w:rPr>
        <w:t>é</w:t>
      </w:r>
      <w:r w:rsidRPr="00C460FF">
        <w:rPr>
          <w:rFonts w:ascii="Avenir" w:hAnsi="Avenir"/>
          <w:sz w:val="22"/>
          <w:szCs w:val="22"/>
        </w:rPr>
        <w:t xml:space="preserve">fis </w:t>
      </w:r>
      <w:r w:rsidRPr="00C460FF">
        <w:rPr>
          <w:rFonts w:ascii="Avenir" w:hAnsi="Avenir" w:hint="eastAsia"/>
          <w:sz w:val="22"/>
          <w:szCs w:val="22"/>
        </w:rPr>
        <w:t>é</w:t>
      </w:r>
      <w:r w:rsidRPr="00C460FF">
        <w:rPr>
          <w:rFonts w:ascii="Avenir" w:hAnsi="Avenir"/>
          <w:sz w:val="22"/>
          <w:szCs w:val="22"/>
        </w:rPr>
        <w:t>voqu</w:t>
      </w:r>
      <w:r w:rsidRPr="00C460FF">
        <w:rPr>
          <w:rFonts w:ascii="Avenir" w:hAnsi="Avenir" w:hint="eastAsia"/>
          <w:sz w:val="22"/>
          <w:szCs w:val="22"/>
        </w:rPr>
        <w:t>é</w:t>
      </w:r>
      <w:r w:rsidRPr="00C460FF">
        <w:rPr>
          <w:rFonts w:ascii="Avenir" w:hAnsi="Avenir"/>
          <w:sz w:val="22"/>
          <w:szCs w:val="22"/>
        </w:rPr>
        <w:t>s ci haut, les activit</w:t>
      </w:r>
      <w:r w:rsidRPr="00C460FF">
        <w:rPr>
          <w:rFonts w:ascii="Avenir" w:hAnsi="Avenir" w:hint="eastAsia"/>
          <w:sz w:val="22"/>
          <w:szCs w:val="22"/>
        </w:rPr>
        <w:t>é</w:t>
      </w:r>
      <w:r w:rsidRPr="00C460FF">
        <w:rPr>
          <w:rFonts w:ascii="Avenir" w:hAnsi="Avenir"/>
          <w:sz w:val="22"/>
          <w:szCs w:val="22"/>
        </w:rPr>
        <w:t>s pr</w:t>
      </w:r>
      <w:r w:rsidRPr="00C460FF">
        <w:rPr>
          <w:rFonts w:ascii="Avenir" w:hAnsi="Avenir" w:hint="eastAsia"/>
          <w:sz w:val="22"/>
          <w:szCs w:val="22"/>
        </w:rPr>
        <w:t>é</w:t>
      </w:r>
      <w:r w:rsidRPr="00C460FF">
        <w:rPr>
          <w:rFonts w:ascii="Avenir" w:hAnsi="Avenir"/>
          <w:sz w:val="22"/>
          <w:szCs w:val="22"/>
        </w:rPr>
        <w:t>vues au cours de l</w:t>
      </w:r>
      <w:r w:rsidRPr="00C460FF">
        <w:rPr>
          <w:rFonts w:ascii="Avenir" w:hAnsi="Avenir" w:hint="eastAsia"/>
          <w:sz w:val="22"/>
          <w:szCs w:val="22"/>
        </w:rPr>
        <w:t>’</w:t>
      </w:r>
      <w:r w:rsidRPr="00C460FF">
        <w:rPr>
          <w:rFonts w:ascii="Avenir" w:hAnsi="Avenir"/>
          <w:sz w:val="22"/>
          <w:szCs w:val="22"/>
        </w:rPr>
        <w:t>ann</w:t>
      </w:r>
      <w:r w:rsidRPr="00C460FF">
        <w:rPr>
          <w:rFonts w:ascii="Avenir" w:hAnsi="Avenir" w:hint="eastAsia"/>
          <w:sz w:val="22"/>
          <w:szCs w:val="22"/>
        </w:rPr>
        <w:t>é</w:t>
      </w:r>
      <w:r w:rsidRPr="00C460FF">
        <w:rPr>
          <w:rFonts w:ascii="Avenir" w:hAnsi="Avenir"/>
          <w:sz w:val="22"/>
          <w:szCs w:val="22"/>
        </w:rPr>
        <w:t xml:space="preserve">e 2025 ont connu un </w:t>
      </w:r>
      <w:r w:rsidR="00031A75" w:rsidRPr="00C460FF">
        <w:rPr>
          <w:rFonts w:ascii="Avenir" w:hAnsi="Avenir"/>
          <w:sz w:val="22"/>
          <w:szCs w:val="22"/>
        </w:rPr>
        <w:t>l</w:t>
      </w:r>
      <w:r w:rsidR="00031A75" w:rsidRPr="00C460FF">
        <w:rPr>
          <w:rFonts w:ascii="Avenir" w:hAnsi="Avenir" w:hint="eastAsia"/>
          <w:sz w:val="22"/>
          <w:szCs w:val="22"/>
        </w:rPr>
        <w:t>é</w:t>
      </w:r>
      <w:r w:rsidR="00031A75" w:rsidRPr="00C460FF">
        <w:rPr>
          <w:rFonts w:ascii="Avenir" w:hAnsi="Avenir"/>
          <w:sz w:val="22"/>
          <w:szCs w:val="22"/>
        </w:rPr>
        <w:t>ger</w:t>
      </w:r>
      <w:r w:rsidRPr="00C460FF">
        <w:rPr>
          <w:rFonts w:ascii="Avenir" w:hAnsi="Avenir"/>
          <w:sz w:val="22"/>
          <w:szCs w:val="22"/>
        </w:rPr>
        <w:t xml:space="preserve"> retard et certaines seront ex</w:t>
      </w:r>
      <w:r w:rsidRPr="00C460FF">
        <w:rPr>
          <w:rFonts w:ascii="Avenir" w:hAnsi="Avenir" w:hint="eastAsia"/>
          <w:sz w:val="22"/>
          <w:szCs w:val="22"/>
        </w:rPr>
        <w:t>é</w:t>
      </w:r>
      <w:r w:rsidRPr="00C460FF">
        <w:rPr>
          <w:rFonts w:ascii="Avenir" w:hAnsi="Avenir"/>
          <w:sz w:val="22"/>
          <w:szCs w:val="22"/>
        </w:rPr>
        <w:t>cut</w:t>
      </w:r>
      <w:r w:rsidRPr="00C460FF">
        <w:rPr>
          <w:rFonts w:ascii="Avenir" w:hAnsi="Avenir" w:hint="eastAsia"/>
          <w:sz w:val="22"/>
          <w:szCs w:val="22"/>
        </w:rPr>
        <w:t>é</w:t>
      </w:r>
      <w:r w:rsidRPr="00C460FF">
        <w:rPr>
          <w:rFonts w:ascii="Avenir" w:hAnsi="Avenir"/>
          <w:sz w:val="22"/>
          <w:szCs w:val="22"/>
        </w:rPr>
        <w:t>es entre janvier et f</w:t>
      </w:r>
      <w:r w:rsidRPr="00C460FF">
        <w:rPr>
          <w:rFonts w:ascii="Avenir" w:hAnsi="Avenir" w:hint="eastAsia"/>
          <w:sz w:val="22"/>
          <w:szCs w:val="22"/>
        </w:rPr>
        <w:t>é</w:t>
      </w:r>
      <w:r w:rsidRPr="00C460FF">
        <w:rPr>
          <w:rFonts w:ascii="Avenir" w:hAnsi="Avenir"/>
          <w:sz w:val="22"/>
          <w:szCs w:val="22"/>
        </w:rPr>
        <w:t xml:space="preserve">vrier 2026. Cette situation </w:t>
      </w:r>
      <w:r w:rsidR="009336B8" w:rsidRPr="00C460FF">
        <w:rPr>
          <w:rFonts w:ascii="Avenir" w:hAnsi="Avenir"/>
          <w:sz w:val="22"/>
          <w:szCs w:val="22"/>
        </w:rPr>
        <w:t xml:space="preserve">a nécessité </w:t>
      </w:r>
      <w:r w:rsidRPr="00C460FF">
        <w:rPr>
          <w:rFonts w:ascii="Avenir" w:hAnsi="Avenir"/>
          <w:sz w:val="22"/>
          <w:szCs w:val="22"/>
        </w:rPr>
        <w:t>la prolongation des lettres d</w:t>
      </w:r>
      <w:r w:rsidRPr="00C460FF">
        <w:rPr>
          <w:rFonts w:ascii="Avenir" w:hAnsi="Avenir" w:hint="eastAsia"/>
          <w:sz w:val="22"/>
          <w:szCs w:val="22"/>
        </w:rPr>
        <w:t>’</w:t>
      </w:r>
      <w:r w:rsidRPr="00C460FF">
        <w:rPr>
          <w:rFonts w:ascii="Avenir" w:hAnsi="Avenir"/>
          <w:sz w:val="22"/>
          <w:szCs w:val="22"/>
        </w:rPr>
        <w:t xml:space="preserve">accords </w:t>
      </w:r>
      <w:r w:rsidR="009336B8" w:rsidRPr="00C460FF">
        <w:rPr>
          <w:rFonts w:ascii="Avenir" w:hAnsi="Avenir"/>
          <w:sz w:val="22"/>
          <w:szCs w:val="22"/>
        </w:rPr>
        <w:t>entre le PNUD et les entités de mise œuvre jusqu’en avril 2026, afin de finaliser les activités résiduelles</w:t>
      </w:r>
      <w:r w:rsidRPr="00C460FF">
        <w:rPr>
          <w:rFonts w:ascii="Avenir" w:hAnsi="Avenir"/>
          <w:sz w:val="22"/>
          <w:szCs w:val="22"/>
        </w:rPr>
        <w:t>.</w:t>
      </w:r>
    </w:p>
    <w:p w14:paraId="445288ED" w14:textId="77777777" w:rsidR="0024617D" w:rsidRPr="00E11FFB" w:rsidRDefault="00C83F85">
      <w:pPr>
        <w:pStyle w:val="Titre1"/>
        <w:numPr>
          <w:ilvl w:val="0"/>
          <w:numId w:val="1"/>
        </w:numPr>
      </w:pPr>
      <w:bookmarkStart w:id="6" w:name="_Toc224044707"/>
      <w:r w:rsidRPr="00E11FFB">
        <w:t>Evaluation de la performance du projet</w:t>
      </w:r>
      <w:bookmarkEnd w:id="6"/>
      <w:r w:rsidRPr="00E11FFB">
        <w:t xml:space="preserve"> </w:t>
      </w:r>
    </w:p>
    <w:p w14:paraId="2D5BBFAE" w14:textId="77777777" w:rsidR="0024617D" w:rsidRPr="00E11FFB" w:rsidRDefault="00C83F85">
      <w:pPr>
        <w:pStyle w:val="Titre2"/>
      </w:pPr>
      <w:bookmarkStart w:id="7" w:name="_Toc224044708"/>
      <w:r w:rsidRPr="00E11FFB">
        <w:t>4.1 Evaluation de la performance du projet sur base des indicateurs du cadre logique</w:t>
      </w:r>
      <w:bookmarkEnd w:id="7"/>
      <w:r w:rsidRPr="00E11FFB">
        <w:t xml:space="preserve"> </w:t>
      </w:r>
    </w:p>
    <w:p w14:paraId="33D5549F" w14:textId="77777777" w:rsidR="0024617D" w:rsidRPr="00E11FFB" w:rsidRDefault="0024617D">
      <w:pPr>
        <w:keepNext/>
        <w:spacing w:after="5"/>
        <w:ind w:left="20" w:right="28" w:hanging="10"/>
        <w:jc w:val="both"/>
        <w:rPr>
          <w:rFonts w:ascii="Avenir" w:eastAsia="Avenir" w:hAnsi="Avenir" w:cs="Avenir"/>
          <w:color w:val="000000"/>
          <w:sz w:val="8"/>
          <w:szCs w:val="8"/>
        </w:rPr>
      </w:pPr>
    </w:p>
    <w:p w14:paraId="1DB4EF1C" w14:textId="05431614" w:rsidR="00CF191A" w:rsidRPr="00E11FFB" w:rsidRDefault="00CF191A" w:rsidP="00CF191A">
      <w:pPr>
        <w:keepNext/>
        <w:spacing w:line="271" w:lineRule="auto"/>
        <w:ind w:left="-3" w:right="35" w:firstLine="10"/>
        <w:jc w:val="both"/>
        <w:rPr>
          <w:rFonts w:ascii="Avenir" w:eastAsia="Avenir" w:hAnsi="Avenir" w:cs="Avenir"/>
          <w:b/>
          <w:bCs/>
          <w:iCs/>
          <w:color w:val="000000"/>
          <w:sz w:val="20"/>
          <w:szCs w:val="20"/>
          <w:u w:val="single"/>
        </w:rPr>
      </w:pPr>
      <w:bookmarkStart w:id="8" w:name="_heading=h.4d34og8" w:colFirst="0" w:colLast="0"/>
      <w:bookmarkEnd w:id="8"/>
      <w:r w:rsidRPr="00E11FFB">
        <w:rPr>
          <w:rFonts w:ascii="Avenir" w:eastAsia="Avenir" w:hAnsi="Avenir" w:cs="Avenir"/>
          <w:b/>
          <w:bCs/>
          <w:iCs/>
          <w:color w:val="000000"/>
          <w:sz w:val="20"/>
          <w:szCs w:val="20"/>
          <w:u w:val="single"/>
        </w:rPr>
        <w:t>Tableau évaluation de la performance</w:t>
      </w:r>
      <w:r w:rsidR="00822EFB">
        <w:rPr>
          <w:rFonts w:ascii="Avenir" w:eastAsia="Avenir" w:hAnsi="Avenir" w:cs="Avenir"/>
          <w:b/>
          <w:bCs/>
          <w:iCs/>
          <w:color w:val="000000"/>
          <w:sz w:val="20"/>
          <w:szCs w:val="20"/>
          <w:u w:val="single"/>
        </w:rPr>
        <w:t xml:space="preserve">- </w:t>
      </w:r>
      <w:r w:rsidR="00031A75" w:rsidRPr="00E11FFB">
        <w:rPr>
          <w:rFonts w:ascii="Avenir" w:eastAsia="Avenir" w:hAnsi="Avenir" w:cs="Avenir"/>
          <w:b/>
          <w:bCs/>
          <w:iCs/>
          <w:color w:val="000000"/>
          <w:sz w:val="20"/>
          <w:szCs w:val="20"/>
          <w:u w:val="single"/>
        </w:rPr>
        <w:t xml:space="preserve"> Aménagement du </w:t>
      </w:r>
      <w:r w:rsidR="00563571" w:rsidRPr="00E11FFB">
        <w:rPr>
          <w:rFonts w:ascii="Avenir" w:eastAsia="Avenir" w:hAnsi="Avenir" w:cs="Avenir"/>
          <w:b/>
          <w:bCs/>
          <w:iCs/>
          <w:color w:val="000000"/>
          <w:sz w:val="20"/>
          <w:szCs w:val="20"/>
          <w:u w:val="single"/>
        </w:rPr>
        <w:t>territoire (</w:t>
      </w:r>
      <w:r w:rsidR="00822EFB">
        <w:rPr>
          <w:rFonts w:ascii="Avenir" w:eastAsia="Avenir" w:hAnsi="Avenir" w:cs="Avenir"/>
          <w:b/>
          <w:bCs/>
          <w:iCs/>
          <w:color w:val="000000"/>
          <w:sz w:val="20"/>
          <w:szCs w:val="20"/>
          <w:u w:val="single"/>
        </w:rPr>
        <w:t>Effet 1)</w:t>
      </w:r>
    </w:p>
    <w:p w14:paraId="4145D2F3" w14:textId="142994DF" w:rsidR="00CF191A" w:rsidRPr="00E11FFB" w:rsidRDefault="00602364" w:rsidP="00602364">
      <w:pPr>
        <w:tabs>
          <w:tab w:val="left" w:pos="5475"/>
        </w:tabs>
        <w:spacing w:after="5"/>
        <w:ind w:right="28"/>
        <w:jc w:val="both"/>
        <w:rPr>
          <w:rFonts w:ascii="Avenir" w:eastAsia="Avenir" w:hAnsi="Avenir" w:cs="Avenir"/>
          <w:color w:val="000000"/>
        </w:rPr>
      </w:pPr>
      <w:r w:rsidRPr="00E11FFB">
        <w:rPr>
          <w:rFonts w:ascii="Avenir" w:eastAsia="Avenir" w:hAnsi="Avenir" w:cs="Avenir"/>
          <w:color w:val="000000"/>
        </w:rPr>
        <w:tab/>
      </w:r>
    </w:p>
    <w:tbl>
      <w:tblPr>
        <w:tblW w:w="146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55"/>
        <w:gridCol w:w="2070"/>
        <w:gridCol w:w="1170"/>
        <w:gridCol w:w="1440"/>
        <w:gridCol w:w="2088"/>
        <w:gridCol w:w="959"/>
        <w:gridCol w:w="1067"/>
        <w:gridCol w:w="794"/>
        <w:gridCol w:w="1454"/>
        <w:gridCol w:w="1440"/>
      </w:tblGrid>
      <w:tr w:rsidR="00031A75" w:rsidRPr="00E11FFB" w14:paraId="4EAE3D58" w14:textId="77777777" w:rsidTr="00D44A41">
        <w:trPr>
          <w:trHeight w:val="966"/>
          <w:tblHeader/>
          <w:jc w:val="center"/>
        </w:trPr>
        <w:tc>
          <w:tcPr>
            <w:tcW w:w="2155" w:type="dxa"/>
            <w:shd w:val="clear" w:color="auto" w:fill="DDEBF7"/>
          </w:tcPr>
          <w:p w14:paraId="2EBA7C96" w14:textId="77777777" w:rsidR="00031A75" w:rsidRPr="00E11FFB" w:rsidRDefault="00031A75" w:rsidP="003A6DE1">
            <w:pPr>
              <w:rPr>
                <w:rFonts w:ascii="Avenir" w:eastAsia="Avenir" w:hAnsi="Avenir" w:cs="Avenir"/>
                <w:b/>
                <w:bCs/>
                <w:color w:val="000000"/>
                <w:sz w:val="14"/>
                <w:szCs w:val="14"/>
              </w:rPr>
            </w:pPr>
            <w:bookmarkStart w:id="9" w:name="_Hlk219360238"/>
            <w:r w:rsidRPr="00E11FFB">
              <w:rPr>
                <w:rFonts w:ascii="Avenir" w:eastAsia="Avenir" w:hAnsi="Avenir" w:cs="Avenir"/>
                <w:b/>
                <w:bCs/>
                <w:color w:val="000000" w:themeColor="text1"/>
                <w:sz w:val="14"/>
                <w:szCs w:val="14"/>
              </w:rPr>
              <w:t>Produits</w:t>
            </w:r>
          </w:p>
        </w:tc>
        <w:tc>
          <w:tcPr>
            <w:tcW w:w="2070" w:type="dxa"/>
            <w:shd w:val="clear" w:color="auto" w:fill="DDEBF7"/>
          </w:tcPr>
          <w:p w14:paraId="434A44D5" w14:textId="77777777" w:rsidR="00031A75" w:rsidRPr="00E11FFB" w:rsidRDefault="00031A75" w:rsidP="003A6DE1">
            <w:pPr>
              <w:rPr>
                <w:rFonts w:ascii="Avenir" w:eastAsia="Avenir" w:hAnsi="Avenir" w:cs="Avenir"/>
                <w:color w:val="000000"/>
                <w:sz w:val="14"/>
                <w:szCs w:val="14"/>
              </w:rPr>
            </w:pPr>
            <w:r w:rsidRPr="00E11FFB">
              <w:rPr>
                <w:rFonts w:ascii="Avenir" w:eastAsia="Avenir" w:hAnsi="Avenir" w:cs="Avenir"/>
                <w:color w:val="000000"/>
                <w:sz w:val="14"/>
                <w:szCs w:val="14"/>
              </w:rPr>
              <w:t>Indicateurs</w:t>
            </w:r>
          </w:p>
        </w:tc>
        <w:tc>
          <w:tcPr>
            <w:tcW w:w="1170" w:type="dxa"/>
            <w:shd w:val="clear" w:color="auto" w:fill="E3F1ED"/>
          </w:tcPr>
          <w:p w14:paraId="133F7E04" w14:textId="77777777" w:rsidR="00031A75" w:rsidRPr="00E11FFB" w:rsidRDefault="00031A75" w:rsidP="003A6DE1">
            <w:pPr>
              <w:rPr>
                <w:rFonts w:ascii="Avenir" w:eastAsia="Avenir" w:hAnsi="Avenir" w:cs="Avenir"/>
                <w:color w:val="000000"/>
                <w:sz w:val="14"/>
                <w:szCs w:val="14"/>
              </w:rPr>
            </w:pPr>
            <w:r w:rsidRPr="00E11FFB">
              <w:rPr>
                <w:rFonts w:ascii="Avenir" w:eastAsia="Avenir" w:hAnsi="Avenir" w:cs="Avenir"/>
                <w:color w:val="000000"/>
                <w:sz w:val="14"/>
                <w:szCs w:val="14"/>
              </w:rPr>
              <w:t xml:space="preserve">Ligne de base </w:t>
            </w:r>
            <w:r w:rsidRPr="00E11FFB">
              <w:rPr>
                <w:rFonts w:ascii="Avenir" w:eastAsia="Avenir" w:hAnsi="Avenir" w:cs="Avenir"/>
                <w:i/>
                <w:color w:val="000000"/>
                <w:sz w:val="14"/>
                <w:szCs w:val="14"/>
                <w:vertAlign w:val="superscript"/>
              </w:rPr>
              <w:footnoteReference w:id="5"/>
            </w:r>
          </w:p>
          <w:p w14:paraId="05D222BE" w14:textId="77777777" w:rsidR="00031A75" w:rsidRPr="00E11FFB" w:rsidRDefault="00031A75" w:rsidP="003A6DE1">
            <w:pPr>
              <w:rPr>
                <w:rFonts w:ascii="Avenir" w:eastAsia="Avenir" w:hAnsi="Avenir" w:cs="Avenir"/>
                <w:color w:val="000000"/>
                <w:sz w:val="14"/>
                <w:szCs w:val="14"/>
              </w:rPr>
            </w:pPr>
          </w:p>
        </w:tc>
        <w:tc>
          <w:tcPr>
            <w:tcW w:w="1440" w:type="dxa"/>
            <w:shd w:val="clear" w:color="auto" w:fill="E3F1ED"/>
          </w:tcPr>
          <w:p w14:paraId="698B8AD8" w14:textId="4DB2185B" w:rsidR="00031A75" w:rsidRPr="00E11FFB" w:rsidRDefault="00031A75" w:rsidP="003A6DE1">
            <w:pPr>
              <w:spacing w:after="5" w:line="271" w:lineRule="auto"/>
              <w:rPr>
                <w:rFonts w:ascii="Avenir" w:eastAsia="Avenir" w:hAnsi="Avenir" w:cs="Avenir"/>
                <w:color w:val="000000"/>
                <w:sz w:val="14"/>
                <w:szCs w:val="14"/>
              </w:rPr>
            </w:pPr>
            <w:r w:rsidRPr="00E11FFB">
              <w:rPr>
                <w:rFonts w:ascii="Avenir" w:eastAsia="Avenir" w:hAnsi="Avenir" w:cs="Avenir"/>
                <w:color w:val="000000" w:themeColor="text1"/>
                <w:sz w:val="14"/>
                <w:szCs w:val="14"/>
              </w:rPr>
              <w:t xml:space="preserve">Cible visée pour la période de rapportage (non </w:t>
            </w:r>
            <w:r w:rsidR="00932BF5" w:rsidRPr="00E11FFB">
              <w:rPr>
                <w:rFonts w:ascii="Avenir" w:eastAsia="Avenir" w:hAnsi="Avenir" w:cs="Avenir"/>
                <w:color w:val="000000" w:themeColor="text1"/>
                <w:sz w:val="14"/>
                <w:szCs w:val="14"/>
              </w:rPr>
              <w:t>cumulative</w:t>
            </w:r>
            <w:r w:rsidRPr="00E11FFB">
              <w:rPr>
                <w:rFonts w:ascii="Avenir" w:eastAsia="Avenir" w:hAnsi="Avenir" w:cs="Avenir"/>
                <w:color w:val="000000" w:themeColor="text1"/>
                <w:sz w:val="14"/>
                <w:szCs w:val="14"/>
              </w:rPr>
              <w:t>)</w:t>
            </w:r>
          </w:p>
        </w:tc>
        <w:tc>
          <w:tcPr>
            <w:tcW w:w="2088" w:type="dxa"/>
            <w:shd w:val="clear" w:color="auto" w:fill="E3F1ED"/>
          </w:tcPr>
          <w:p w14:paraId="295A66AC" w14:textId="7266ADD3" w:rsidR="00031A75" w:rsidRPr="00E11FFB" w:rsidRDefault="00031A75" w:rsidP="003A6DE1">
            <w:pPr>
              <w:rPr>
                <w:rFonts w:ascii="Avenir" w:eastAsia="Avenir" w:hAnsi="Avenir" w:cs="Avenir"/>
                <w:color w:val="000000"/>
                <w:sz w:val="14"/>
                <w:szCs w:val="14"/>
              </w:rPr>
            </w:pPr>
            <w:r w:rsidRPr="00E11FFB">
              <w:rPr>
                <w:rFonts w:ascii="Avenir" w:eastAsia="Avenir" w:hAnsi="Avenir" w:cs="Avenir"/>
                <w:color w:val="000000" w:themeColor="text1"/>
                <w:sz w:val="14"/>
                <w:szCs w:val="14"/>
              </w:rPr>
              <w:t xml:space="preserve">Valeur atteinte pour la période de rapportage (non </w:t>
            </w:r>
            <w:r w:rsidR="00932BF5" w:rsidRPr="00E11FFB">
              <w:rPr>
                <w:rFonts w:ascii="Avenir" w:eastAsia="Avenir" w:hAnsi="Avenir" w:cs="Avenir"/>
                <w:color w:val="000000" w:themeColor="text1"/>
                <w:sz w:val="14"/>
                <w:szCs w:val="14"/>
              </w:rPr>
              <w:t>cumulative</w:t>
            </w:r>
            <w:r w:rsidRPr="00E11FFB">
              <w:rPr>
                <w:rFonts w:ascii="Avenir" w:eastAsia="Avenir" w:hAnsi="Avenir" w:cs="Avenir"/>
                <w:color w:val="000000" w:themeColor="text1"/>
                <w:sz w:val="14"/>
                <w:szCs w:val="14"/>
              </w:rPr>
              <w:t>)</w:t>
            </w:r>
          </w:p>
        </w:tc>
        <w:tc>
          <w:tcPr>
            <w:tcW w:w="959" w:type="dxa"/>
            <w:shd w:val="clear" w:color="auto" w:fill="E3F1ED"/>
          </w:tcPr>
          <w:p w14:paraId="5C78A214" w14:textId="77777777" w:rsidR="00031A75" w:rsidRPr="00E11FFB" w:rsidRDefault="00031A75" w:rsidP="003A6DE1">
            <w:pPr>
              <w:jc w:val="center"/>
              <w:rPr>
                <w:rFonts w:ascii="Avenir" w:eastAsia="Avenir" w:hAnsi="Avenir" w:cs="Avenir"/>
                <w:color w:val="000000"/>
                <w:sz w:val="14"/>
                <w:szCs w:val="14"/>
              </w:rPr>
            </w:pPr>
            <w:r w:rsidRPr="00E11FFB">
              <w:rPr>
                <w:rFonts w:ascii="Avenir" w:eastAsia="Avenir" w:hAnsi="Avenir" w:cs="Avenir"/>
                <w:color w:val="000000"/>
                <w:sz w:val="14"/>
                <w:szCs w:val="14"/>
              </w:rPr>
              <w:t>Valeur actuelle (en cumulatif)</w:t>
            </w:r>
            <w:r w:rsidRPr="00E11FFB">
              <w:rPr>
                <w:rFonts w:ascii="Avenir" w:eastAsia="Avenir" w:hAnsi="Avenir" w:cs="Avenir"/>
                <w:i/>
                <w:color w:val="000000"/>
                <w:sz w:val="14"/>
                <w:szCs w:val="14"/>
                <w:vertAlign w:val="superscript"/>
              </w:rPr>
              <w:footnoteReference w:id="6"/>
            </w:r>
            <w:r w:rsidRPr="00E11FFB">
              <w:rPr>
                <w:rFonts w:ascii="Avenir" w:eastAsia="Avenir" w:hAnsi="Avenir" w:cs="Avenir"/>
                <w:color w:val="000000"/>
                <w:sz w:val="14"/>
                <w:szCs w:val="14"/>
              </w:rPr>
              <w:t xml:space="preserve"> </w:t>
            </w:r>
          </w:p>
        </w:tc>
        <w:tc>
          <w:tcPr>
            <w:tcW w:w="1067" w:type="dxa"/>
            <w:shd w:val="clear" w:color="auto" w:fill="E3F1ED"/>
          </w:tcPr>
          <w:p w14:paraId="1AEECAC9" w14:textId="77777777" w:rsidR="00031A75" w:rsidRPr="00E11FFB" w:rsidRDefault="00031A75" w:rsidP="003A6DE1">
            <w:pPr>
              <w:jc w:val="center"/>
              <w:rPr>
                <w:rFonts w:ascii="Avenir" w:eastAsia="Avenir" w:hAnsi="Avenir" w:cs="Avenir"/>
                <w:color w:val="000000"/>
                <w:sz w:val="14"/>
                <w:szCs w:val="14"/>
              </w:rPr>
            </w:pPr>
            <w:r w:rsidRPr="00E11FFB">
              <w:rPr>
                <w:rFonts w:ascii="Avenir" w:eastAsia="Avenir" w:hAnsi="Avenir" w:cs="Avenir"/>
                <w:color w:val="000000"/>
                <w:sz w:val="14"/>
                <w:szCs w:val="14"/>
              </w:rPr>
              <w:t>Cible finale dans le prodoc</w:t>
            </w:r>
            <w:r w:rsidRPr="00E11FFB">
              <w:rPr>
                <w:rFonts w:ascii="Avenir" w:eastAsia="Avenir" w:hAnsi="Avenir" w:cs="Avenir"/>
                <w:i/>
                <w:color w:val="000000"/>
                <w:sz w:val="14"/>
                <w:szCs w:val="14"/>
                <w:vertAlign w:val="superscript"/>
              </w:rPr>
              <w:footnoteReference w:id="7"/>
            </w:r>
          </w:p>
        </w:tc>
        <w:tc>
          <w:tcPr>
            <w:tcW w:w="794" w:type="dxa"/>
            <w:shd w:val="clear" w:color="auto" w:fill="E3F1ED"/>
          </w:tcPr>
          <w:p w14:paraId="55E63B9D" w14:textId="77777777" w:rsidR="00031A75" w:rsidRPr="00E11FFB" w:rsidRDefault="00031A75" w:rsidP="003A6DE1">
            <w:pPr>
              <w:jc w:val="center"/>
              <w:rPr>
                <w:rFonts w:ascii="Avenir" w:eastAsia="Avenir" w:hAnsi="Avenir" w:cs="Avenir"/>
                <w:color w:val="000000"/>
                <w:sz w:val="14"/>
                <w:szCs w:val="14"/>
              </w:rPr>
            </w:pPr>
            <w:r w:rsidRPr="00E11FFB">
              <w:rPr>
                <w:rFonts w:ascii="Avenir" w:eastAsia="Avenir" w:hAnsi="Avenir" w:cs="Avenir"/>
                <w:color w:val="000000"/>
                <w:sz w:val="14"/>
                <w:szCs w:val="14"/>
              </w:rPr>
              <w:t xml:space="preserve">Cible finale révisée le cas échéant </w:t>
            </w:r>
          </w:p>
        </w:tc>
        <w:tc>
          <w:tcPr>
            <w:tcW w:w="1454" w:type="dxa"/>
            <w:shd w:val="clear" w:color="auto" w:fill="E7E6E6"/>
          </w:tcPr>
          <w:p w14:paraId="7C89D185" w14:textId="77777777" w:rsidR="00031A75" w:rsidRPr="006D79E9" w:rsidRDefault="00031A75" w:rsidP="003A6DE1">
            <w:pPr>
              <w:jc w:val="center"/>
              <w:rPr>
                <w:rFonts w:ascii="Avenir" w:eastAsia="Avenir" w:hAnsi="Avenir" w:cs="Avenir"/>
                <w:color w:val="000000"/>
                <w:sz w:val="14"/>
                <w:szCs w:val="14"/>
                <w:highlight w:val="yellow"/>
              </w:rPr>
            </w:pPr>
            <w:r w:rsidRPr="00313A78">
              <w:rPr>
                <w:rFonts w:ascii="Avenir" w:eastAsia="Avenir" w:hAnsi="Avenir" w:cs="Avenir"/>
                <w:color w:val="000000"/>
                <w:sz w:val="14"/>
                <w:szCs w:val="14"/>
              </w:rPr>
              <w:t>Hyperlien et numéro de la décision d’approbation de la révision de la cible le cas échéant</w:t>
            </w:r>
          </w:p>
        </w:tc>
        <w:tc>
          <w:tcPr>
            <w:tcW w:w="1440" w:type="dxa"/>
            <w:shd w:val="clear" w:color="auto" w:fill="E7E6E6"/>
          </w:tcPr>
          <w:p w14:paraId="4E37D333" w14:textId="77777777" w:rsidR="00031A75" w:rsidRPr="00E11FFB" w:rsidRDefault="00031A75" w:rsidP="003A6DE1">
            <w:pPr>
              <w:jc w:val="center"/>
              <w:rPr>
                <w:rFonts w:ascii="Avenir" w:eastAsia="Avenir" w:hAnsi="Avenir" w:cs="Avenir"/>
                <w:color w:val="000000"/>
                <w:sz w:val="14"/>
                <w:szCs w:val="14"/>
              </w:rPr>
            </w:pPr>
            <w:r w:rsidRPr="00E11FFB">
              <w:rPr>
                <w:rFonts w:ascii="Avenir" w:eastAsia="Avenir" w:hAnsi="Avenir" w:cs="Avenir"/>
                <w:color w:val="000000"/>
                <w:sz w:val="14"/>
                <w:szCs w:val="14"/>
              </w:rPr>
              <w:t>Commentaires</w:t>
            </w:r>
            <w:r w:rsidRPr="00E11FFB">
              <w:rPr>
                <w:rFonts w:ascii="Avenir" w:eastAsia="Avenir" w:hAnsi="Avenir" w:cs="Avenir"/>
                <w:i/>
                <w:color w:val="000000"/>
                <w:sz w:val="14"/>
                <w:szCs w:val="14"/>
                <w:vertAlign w:val="superscript"/>
              </w:rPr>
              <w:footnoteReference w:id="8"/>
            </w:r>
          </w:p>
        </w:tc>
      </w:tr>
      <w:tr w:rsidR="001416D8" w:rsidRPr="00E11FFB" w14:paraId="2C75A28E" w14:textId="77777777" w:rsidTr="0021022F">
        <w:trPr>
          <w:trHeight w:val="355"/>
          <w:jc w:val="center"/>
        </w:trPr>
        <w:tc>
          <w:tcPr>
            <w:tcW w:w="2155" w:type="dxa"/>
            <w:vMerge w:val="restart"/>
          </w:tcPr>
          <w:p w14:paraId="752066C4" w14:textId="77777777" w:rsidR="001416D8" w:rsidRPr="00E11FFB" w:rsidRDefault="001416D8" w:rsidP="00A84692">
            <w:pPr>
              <w:rPr>
                <w:rFonts w:ascii="Avenir" w:eastAsia="Avenir" w:hAnsi="Avenir" w:cs="Avenir"/>
                <w:color w:val="000000"/>
                <w:sz w:val="16"/>
                <w:szCs w:val="16"/>
              </w:rPr>
            </w:pPr>
          </w:p>
          <w:p w14:paraId="3B932BFB" w14:textId="77777777" w:rsidR="001416D8" w:rsidRPr="00E11FFB" w:rsidRDefault="001416D8" w:rsidP="00A84692">
            <w:pPr>
              <w:rPr>
                <w:rFonts w:ascii="Avenir" w:eastAsia="Avenir" w:hAnsi="Avenir" w:cs="Avenir"/>
                <w:color w:val="000000"/>
                <w:sz w:val="16"/>
                <w:szCs w:val="16"/>
              </w:rPr>
            </w:pPr>
          </w:p>
          <w:p w14:paraId="7DDFA442" w14:textId="77777777" w:rsidR="001416D8" w:rsidRPr="00E11FFB" w:rsidRDefault="001416D8" w:rsidP="00A84692">
            <w:pPr>
              <w:rPr>
                <w:rFonts w:ascii="Avenir" w:eastAsia="Avenir" w:hAnsi="Avenir" w:cs="Avenir"/>
                <w:color w:val="000000"/>
                <w:sz w:val="16"/>
                <w:szCs w:val="16"/>
              </w:rPr>
            </w:pPr>
          </w:p>
          <w:p w14:paraId="2715F55F" w14:textId="77777777" w:rsidR="001416D8" w:rsidRPr="00E11FFB" w:rsidRDefault="001416D8" w:rsidP="00A84692">
            <w:pPr>
              <w:rPr>
                <w:rFonts w:ascii="Avenir" w:eastAsia="Avenir" w:hAnsi="Avenir" w:cs="Avenir"/>
                <w:color w:val="000000"/>
                <w:sz w:val="16"/>
                <w:szCs w:val="16"/>
              </w:rPr>
            </w:pPr>
          </w:p>
          <w:p w14:paraId="2679B5BA" w14:textId="77777777" w:rsidR="001416D8" w:rsidRPr="00E11FFB" w:rsidRDefault="001416D8" w:rsidP="00A84692">
            <w:pPr>
              <w:rPr>
                <w:rFonts w:ascii="Avenir" w:eastAsia="Avenir" w:hAnsi="Avenir" w:cs="Avenir"/>
                <w:color w:val="000000"/>
                <w:sz w:val="16"/>
                <w:szCs w:val="16"/>
              </w:rPr>
            </w:pPr>
          </w:p>
          <w:p w14:paraId="1E998AD0" w14:textId="77777777" w:rsidR="001416D8" w:rsidRPr="00E11FFB" w:rsidRDefault="001416D8" w:rsidP="00A84692">
            <w:pPr>
              <w:rPr>
                <w:rFonts w:ascii="Avenir" w:eastAsia="Avenir" w:hAnsi="Avenir" w:cs="Avenir"/>
                <w:color w:val="000000"/>
                <w:sz w:val="16"/>
                <w:szCs w:val="16"/>
              </w:rPr>
            </w:pPr>
          </w:p>
          <w:p w14:paraId="5537066A" w14:textId="77777777" w:rsidR="001416D8" w:rsidRPr="00E11FFB" w:rsidRDefault="001416D8" w:rsidP="00A84692">
            <w:pPr>
              <w:rPr>
                <w:rFonts w:ascii="Avenir" w:eastAsia="Avenir" w:hAnsi="Avenir" w:cs="Avenir"/>
                <w:color w:val="000000"/>
                <w:sz w:val="16"/>
                <w:szCs w:val="16"/>
              </w:rPr>
            </w:pPr>
          </w:p>
          <w:p w14:paraId="3C952D2A" w14:textId="77777777" w:rsidR="001416D8" w:rsidRPr="00E11FFB" w:rsidRDefault="001416D8" w:rsidP="00A84692">
            <w:pPr>
              <w:rPr>
                <w:rFonts w:ascii="Avenir" w:eastAsia="Avenir" w:hAnsi="Avenir" w:cs="Avenir"/>
                <w:color w:val="000000"/>
                <w:sz w:val="16"/>
                <w:szCs w:val="16"/>
              </w:rPr>
            </w:pPr>
          </w:p>
          <w:p w14:paraId="0F0D348F" w14:textId="77777777" w:rsidR="001416D8" w:rsidRPr="00E11FFB" w:rsidRDefault="001416D8" w:rsidP="00A84692">
            <w:pPr>
              <w:rPr>
                <w:rFonts w:ascii="Avenir" w:eastAsia="Avenir" w:hAnsi="Avenir" w:cs="Avenir"/>
                <w:color w:val="000000"/>
                <w:sz w:val="16"/>
                <w:szCs w:val="16"/>
              </w:rPr>
            </w:pPr>
          </w:p>
          <w:p w14:paraId="65198D89" w14:textId="77777777" w:rsidR="001416D8" w:rsidRPr="00E11FFB" w:rsidRDefault="001416D8" w:rsidP="00A84692">
            <w:pPr>
              <w:rPr>
                <w:rFonts w:ascii="Avenir" w:eastAsia="Avenir" w:hAnsi="Avenir" w:cs="Avenir"/>
                <w:color w:val="000000"/>
                <w:sz w:val="16"/>
                <w:szCs w:val="16"/>
              </w:rPr>
            </w:pPr>
          </w:p>
          <w:p w14:paraId="5C3D7F8F" w14:textId="77777777" w:rsidR="001416D8" w:rsidRPr="00E11FFB" w:rsidRDefault="001416D8" w:rsidP="00A84692">
            <w:pPr>
              <w:rPr>
                <w:rFonts w:ascii="Avenir" w:eastAsia="Avenir" w:hAnsi="Avenir" w:cs="Avenir"/>
                <w:color w:val="000000"/>
                <w:sz w:val="16"/>
                <w:szCs w:val="16"/>
              </w:rPr>
            </w:pPr>
          </w:p>
          <w:p w14:paraId="2148B827" w14:textId="77777777" w:rsidR="001416D8" w:rsidRPr="00E11FFB" w:rsidRDefault="001416D8" w:rsidP="00A84692">
            <w:pPr>
              <w:rPr>
                <w:rFonts w:ascii="Avenir" w:eastAsia="Avenir" w:hAnsi="Avenir" w:cs="Avenir"/>
                <w:color w:val="000000"/>
                <w:sz w:val="16"/>
                <w:szCs w:val="16"/>
              </w:rPr>
            </w:pPr>
          </w:p>
          <w:p w14:paraId="02E533C9" w14:textId="77777777" w:rsidR="00361CFF" w:rsidRPr="00E11FFB" w:rsidRDefault="00361CFF" w:rsidP="00A84692">
            <w:pPr>
              <w:rPr>
                <w:rFonts w:ascii="Avenir" w:eastAsia="Avenir" w:hAnsi="Avenir" w:cs="Avenir"/>
                <w:color w:val="000000"/>
                <w:sz w:val="16"/>
                <w:szCs w:val="16"/>
              </w:rPr>
            </w:pPr>
          </w:p>
          <w:p w14:paraId="5DCC9671" w14:textId="77777777" w:rsidR="00361CFF" w:rsidRPr="00E11FFB" w:rsidRDefault="00361CFF" w:rsidP="00A84692">
            <w:pPr>
              <w:rPr>
                <w:rFonts w:ascii="Avenir" w:eastAsia="Avenir" w:hAnsi="Avenir" w:cs="Avenir"/>
                <w:color w:val="000000"/>
                <w:sz w:val="16"/>
                <w:szCs w:val="16"/>
              </w:rPr>
            </w:pPr>
          </w:p>
          <w:p w14:paraId="7AA32F69" w14:textId="77777777" w:rsidR="00361CFF" w:rsidRPr="00E11FFB" w:rsidRDefault="00361CFF" w:rsidP="00A84692">
            <w:pPr>
              <w:rPr>
                <w:rFonts w:ascii="Avenir" w:eastAsia="Avenir" w:hAnsi="Avenir" w:cs="Avenir"/>
                <w:color w:val="000000"/>
                <w:sz w:val="16"/>
                <w:szCs w:val="16"/>
              </w:rPr>
            </w:pPr>
          </w:p>
          <w:p w14:paraId="0DACD66D" w14:textId="77777777" w:rsidR="00361CFF" w:rsidRPr="00E11FFB" w:rsidRDefault="00361CFF" w:rsidP="00A84692">
            <w:pPr>
              <w:rPr>
                <w:rFonts w:ascii="Avenir" w:eastAsia="Avenir" w:hAnsi="Avenir" w:cs="Avenir"/>
                <w:color w:val="000000"/>
                <w:sz w:val="16"/>
                <w:szCs w:val="16"/>
              </w:rPr>
            </w:pPr>
          </w:p>
          <w:p w14:paraId="46618187" w14:textId="77777777" w:rsidR="00361CFF" w:rsidRPr="00E11FFB" w:rsidRDefault="00361CFF" w:rsidP="00A84692">
            <w:pPr>
              <w:rPr>
                <w:rFonts w:ascii="Avenir" w:eastAsia="Avenir" w:hAnsi="Avenir" w:cs="Avenir"/>
                <w:color w:val="000000"/>
                <w:sz w:val="16"/>
                <w:szCs w:val="16"/>
              </w:rPr>
            </w:pPr>
          </w:p>
          <w:p w14:paraId="5EE78666" w14:textId="77777777" w:rsidR="00361CFF" w:rsidRPr="00E11FFB" w:rsidRDefault="00361CFF" w:rsidP="00A84692">
            <w:pPr>
              <w:rPr>
                <w:rFonts w:ascii="Avenir" w:eastAsia="Avenir" w:hAnsi="Avenir" w:cs="Avenir"/>
                <w:color w:val="000000"/>
                <w:sz w:val="16"/>
                <w:szCs w:val="16"/>
              </w:rPr>
            </w:pPr>
          </w:p>
          <w:p w14:paraId="0F7CB819" w14:textId="77777777" w:rsidR="00361CFF" w:rsidRPr="00E11FFB" w:rsidRDefault="00361CFF" w:rsidP="00A84692">
            <w:pPr>
              <w:rPr>
                <w:rFonts w:ascii="Avenir" w:eastAsia="Avenir" w:hAnsi="Avenir" w:cs="Avenir"/>
                <w:color w:val="000000"/>
                <w:sz w:val="16"/>
                <w:szCs w:val="16"/>
              </w:rPr>
            </w:pPr>
          </w:p>
          <w:p w14:paraId="6461F1EA" w14:textId="77777777" w:rsidR="00361CFF" w:rsidRPr="00E11FFB" w:rsidRDefault="00361CFF" w:rsidP="00A84692">
            <w:pPr>
              <w:rPr>
                <w:rFonts w:ascii="Avenir" w:eastAsia="Avenir" w:hAnsi="Avenir" w:cs="Avenir"/>
                <w:color w:val="000000"/>
                <w:sz w:val="16"/>
                <w:szCs w:val="16"/>
              </w:rPr>
            </w:pPr>
          </w:p>
          <w:p w14:paraId="0A26EED9" w14:textId="77777777" w:rsidR="00361CFF" w:rsidRPr="00E11FFB" w:rsidRDefault="00361CFF" w:rsidP="00A84692">
            <w:pPr>
              <w:rPr>
                <w:rFonts w:ascii="Avenir" w:eastAsia="Avenir" w:hAnsi="Avenir" w:cs="Avenir"/>
                <w:color w:val="000000"/>
                <w:sz w:val="16"/>
                <w:szCs w:val="16"/>
              </w:rPr>
            </w:pPr>
          </w:p>
          <w:p w14:paraId="7A42112D" w14:textId="77777777" w:rsidR="00361CFF" w:rsidRPr="00E11FFB" w:rsidRDefault="00361CFF" w:rsidP="00A84692">
            <w:pPr>
              <w:rPr>
                <w:rFonts w:ascii="Avenir" w:eastAsia="Avenir" w:hAnsi="Avenir" w:cs="Avenir"/>
                <w:color w:val="000000"/>
                <w:sz w:val="16"/>
                <w:szCs w:val="16"/>
              </w:rPr>
            </w:pPr>
          </w:p>
          <w:p w14:paraId="531C4FE6" w14:textId="77777777" w:rsidR="00361CFF" w:rsidRPr="00E11FFB" w:rsidRDefault="00361CFF" w:rsidP="00A84692">
            <w:pPr>
              <w:rPr>
                <w:rFonts w:ascii="Avenir" w:eastAsia="Avenir" w:hAnsi="Avenir" w:cs="Avenir"/>
                <w:color w:val="000000"/>
                <w:sz w:val="16"/>
                <w:szCs w:val="16"/>
              </w:rPr>
            </w:pPr>
          </w:p>
          <w:p w14:paraId="1C776A7E" w14:textId="77777777" w:rsidR="00361CFF" w:rsidRPr="00E11FFB" w:rsidRDefault="00361CFF" w:rsidP="00A84692">
            <w:pPr>
              <w:rPr>
                <w:rFonts w:ascii="Avenir" w:eastAsia="Avenir" w:hAnsi="Avenir" w:cs="Avenir"/>
                <w:color w:val="000000"/>
                <w:sz w:val="16"/>
                <w:szCs w:val="16"/>
              </w:rPr>
            </w:pPr>
          </w:p>
          <w:p w14:paraId="0D742F70" w14:textId="003215B5"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Produit 1.1 (Jalon g) : Loi AT promulguée ; Conseil National AT (CNAT) est mis en place et opérationnel ; Conseils Provinciaux et locaux AT (CPAT et CLAT) mis en place dans au moins deux Provinces-pilotes et dans tous les autres PIREDD.</w:t>
            </w:r>
          </w:p>
        </w:tc>
        <w:tc>
          <w:tcPr>
            <w:tcW w:w="2070" w:type="dxa"/>
          </w:tcPr>
          <w:p w14:paraId="3D4CA6B1" w14:textId="28C875C0"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Textes d’application élaborés, adoptés et vulgarisés (Décret, arrêtés et édits</w:t>
            </w:r>
          </w:p>
        </w:tc>
        <w:tc>
          <w:tcPr>
            <w:tcW w:w="1170" w:type="dxa"/>
            <w:shd w:val="clear" w:color="auto" w:fill="FFFFFF" w:themeFill="background1"/>
          </w:tcPr>
          <w:p w14:paraId="40A3A752" w14:textId="1A3B8B2F" w:rsidR="001416D8" w:rsidRPr="00E11FFB" w:rsidRDefault="001416D8" w:rsidP="00932BF5">
            <w:pPr>
              <w:rPr>
                <w:rFonts w:ascii="Avenir" w:eastAsia="Avenir" w:hAnsi="Avenir" w:cs="Avenir"/>
                <w:color w:val="000000"/>
                <w:sz w:val="16"/>
                <w:szCs w:val="16"/>
              </w:rPr>
            </w:pPr>
            <w:r w:rsidRPr="00E11FFB">
              <w:rPr>
                <w:rFonts w:ascii="Avenir" w:eastAsia="Avenir" w:hAnsi="Avenir" w:cs="Avenir"/>
                <w:color w:val="000000"/>
                <w:sz w:val="16"/>
                <w:szCs w:val="16"/>
              </w:rPr>
              <w:t>Projet de loi relative à l’AT en attente de promulgation par le Chef de l’Etat</w:t>
            </w:r>
          </w:p>
        </w:tc>
        <w:tc>
          <w:tcPr>
            <w:tcW w:w="1440" w:type="dxa"/>
          </w:tcPr>
          <w:p w14:paraId="388F95E3"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1 décret CNAT,</w:t>
            </w:r>
          </w:p>
          <w:p w14:paraId="7775FAF4"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1 arrêté désignation des membres,</w:t>
            </w:r>
          </w:p>
          <w:p w14:paraId="04296C83"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 xml:space="preserve">2 arrêtés sur CPAT des provinces pilotes, </w:t>
            </w:r>
          </w:p>
          <w:p w14:paraId="6156D884" w14:textId="44349975"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2 édits PPAT provinces pilotes</w:t>
            </w:r>
          </w:p>
        </w:tc>
        <w:tc>
          <w:tcPr>
            <w:tcW w:w="2088" w:type="dxa"/>
          </w:tcPr>
          <w:p w14:paraId="1DEEFB13" w14:textId="162E1D03" w:rsidR="00905EBA" w:rsidRPr="00E11FFB" w:rsidRDefault="00313A78" w:rsidP="00A84692">
            <w:pPr>
              <w:rPr>
                <w:rFonts w:ascii="Avenir" w:eastAsia="Avenir" w:hAnsi="Avenir" w:cs="Avenir"/>
                <w:color w:val="000000"/>
                <w:sz w:val="16"/>
                <w:szCs w:val="16"/>
              </w:rPr>
            </w:pPr>
            <w:hyperlink r:id="rId20" w:history="1">
              <w:r w:rsidR="001416D8" w:rsidRPr="006D79E9">
                <w:rPr>
                  <w:rStyle w:val="Lienhypertexte"/>
                  <w:rFonts w:eastAsia="Avenir"/>
                </w:rPr>
                <w:t xml:space="preserve">La loi </w:t>
              </w:r>
              <w:r w:rsidR="00905EBA" w:rsidRPr="006D79E9">
                <w:rPr>
                  <w:rStyle w:val="Lienhypertexte"/>
                  <w:rFonts w:eastAsia="Avenir"/>
                </w:rPr>
                <w:t>AT</w:t>
              </w:r>
            </w:hyperlink>
            <w:r w:rsidR="001416D8" w:rsidRPr="00313A78">
              <w:rPr>
                <w:rFonts w:ascii="Avenir" w:eastAsia="Avenir" w:hAnsi="Avenir" w:cs="Avenir"/>
                <w:color w:val="000000"/>
                <w:sz w:val="16"/>
                <w:szCs w:val="16"/>
              </w:rPr>
              <w:t xml:space="preserve"> </w:t>
            </w:r>
            <w:r w:rsidR="001416D8" w:rsidRPr="00563571">
              <w:rPr>
                <w:rFonts w:ascii="Avenir" w:eastAsia="Avenir" w:hAnsi="Avenir" w:cs="Avenir"/>
                <w:color w:val="000000"/>
                <w:sz w:val="16"/>
                <w:szCs w:val="16"/>
              </w:rPr>
              <w:t>promulguée</w:t>
            </w:r>
            <w:r w:rsidR="001416D8" w:rsidRPr="00E11FFB">
              <w:rPr>
                <w:rFonts w:ascii="Avenir" w:eastAsia="Avenir" w:hAnsi="Avenir" w:cs="Avenir"/>
                <w:color w:val="000000"/>
                <w:sz w:val="16"/>
                <w:szCs w:val="16"/>
              </w:rPr>
              <w:t xml:space="preserve"> </w:t>
            </w:r>
          </w:p>
          <w:p w14:paraId="7D4D72E7" w14:textId="78357376" w:rsidR="001416D8" w:rsidRPr="00E11FFB" w:rsidRDefault="00905EBA" w:rsidP="00A84692">
            <w:pPr>
              <w:rPr>
                <w:rFonts w:ascii="Avenir" w:eastAsia="Avenir" w:hAnsi="Avenir" w:cs="Avenir"/>
                <w:color w:val="000000"/>
                <w:sz w:val="16"/>
                <w:szCs w:val="16"/>
              </w:rPr>
            </w:pPr>
            <w:r w:rsidRPr="00E11FFB">
              <w:rPr>
                <w:rFonts w:ascii="Avenir" w:eastAsia="Avenir" w:hAnsi="Avenir" w:cs="Avenir"/>
                <w:color w:val="000000"/>
                <w:sz w:val="16"/>
                <w:szCs w:val="16"/>
              </w:rPr>
              <w:t xml:space="preserve">1 </w:t>
            </w:r>
            <w:r w:rsidR="001416D8" w:rsidRPr="00E11FFB">
              <w:rPr>
                <w:rFonts w:ascii="Avenir" w:eastAsia="Avenir" w:hAnsi="Avenir" w:cs="Avenir"/>
                <w:color w:val="000000"/>
                <w:sz w:val="16"/>
                <w:szCs w:val="16"/>
              </w:rPr>
              <w:t xml:space="preserve">Décret CNAT adopté </w:t>
            </w:r>
            <w:r w:rsidR="004F3468" w:rsidRPr="00E11FFB">
              <w:rPr>
                <w:rFonts w:ascii="Avenir" w:eastAsia="Avenir" w:hAnsi="Avenir" w:cs="Avenir"/>
                <w:color w:val="000000"/>
                <w:sz w:val="16"/>
                <w:szCs w:val="16"/>
              </w:rPr>
              <w:t>au 63</w:t>
            </w:r>
            <w:r w:rsidR="001416D8" w:rsidRPr="00E11FFB">
              <w:rPr>
                <w:rFonts w:ascii="Avenir" w:eastAsia="Avenir" w:hAnsi="Avenir" w:cs="Avenir"/>
                <w:color w:val="000000"/>
                <w:sz w:val="16"/>
                <w:szCs w:val="16"/>
                <w:vertAlign w:val="superscript"/>
              </w:rPr>
              <w:t>ième</w:t>
            </w:r>
            <w:r w:rsidR="001416D8" w:rsidRPr="00E11FFB">
              <w:rPr>
                <w:rFonts w:ascii="Avenir" w:eastAsia="Avenir" w:hAnsi="Avenir" w:cs="Avenir"/>
                <w:color w:val="000000"/>
                <w:sz w:val="16"/>
                <w:szCs w:val="16"/>
              </w:rPr>
              <w:t xml:space="preserve"> conseil de ministre </w:t>
            </w:r>
          </w:p>
          <w:p w14:paraId="39462E2F" w14:textId="77777777" w:rsidR="001416D8" w:rsidRDefault="00905EBA" w:rsidP="00A84692">
            <w:pPr>
              <w:rPr>
                <w:rFonts w:ascii="Avenir" w:eastAsia="Avenir" w:hAnsi="Avenir" w:cs="Avenir"/>
                <w:color w:val="000000"/>
                <w:sz w:val="16"/>
                <w:szCs w:val="16"/>
              </w:rPr>
            </w:pPr>
            <w:r w:rsidRPr="00E11FFB">
              <w:rPr>
                <w:rFonts w:ascii="Avenir" w:eastAsia="Avenir" w:hAnsi="Avenir" w:cs="Avenir"/>
                <w:color w:val="000000"/>
                <w:sz w:val="16"/>
                <w:szCs w:val="16"/>
              </w:rPr>
              <w:t>1</w:t>
            </w:r>
            <w:r w:rsidR="00822EFB">
              <w:rPr>
                <w:rFonts w:ascii="Avenir" w:eastAsia="Avenir" w:hAnsi="Avenir" w:cs="Avenir"/>
                <w:color w:val="000000"/>
                <w:sz w:val="16"/>
                <w:szCs w:val="16"/>
              </w:rPr>
              <w:t xml:space="preserve"> arrêté</w:t>
            </w:r>
            <w:r w:rsidR="00A615D4" w:rsidRPr="00E11FFB">
              <w:rPr>
                <w:rFonts w:ascii="Avenir" w:eastAsia="Avenir" w:hAnsi="Avenir" w:cs="Avenir"/>
                <w:color w:val="000000"/>
                <w:sz w:val="16"/>
                <w:szCs w:val="16"/>
              </w:rPr>
              <w:t xml:space="preserve"> CPAT </w:t>
            </w:r>
            <w:r w:rsidRPr="00E11FFB">
              <w:rPr>
                <w:rFonts w:ascii="Avenir" w:eastAsia="Avenir" w:hAnsi="Avenir" w:cs="Avenir"/>
                <w:color w:val="000000"/>
                <w:sz w:val="16"/>
                <w:szCs w:val="16"/>
              </w:rPr>
              <w:t>d</w:t>
            </w:r>
            <w:r w:rsidR="00A615D4" w:rsidRPr="00E11FFB">
              <w:rPr>
                <w:rFonts w:ascii="Avenir" w:eastAsia="Avenir" w:hAnsi="Avenir" w:cs="Avenir"/>
                <w:color w:val="000000"/>
                <w:sz w:val="16"/>
                <w:szCs w:val="16"/>
              </w:rPr>
              <w:t>ans le PIREDD Kasaï oriental</w:t>
            </w:r>
          </w:p>
          <w:p w14:paraId="5BBD3716" w14:textId="54D999DA" w:rsidR="00822EFB" w:rsidRPr="00E11FFB" w:rsidRDefault="00822EFB" w:rsidP="00A84692">
            <w:pPr>
              <w:rPr>
                <w:rFonts w:ascii="Avenir" w:eastAsia="Avenir" w:hAnsi="Avenir" w:cs="Avenir"/>
                <w:color w:val="000000"/>
                <w:sz w:val="16"/>
                <w:szCs w:val="16"/>
              </w:rPr>
            </w:pPr>
            <w:r>
              <w:rPr>
                <w:rFonts w:ascii="Avenir" w:eastAsia="Avenir" w:hAnsi="Avenir" w:cs="Avenir"/>
                <w:color w:val="000000"/>
                <w:sz w:val="16"/>
                <w:szCs w:val="16"/>
              </w:rPr>
              <w:t>0 édit PPAT</w:t>
            </w:r>
          </w:p>
        </w:tc>
        <w:tc>
          <w:tcPr>
            <w:tcW w:w="959" w:type="dxa"/>
          </w:tcPr>
          <w:p w14:paraId="4DFBD6AE" w14:textId="26D9E511" w:rsidR="001416D8" w:rsidRPr="00E11FFB" w:rsidRDefault="001416D8" w:rsidP="00932BF5">
            <w:pPr>
              <w:jc w:val="center"/>
              <w:rPr>
                <w:rFonts w:ascii="Avenir" w:eastAsia="Avenir" w:hAnsi="Avenir" w:cs="Avenir"/>
                <w:color w:val="000000"/>
                <w:sz w:val="16"/>
                <w:szCs w:val="16"/>
              </w:rPr>
            </w:pPr>
          </w:p>
          <w:p w14:paraId="4AF2DC3F" w14:textId="77777777" w:rsidR="00563571" w:rsidRPr="00E11FFB" w:rsidRDefault="00563571" w:rsidP="00563571">
            <w:pPr>
              <w:rPr>
                <w:rFonts w:ascii="Avenir" w:eastAsia="Avenir" w:hAnsi="Avenir" w:cs="Avenir"/>
                <w:color w:val="000000"/>
                <w:sz w:val="16"/>
                <w:szCs w:val="16"/>
              </w:rPr>
            </w:pPr>
            <w:r w:rsidRPr="00E11FFB">
              <w:rPr>
                <w:rFonts w:ascii="Avenir" w:eastAsia="Avenir" w:hAnsi="Avenir" w:cs="Avenir"/>
                <w:color w:val="000000"/>
                <w:sz w:val="16"/>
                <w:szCs w:val="16"/>
              </w:rPr>
              <w:t>1 Décret CNAT adopté au 63</w:t>
            </w:r>
            <w:r w:rsidRPr="00E11FFB">
              <w:rPr>
                <w:rFonts w:ascii="Avenir" w:eastAsia="Avenir" w:hAnsi="Avenir" w:cs="Avenir"/>
                <w:color w:val="000000"/>
                <w:sz w:val="16"/>
                <w:szCs w:val="16"/>
                <w:vertAlign w:val="superscript"/>
              </w:rPr>
              <w:t>ième</w:t>
            </w:r>
            <w:r w:rsidRPr="00E11FFB">
              <w:rPr>
                <w:rFonts w:ascii="Avenir" w:eastAsia="Avenir" w:hAnsi="Avenir" w:cs="Avenir"/>
                <w:color w:val="000000"/>
                <w:sz w:val="16"/>
                <w:szCs w:val="16"/>
              </w:rPr>
              <w:t xml:space="preserve"> conseil de ministre </w:t>
            </w:r>
          </w:p>
          <w:p w14:paraId="61F83A05" w14:textId="77777777" w:rsidR="00563571" w:rsidRDefault="00563571" w:rsidP="00563571">
            <w:pPr>
              <w:rPr>
                <w:rFonts w:ascii="Avenir" w:eastAsia="Avenir" w:hAnsi="Avenir" w:cs="Avenir"/>
                <w:color w:val="000000"/>
                <w:sz w:val="16"/>
                <w:szCs w:val="16"/>
              </w:rPr>
            </w:pPr>
            <w:r w:rsidRPr="00E11FFB">
              <w:rPr>
                <w:rFonts w:ascii="Avenir" w:eastAsia="Avenir" w:hAnsi="Avenir" w:cs="Avenir"/>
                <w:color w:val="000000"/>
                <w:sz w:val="16"/>
                <w:szCs w:val="16"/>
              </w:rPr>
              <w:t>1</w:t>
            </w:r>
            <w:r>
              <w:rPr>
                <w:rFonts w:ascii="Avenir" w:eastAsia="Avenir" w:hAnsi="Avenir" w:cs="Avenir"/>
                <w:color w:val="000000"/>
                <w:sz w:val="16"/>
                <w:szCs w:val="16"/>
              </w:rPr>
              <w:t xml:space="preserve"> arrêté</w:t>
            </w:r>
            <w:r w:rsidRPr="00E11FFB">
              <w:rPr>
                <w:rFonts w:ascii="Avenir" w:eastAsia="Avenir" w:hAnsi="Avenir" w:cs="Avenir"/>
                <w:color w:val="000000"/>
                <w:sz w:val="16"/>
                <w:szCs w:val="16"/>
              </w:rPr>
              <w:t xml:space="preserve"> CPAT dans le PIREDD Kasaï oriental</w:t>
            </w:r>
          </w:p>
          <w:p w14:paraId="619FFBB4" w14:textId="0AD6C98E" w:rsidR="001416D8" w:rsidRPr="00E11FFB" w:rsidRDefault="00563571" w:rsidP="00563571">
            <w:pPr>
              <w:jc w:val="center"/>
              <w:rPr>
                <w:rFonts w:ascii="Avenir" w:eastAsia="Avenir" w:hAnsi="Avenir" w:cs="Avenir"/>
                <w:color w:val="000000"/>
                <w:sz w:val="16"/>
                <w:szCs w:val="16"/>
              </w:rPr>
            </w:pPr>
            <w:r>
              <w:rPr>
                <w:rFonts w:ascii="Avenir" w:eastAsia="Avenir" w:hAnsi="Avenir" w:cs="Avenir"/>
                <w:color w:val="000000"/>
                <w:sz w:val="16"/>
                <w:szCs w:val="16"/>
              </w:rPr>
              <w:t>0 édit PPAT</w:t>
            </w:r>
          </w:p>
        </w:tc>
        <w:tc>
          <w:tcPr>
            <w:tcW w:w="1067" w:type="dxa"/>
          </w:tcPr>
          <w:p w14:paraId="17674DFA"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1 décret CNAT,</w:t>
            </w:r>
          </w:p>
          <w:p w14:paraId="71273354"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1 décret SNAT,</w:t>
            </w:r>
          </w:p>
          <w:p w14:paraId="07E9109C"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1 arrêté désignation des membres,</w:t>
            </w:r>
          </w:p>
          <w:p w14:paraId="132EE427" w14:textId="77777777"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CPAT (dont 2 provinces Pilotes et 12 provinces PIREDD,</w:t>
            </w:r>
          </w:p>
          <w:p w14:paraId="51881A5B" w14:textId="08F3577B" w:rsidR="001416D8" w:rsidRPr="00E11FFB" w:rsidRDefault="001416D8" w:rsidP="00A84692">
            <w:pPr>
              <w:rPr>
                <w:rFonts w:ascii="Avenir" w:eastAsia="Avenir" w:hAnsi="Avenir" w:cs="Avenir"/>
                <w:color w:val="000000"/>
                <w:sz w:val="16"/>
                <w:szCs w:val="16"/>
              </w:rPr>
            </w:pPr>
            <w:r w:rsidRPr="00E11FFB">
              <w:rPr>
                <w:rFonts w:ascii="Avenir" w:eastAsia="Avenir" w:hAnsi="Avenir" w:cs="Avenir"/>
                <w:color w:val="000000"/>
                <w:sz w:val="16"/>
                <w:szCs w:val="16"/>
              </w:rPr>
              <w:t>14 édits PPAT.</w:t>
            </w:r>
          </w:p>
        </w:tc>
        <w:tc>
          <w:tcPr>
            <w:tcW w:w="794" w:type="dxa"/>
          </w:tcPr>
          <w:p w14:paraId="6D67F976" w14:textId="7A46A4BC" w:rsidR="001416D8" w:rsidRPr="006D79E9" w:rsidRDefault="001416D8" w:rsidP="00A84692">
            <w:pPr>
              <w:rPr>
                <w:rFonts w:ascii="Avenir" w:eastAsia="Avenir" w:hAnsi="Avenir" w:cs="Avenir"/>
                <w:color w:val="000000"/>
                <w:sz w:val="16"/>
                <w:szCs w:val="16"/>
                <w:lang w:val="en-US"/>
              </w:rPr>
            </w:pPr>
            <w:r w:rsidRPr="00E11FFB">
              <w:rPr>
                <w:rFonts w:ascii="Avenir" w:eastAsia="Avenir" w:hAnsi="Avenir" w:cs="Avenir"/>
                <w:color w:val="000000"/>
                <w:sz w:val="16"/>
                <w:szCs w:val="16"/>
              </w:rPr>
              <w:t>NA</w:t>
            </w:r>
          </w:p>
        </w:tc>
        <w:tc>
          <w:tcPr>
            <w:tcW w:w="1454" w:type="dxa"/>
          </w:tcPr>
          <w:p w14:paraId="48DA0CFE" w14:textId="3EF4BD22" w:rsidR="004F3468" w:rsidRPr="00E11FFB" w:rsidRDefault="004F3468" w:rsidP="00A84692">
            <w:pPr>
              <w:spacing w:after="5"/>
              <w:rPr>
                <w:rFonts w:ascii="Avenir" w:eastAsia="Avenir" w:hAnsi="Avenir" w:cs="Avenir"/>
                <w:color w:val="000000"/>
                <w:sz w:val="16"/>
                <w:szCs w:val="16"/>
              </w:rPr>
            </w:pPr>
          </w:p>
        </w:tc>
        <w:tc>
          <w:tcPr>
            <w:tcW w:w="1440" w:type="dxa"/>
          </w:tcPr>
          <w:p w14:paraId="1B401EC1" w14:textId="77777777" w:rsidR="001416D8" w:rsidRDefault="006E39B7" w:rsidP="00A84692">
            <w:pPr>
              <w:spacing w:after="5"/>
              <w:rPr>
                <w:rFonts w:ascii="Avenir" w:eastAsia="Avenir" w:hAnsi="Avenir" w:cs="Avenir"/>
                <w:color w:val="000000"/>
                <w:sz w:val="16"/>
                <w:szCs w:val="16"/>
              </w:rPr>
            </w:pPr>
            <w:r>
              <w:rPr>
                <w:rFonts w:ascii="Avenir" w:eastAsia="Avenir" w:hAnsi="Avenir" w:cs="Avenir"/>
                <w:color w:val="000000"/>
                <w:sz w:val="16"/>
                <w:szCs w:val="16"/>
              </w:rPr>
              <w:t>Loi promulguée avec l’appui PARAT</w:t>
            </w:r>
            <w:r w:rsidR="00A11261">
              <w:rPr>
                <w:rFonts w:ascii="Avenir" w:eastAsia="Avenir" w:hAnsi="Avenir" w:cs="Avenir"/>
                <w:color w:val="000000"/>
                <w:sz w:val="16"/>
                <w:szCs w:val="16"/>
              </w:rPr>
              <w:t xml:space="preserve"> et accompagnement PAAJ</w:t>
            </w:r>
          </w:p>
          <w:p w14:paraId="42709BBA" w14:textId="77777777" w:rsidR="00563571" w:rsidRDefault="00563571" w:rsidP="00A84692">
            <w:pPr>
              <w:spacing w:after="5"/>
              <w:rPr>
                <w:rFonts w:ascii="Avenir" w:eastAsia="Avenir" w:hAnsi="Avenir" w:cs="Avenir"/>
                <w:color w:val="000000"/>
                <w:sz w:val="16"/>
                <w:szCs w:val="16"/>
              </w:rPr>
            </w:pPr>
          </w:p>
          <w:p w14:paraId="7031401E" w14:textId="136BFDF5" w:rsidR="00563571" w:rsidRPr="006D79E9" w:rsidRDefault="00563571" w:rsidP="00A84692">
            <w:pPr>
              <w:spacing w:after="5"/>
              <w:rPr>
                <w:rFonts w:ascii="Avenir" w:eastAsia="Avenir" w:hAnsi="Avenir" w:cs="Avenir"/>
                <w:color w:val="000000"/>
                <w:sz w:val="16"/>
                <w:szCs w:val="16"/>
                <w:lang w:val="fr-FR"/>
              </w:rPr>
            </w:pPr>
            <w:r>
              <w:rPr>
                <w:rFonts w:ascii="Avenir" w:eastAsia="Avenir" w:hAnsi="Avenir" w:cs="Avenir"/>
                <w:color w:val="000000"/>
                <w:sz w:val="16"/>
                <w:szCs w:val="16"/>
              </w:rPr>
              <w:t>CPAT dans KORLO</w:t>
            </w:r>
            <w:r>
              <w:rPr>
                <w:rFonts w:ascii="Avenir" w:eastAsia="Avenir" w:hAnsi="Avenir" w:cs="Avenir"/>
                <w:color w:val="000000"/>
                <w:sz w:val="16"/>
                <w:szCs w:val="16"/>
                <w:lang w:val="fr-FR"/>
              </w:rPr>
              <w:t>M sur base du modèle d’arrêté élaboré sous PAAJ</w:t>
            </w:r>
          </w:p>
        </w:tc>
      </w:tr>
      <w:tr w:rsidR="007E56B8" w:rsidRPr="00E11FFB" w14:paraId="1C0B73C4" w14:textId="77777777" w:rsidTr="004F3468">
        <w:trPr>
          <w:trHeight w:val="318"/>
          <w:jc w:val="center"/>
        </w:trPr>
        <w:tc>
          <w:tcPr>
            <w:tcW w:w="2155" w:type="dxa"/>
            <w:vMerge/>
          </w:tcPr>
          <w:p w14:paraId="62DB29D7" w14:textId="77777777" w:rsidR="007E56B8" w:rsidRPr="00E11FFB" w:rsidRDefault="007E56B8" w:rsidP="007E56B8">
            <w:pPr>
              <w:rPr>
                <w:rFonts w:ascii="Avenir" w:eastAsia="Avenir" w:hAnsi="Avenir" w:cs="Avenir"/>
                <w:color w:val="000000"/>
                <w:sz w:val="16"/>
                <w:szCs w:val="16"/>
              </w:rPr>
            </w:pPr>
          </w:p>
        </w:tc>
        <w:tc>
          <w:tcPr>
            <w:tcW w:w="2070" w:type="dxa"/>
          </w:tcPr>
          <w:p w14:paraId="0CE0FC7E" w14:textId="48DA32DE"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 membres du Conseil National d’AT formés.</w:t>
            </w:r>
            <w:r w:rsidRPr="00E11FFB">
              <w:rPr>
                <w:rFonts w:ascii="Avenir" w:hAnsi="Avenir"/>
                <w:sz w:val="18"/>
                <w:szCs w:val="18"/>
              </w:rPr>
              <w:t xml:space="preserve">  </w:t>
            </w:r>
          </w:p>
        </w:tc>
        <w:tc>
          <w:tcPr>
            <w:tcW w:w="1170" w:type="dxa"/>
            <w:shd w:val="clear" w:color="auto" w:fill="FFFFFF" w:themeFill="background1"/>
          </w:tcPr>
          <w:p w14:paraId="2E432A04" w14:textId="2F3F5663" w:rsidR="007E56B8" w:rsidRPr="00E11FFB" w:rsidRDefault="009336B8"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61AFB6CA" w14:textId="1B3135E4"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50 dont 30 % des femmes et 70 % d’hommes</w:t>
            </w:r>
          </w:p>
        </w:tc>
        <w:tc>
          <w:tcPr>
            <w:tcW w:w="2088" w:type="dxa"/>
          </w:tcPr>
          <w:p w14:paraId="2D044D55" w14:textId="6C17D24B"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19178994" w14:textId="610F7079" w:rsidR="007E56B8" w:rsidRPr="00E11FFB" w:rsidRDefault="007E56B8" w:rsidP="007E56B8">
            <w:pPr>
              <w:jc w:val="center"/>
              <w:rPr>
                <w:rFonts w:ascii="Avenir" w:eastAsia="Avenir" w:hAnsi="Avenir" w:cs="Avenir"/>
                <w:color w:val="000000"/>
                <w:sz w:val="16"/>
                <w:szCs w:val="16"/>
              </w:rPr>
            </w:pPr>
          </w:p>
        </w:tc>
        <w:tc>
          <w:tcPr>
            <w:tcW w:w="1067" w:type="dxa"/>
          </w:tcPr>
          <w:p w14:paraId="3705A21F" w14:textId="76F394EE"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50 dont 30 % des femmes et 70 % d’hommes</w:t>
            </w:r>
          </w:p>
        </w:tc>
        <w:tc>
          <w:tcPr>
            <w:tcW w:w="794" w:type="dxa"/>
          </w:tcPr>
          <w:p w14:paraId="6E29514E" w14:textId="77777777" w:rsidR="007E56B8" w:rsidRPr="00E11FFB" w:rsidRDefault="007E56B8" w:rsidP="007E56B8">
            <w:pPr>
              <w:rPr>
                <w:rFonts w:ascii="Avenir" w:eastAsia="Avenir" w:hAnsi="Avenir" w:cs="Avenir"/>
                <w:color w:val="000000"/>
                <w:sz w:val="16"/>
                <w:szCs w:val="16"/>
              </w:rPr>
            </w:pPr>
          </w:p>
        </w:tc>
        <w:tc>
          <w:tcPr>
            <w:tcW w:w="1454" w:type="dxa"/>
          </w:tcPr>
          <w:p w14:paraId="42211991"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0ADEAFD0" w14:textId="4512FD15"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signature du décret CNAT et désignation des membres</w:t>
            </w:r>
          </w:p>
        </w:tc>
      </w:tr>
      <w:tr w:rsidR="007E56B8" w:rsidRPr="00E11FFB" w14:paraId="34503431" w14:textId="77777777" w:rsidTr="004F3468">
        <w:trPr>
          <w:trHeight w:val="318"/>
          <w:jc w:val="center"/>
        </w:trPr>
        <w:tc>
          <w:tcPr>
            <w:tcW w:w="2155" w:type="dxa"/>
            <w:vMerge/>
          </w:tcPr>
          <w:p w14:paraId="0AC7C01C" w14:textId="77777777" w:rsidR="007E56B8" w:rsidRPr="00E11FFB" w:rsidRDefault="007E56B8" w:rsidP="007E56B8">
            <w:pPr>
              <w:rPr>
                <w:rFonts w:ascii="Avenir" w:eastAsia="Avenir" w:hAnsi="Avenir" w:cs="Avenir"/>
                <w:color w:val="000000"/>
                <w:sz w:val="16"/>
                <w:szCs w:val="16"/>
              </w:rPr>
            </w:pPr>
          </w:p>
        </w:tc>
        <w:tc>
          <w:tcPr>
            <w:tcW w:w="2070" w:type="dxa"/>
          </w:tcPr>
          <w:p w14:paraId="2C21A86C" w14:textId="5B810249"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 xml:space="preserve">Nbre de membres du Conseil National d’AT formés déclarant utiliser (ou utilisant) les outils et informations auxquels ils ont été formés un an après.  </w:t>
            </w:r>
          </w:p>
        </w:tc>
        <w:tc>
          <w:tcPr>
            <w:tcW w:w="1170" w:type="dxa"/>
            <w:shd w:val="clear" w:color="auto" w:fill="FFFFFF" w:themeFill="background1"/>
          </w:tcPr>
          <w:p w14:paraId="2246FE32" w14:textId="28F8E230" w:rsidR="007E56B8" w:rsidRPr="00E11FFB" w:rsidRDefault="0053037F"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1892782B" w14:textId="516F4703"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40 dont 30 % des femmes et 70 % d’hommes</w:t>
            </w:r>
          </w:p>
        </w:tc>
        <w:tc>
          <w:tcPr>
            <w:tcW w:w="2088" w:type="dxa"/>
          </w:tcPr>
          <w:p w14:paraId="4618BF58" w14:textId="68EB83DA"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3E7175E0" w14:textId="285AAF65" w:rsidR="007E56B8" w:rsidRPr="00E11FFB" w:rsidRDefault="007E56B8" w:rsidP="007E56B8">
            <w:pPr>
              <w:jc w:val="center"/>
              <w:rPr>
                <w:rFonts w:ascii="Avenir" w:eastAsia="Avenir" w:hAnsi="Avenir" w:cs="Avenir"/>
                <w:color w:val="000000"/>
                <w:sz w:val="16"/>
                <w:szCs w:val="16"/>
              </w:rPr>
            </w:pPr>
          </w:p>
        </w:tc>
        <w:tc>
          <w:tcPr>
            <w:tcW w:w="1067" w:type="dxa"/>
          </w:tcPr>
          <w:p w14:paraId="21C3E33A" w14:textId="649C0FC2"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40 dont 30 % des femmes et 70 % d’hommes</w:t>
            </w:r>
          </w:p>
        </w:tc>
        <w:tc>
          <w:tcPr>
            <w:tcW w:w="794" w:type="dxa"/>
          </w:tcPr>
          <w:p w14:paraId="72F0DB2B" w14:textId="77777777" w:rsidR="007E56B8" w:rsidRPr="00E11FFB" w:rsidRDefault="007E56B8" w:rsidP="007E56B8">
            <w:pPr>
              <w:rPr>
                <w:rFonts w:ascii="Avenir" w:eastAsia="Avenir" w:hAnsi="Avenir" w:cs="Avenir"/>
                <w:color w:val="000000"/>
                <w:sz w:val="16"/>
                <w:szCs w:val="16"/>
              </w:rPr>
            </w:pPr>
          </w:p>
        </w:tc>
        <w:tc>
          <w:tcPr>
            <w:tcW w:w="1454" w:type="dxa"/>
          </w:tcPr>
          <w:p w14:paraId="1D14FC2E"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491B386B" w14:textId="37BD4B92"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signature du décret CNAT et désignation des membres</w:t>
            </w:r>
          </w:p>
        </w:tc>
      </w:tr>
      <w:tr w:rsidR="007E56B8" w:rsidRPr="00E11FFB" w14:paraId="2B1DEA51" w14:textId="77777777" w:rsidTr="004F3468">
        <w:trPr>
          <w:trHeight w:val="318"/>
          <w:jc w:val="center"/>
        </w:trPr>
        <w:tc>
          <w:tcPr>
            <w:tcW w:w="2155" w:type="dxa"/>
            <w:vMerge/>
          </w:tcPr>
          <w:p w14:paraId="2A30ADD5" w14:textId="77777777" w:rsidR="007E56B8" w:rsidRPr="00E11FFB" w:rsidRDefault="007E56B8" w:rsidP="007E56B8">
            <w:pPr>
              <w:rPr>
                <w:rFonts w:ascii="Avenir" w:eastAsia="Avenir" w:hAnsi="Avenir" w:cs="Avenir"/>
                <w:color w:val="000000"/>
                <w:sz w:val="16"/>
                <w:szCs w:val="16"/>
              </w:rPr>
            </w:pPr>
          </w:p>
        </w:tc>
        <w:tc>
          <w:tcPr>
            <w:tcW w:w="2070" w:type="dxa"/>
          </w:tcPr>
          <w:p w14:paraId="288981E6" w14:textId="136A9B72"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Conseil National d’AT est fonctionnel.</w:t>
            </w:r>
          </w:p>
        </w:tc>
        <w:tc>
          <w:tcPr>
            <w:tcW w:w="1170" w:type="dxa"/>
            <w:shd w:val="clear" w:color="auto" w:fill="FFFFFF" w:themeFill="background1"/>
          </w:tcPr>
          <w:p w14:paraId="3E490CE7" w14:textId="07625150"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1380C42D" w14:textId="0D0DBA8A"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1 réunion</w:t>
            </w:r>
          </w:p>
        </w:tc>
        <w:tc>
          <w:tcPr>
            <w:tcW w:w="2088" w:type="dxa"/>
          </w:tcPr>
          <w:p w14:paraId="4DF2A60C" w14:textId="2E2E1EBC"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70D900EF" w14:textId="054AAC8E" w:rsidR="007E56B8" w:rsidRPr="00E11FFB" w:rsidRDefault="007E56B8" w:rsidP="007E56B8">
            <w:pPr>
              <w:jc w:val="center"/>
              <w:rPr>
                <w:rFonts w:ascii="Avenir" w:eastAsia="Avenir" w:hAnsi="Avenir" w:cs="Avenir"/>
                <w:color w:val="000000"/>
                <w:sz w:val="16"/>
                <w:szCs w:val="16"/>
              </w:rPr>
            </w:pPr>
          </w:p>
        </w:tc>
        <w:tc>
          <w:tcPr>
            <w:tcW w:w="1067" w:type="dxa"/>
          </w:tcPr>
          <w:p w14:paraId="5005C437" w14:textId="4B6BBDF3"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3 réunions ordinaires</w:t>
            </w:r>
          </w:p>
        </w:tc>
        <w:tc>
          <w:tcPr>
            <w:tcW w:w="794" w:type="dxa"/>
          </w:tcPr>
          <w:p w14:paraId="08454155" w14:textId="77777777" w:rsidR="007E56B8" w:rsidRPr="00E11FFB" w:rsidRDefault="007E56B8" w:rsidP="007E56B8">
            <w:pPr>
              <w:rPr>
                <w:rFonts w:ascii="Avenir" w:eastAsia="Avenir" w:hAnsi="Avenir" w:cs="Avenir"/>
                <w:color w:val="000000"/>
                <w:sz w:val="16"/>
                <w:szCs w:val="16"/>
              </w:rPr>
            </w:pPr>
          </w:p>
        </w:tc>
        <w:tc>
          <w:tcPr>
            <w:tcW w:w="1454" w:type="dxa"/>
          </w:tcPr>
          <w:p w14:paraId="63E81B11"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5A633610" w14:textId="70343010"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signature du décret CNAT et désignation des membres</w:t>
            </w:r>
          </w:p>
        </w:tc>
      </w:tr>
      <w:tr w:rsidR="007E56B8" w:rsidRPr="00E11FFB" w14:paraId="75BC79E6" w14:textId="77777777" w:rsidTr="004F3468">
        <w:trPr>
          <w:trHeight w:val="318"/>
          <w:jc w:val="center"/>
        </w:trPr>
        <w:tc>
          <w:tcPr>
            <w:tcW w:w="2155" w:type="dxa"/>
            <w:vMerge/>
          </w:tcPr>
          <w:p w14:paraId="4BEC71F1" w14:textId="77777777" w:rsidR="007E56B8" w:rsidRPr="00E11FFB" w:rsidRDefault="007E56B8" w:rsidP="007E56B8">
            <w:pPr>
              <w:rPr>
                <w:rFonts w:ascii="Avenir" w:eastAsia="Avenir" w:hAnsi="Avenir" w:cs="Avenir"/>
                <w:color w:val="000000"/>
                <w:sz w:val="16"/>
                <w:szCs w:val="16"/>
              </w:rPr>
            </w:pPr>
          </w:p>
        </w:tc>
        <w:tc>
          <w:tcPr>
            <w:tcW w:w="2070" w:type="dxa"/>
          </w:tcPr>
          <w:p w14:paraId="48DC1A7E" w14:textId="575E0A1A"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 sessions du Conseil National d’AT tenues.</w:t>
            </w:r>
          </w:p>
        </w:tc>
        <w:tc>
          <w:tcPr>
            <w:tcW w:w="1170" w:type="dxa"/>
            <w:shd w:val="clear" w:color="auto" w:fill="FFFFFF" w:themeFill="background1"/>
          </w:tcPr>
          <w:p w14:paraId="3EF13BD9" w14:textId="7B7A2F74" w:rsidR="007E56B8" w:rsidRPr="00E11FFB" w:rsidRDefault="0053037F"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4791D923" w14:textId="6B8F4237"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2088" w:type="dxa"/>
          </w:tcPr>
          <w:p w14:paraId="4143DD5F" w14:textId="3A5DD249"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63904E31" w14:textId="1CCA6994" w:rsidR="007E56B8" w:rsidRPr="00E11FFB" w:rsidRDefault="007E56B8" w:rsidP="007E56B8">
            <w:pPr>
              <w:jc w:val="center"/>
              <w:rPr>
                <w:rFonts w:ascii="Avenir" w:eastAsia="Avenir" w:hAnsi="Avenir" w:cs="Avenir"/>
                <w:color w:val="000000"/>
                <w:sz w:val="16"/>
                <w:szCs w:val="16"/>
              </w:rPr>
            </w:pPr>
          </w:p>
        </w:tc>
        <w:tc>
          <w:tcPr>
            <w:tcW w:w="1067" w:type="dxa"/>
          </w:tcPr>
          <w:p w14:paraId="32148EFC" w14:textId="71EC1ACF"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794" w:type="dxa"/>
          </w:tcPr>
          <w:p w14:paraId="59BE2393" w14:textId="77777777" w:rsidR="007E56B8" w:rsidRPr="00E11FFB" w:rsidRDefault="007E56B8" w:rsidP="007E56B8">
            <w:pPr>
              <w:rPr>
                <w:rFonts w:ascii="Avenir" w:eastAsia="Avenir" w:hAnsi="Avenir" w:cs="Avenir"/>
                <w:color w:val="000000"/>
                <w:sz w:val="16"/>
                <w:szCs w:val="16"/>
              </w:rPr>
            </w:pPr>
          </w:p>
        </w:tc>
        <w:tc>
          <w:tcPr>
            <w:tcW w:w="1454" w:type="dxa"/>
          </w:tcPr>
          <w:p w14:paraId="6E67A9EC"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19EEB5AD" w14:textId="77777777" w:rsidR="007E56B8" w:rsidRPr="00E11FFB" w:rsidRDefault="007E56B8" w:rsidP="007E56B8">
            <w:pPr>
              <w:spacing w:after="5"/>
              <w:rPr>
                <w:rFonts w:ascii="Avenir" w:eastAsia="Avenir" w:hAnsi="Avenir" w:cs="Avenir"/>
                <w:color w:val="000000"/>
                <w:sz w:val="16"/>
                <w:szCs w:val="16"/>
              </w:rPr>
            </w:pPr>
          </w:p>
        </w:tc>
      </w:tr>
      <w:tr w:rsidR="007E56B8" w:rsidRPr="00E11FFB" w14:paraId="2DD92387" w14:textId="77777777" w:rsidTr="004F3468">
        <w:trPr>
          <w:trHeight w:val="318"/>
          <w:jc w:val="center"/>
        </w:trPr>
        <w:tc>
          <w:tcPr>
            <w:tcW w:w="2155" w:type="dxa"/>
            <w:vMerge/>
          </w:tcPr>
          <w:p w14:paraId="4B136873" w14:textId="77777777" w:rsidR="007E56B8" w:rsidRPr="00E11FFB" w:rsidRDefault="007E56B8" w:rsidP="007E56B8">
            <w:pPr>
              <w:rPr>
                <w:rFonts w:ascii="Avenir" w:eastAsia="Avenir" w:hAnsi="Avenir" w:cs="Avenir"/>
                <w:color w:val="000000"/>
                <w:sz w:val="16"/>
                <w:szCs w:val="16"/>
              </w:rPr>
            </w:pPr>
          </w:p>
        </w:tc>
        <w:tc>
          <w:tcPr>
            <w:tcW w:w="2070" w:type="dxa"/>
          </w:tcPr>
          <w:p w14:paraId="429ADC0B" w14:textId="2FAD06FA"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 membres du Conseil National d’AT tenues participant activement aux sessions du Conseil National d’AT (activement = participé à 80 % des réunions).</w:t>
            </w:r>
          </w:p>
        </w:tc>
        <w:tc>
          <w:tcPr>
            <w:tcW w:w="1170" w:type="dxa"/>
            <w:shd w:val="clear" w:color="auto" w:fill="FFFFFF" w:themeFill="background1"/>
          </w:tcPr>
          <w:p w14:paraId="49F86AC9" w14:textId="77777777" w:rsidR="007E56B8" w:rsidRPr="00E11FFB" w:rsidRDefault="007E56B8" w:rsidP="007E56B8">
            <w:pPr>
              <w:jc w:val="center"/>
              <w:rPr>
                <w:rFonts w:ascii="Avenir" w:eastAsia="Avenir" w:hAnsi="Avenir" w:cs="Avenir"/>
                <w:color w:val="000000"/>
                <w:sz w:val="16"/>
                <w:szCs w:val="16"/>
              </w:rPr>
            </w:pPr>
          </w:p>
        </w:tc>
        <w:tc>
          <w:tcPr>
            <w:tcW w:w="1440" w:type="dxa"/>
          </w:tcPr>
          <w:p w14:paraId="5A258439" w14:textId="4E3A213E"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40 dont 30 % des femmes et 70 % d’hommes</w:t>
            </w:r>
          </w:p>
        </w:tc>
        <w:tc>
          <w:tcPr>
            <w:tcW w:w="2088" w:type="dxa"/>
          </w:tcPr>
          <w:p w14:paraId="6C4E6B6D" w14:textId="75D5ACFB"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177C23F2" w14:textId="479946E5" w:rsidR="007E56B8" w:rsidRPr="00E11FFB" w:rsidRDefault="007E56B8" w:rsidP="007E56B8">
            <w:pPr>
              <w:jc w:val="center"/>
              <w:rPr>
                <w:rFonts w:ascii="Avenir" w:eastAsia="Avenir" w:hAnsi="Avenir" w:cs="Avenir"/>
                <w:color w:val="000000"/>
                <w:sz w:val="16"/>
                <w:szCs w:val="16"/>
              </w:rPr>
            </w:pPr>
          </w:p>
        </w:tc>
        <w:tc>
          <w:tcPr>
            <w:tcW w:w="1067" w:type="dxa"/>
          </w:tcPr>
          <w:p w14:paraId="107BAB65" w14:textId="2EC79333"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40 dont 30 % des femmes et 70 % d’hommes</w:t>
            </w:r>
          </w:p>
        </w:tc>
        <w:tc>
          <w:tcPr>
            <w:tcW w:w="794" w:type="dxa"/>
          </w:tcPr>
          <w:p w14:paraId="736B092C" w14:textId="77777777" w:rsidR="007E56B8" w:rsidRPr="00E11FFB" w:rsidRDefault="007E56B8" w:rsidP="007E56B8">
            <w:pPr>
              <w:rPr>
                <w:rFonts w:ascii="Avenir" w:eastAsia="Avenir" w:hAnsi="Avenir" w:cs="Avenir"/>
                <w:color w:val="000000"/>
                <w:sz w:val="16"/>
                <w:szCs w:val="16"/>
              </w:rPr>
            </w:pPr>
          </w:p>
        </w:tc>
        <w:tc>
          <w:tcPr>
            <w:tcW w:w="1454" w:type="dxa"/>
          </w:tcPr>
          <w:p w14:paraId="6C4BC1C3"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31553B85" w14:textId="41282AF9"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Seuls les modules sont disponibles en attendant la désignation et l’arrêté CNAT</w:t>
            </w:r>
          </w:p>
        </w:tc>
      </w:tr>
      <w:tr w:rsidR="007E56B8" w:rsidRPr="00E11FFB" w14:paraId="10C407CC" w14:textId="77777777" w:rsidTr="004E6791">
        <w:trPr>
          <w:trHeight w:val="886"/>
          <w:jc w:val="center"/>
        </w:trPr>
        <w:tc>
          <w:tcPr>
            <w:tcW w:w="2155" w:type="dxa"/>
            <w:vMerge/>
          </w:tcPr>
          <w:p w14:paraId="304C3DB1" w14:textId="77777777" w:rsidR="007E56B8" w:rsidRPr="00E11FFB" w:rsidRDefault="007E56B8" w:rsidP="007E56B8">
            <w:pPr>
              <w:rPr>
                <w:rFonts w:ascii="Avenir" w:eastAsia="Avenir" w:hAnsi="Avenir" w:cs="Avenir"/>
                <w:color w:val="000000"/>
                <w:sz w:val="16"/>
                <w:szCs w:val="16"/>
              </w:rPr>
            </w:pPr>
          </w:p>
        </w:tc>
        <w:tc>
          <w:tcPr>
            <w:tcW w:w="2070" w:type="dxa"/>
          </w:tcPr>
          <w:p w14:paraId="77E76DDD" w14:textId="14D26601"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des membres des Conseils Provinciaux d'AT formés dans deux provinces pilotes.</w:t>
            </w:r>
          </w:p>
        </w:tc>
        <w:tc>
          <w:tcPr>
            <w:tcW w:w="1170" w:type="dxa"/>
            <w:shd w:val="clear" w:color="auto" w:fill="FFFFFF" w:themeFill="background1"/>
          </w:tcPr>
          <w:p w14:paraId="046EAAD4" w14:textId="363F9CAB"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249C3E17" w14:textId="463000D6"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40 (dont 30 % des femmes et 70 % d’hommes) en raison de 2 provinces</w:t>
            </w:r>
          </w:p>
        </w:tc>
        <w:tc>
          <w:tcPr>
            <w:tcW w:w="2088" w:type="dxa"/>
          </w:tcPr>
          <w:p w14:paraId="1906BF3E" w14:textId="215A133E"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32E35A8E" w14:textId="5E41A398" w:rsidR="007E56B8" w:rsidRPr="00E11FFB" w:rsidRDefault="007E56B8" w:rsidP="007E56B8">
            <w:pPr>
              <w:rPr>
                <w:rFonts w:ascii="Avenir" w:eastAsia="Avenir" w:hAnsi="Avenir" w:cs="Avenir"/>
                <w:color w:val="000000"/>
                <w:sz w:val="16"/>
                <w:szCs w:val="16"/>
              </w:rPr>
            </w:pPr>
          </w:p>
        </w:tc>
        <w:tc>
          <w:tcPr>
            <w:tcW w:w="1067" w:type="dxa"/>
          </w:tcPr>
          <w:p w14:paraId="5715D9CB" w14:textId="7FF22D08"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280 dont 30 % des femmes et 70 % d’hommes</w:t>
            </w:r>
          </w:p>
        </w:tc>
        <w:tc>
          <w:tcPr>
            <w:tcW w:w="794" w:type="dxa"/>
          </w:tcPr>
          <w:p w14:paraId="7C512346" w14:textId="77777777" w:rsidR="007E56B8" w:rsidRPr="00E11FFB" w:rsidRDefault="007E56B8" w:rsidP="007E56B8">
            <w:pPr>
              <w:rPr>
                <w:rFonts w:ascii="Avenir" w:eastAsia="Avenir" w:hAnsi="Avenir" w:cs="Avenir"/>
                <w:color w:val="000000"/>
                <w:sz w:val="16"/>
                <w:szCs w:val="16"/>
              </w:rPr>
            </w:pPr>
          </w:p>
        </w:tc>
        <w:tc>
          <w:tcPr>
            <w:tcW w:w="1454" w:type="dxa"/>
          </w:tcPr>
          <w:p w14:paraId="4FC32F29"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0DF5261E" w14:textId="00DEF2CB" w:rsidR="007E56B8" w:rsidRPr="00E11FFB" w:rsidRDefault="007E56B8" w:rsidP="007E56B8">
            <w:pPr>
              <w:spacing w:after="5"/>
              <w:jc w:val="both"/>
              <w:rPr>
                <w:rFonts w:ascii="Avenir" w:eastAsia="Avenir" w:hAnsi="Avenir" w:cs="Avenir"/>
                <w:color w:val="000000"/>
                <w:sz w:val="16"/>
                <w:szCs w:val="16"/>
              </w:rPr>
            </w:pPr>
            <w:r w:rsidRPr="00E11FFB">
              <w:rPr>
                <w:rFonts w:ascii="Avenir" w:eastAsia="Avenir" w:hAnsi="Avenir" w:cs="Avenir"/>
                <w:color w:val="000000"/>
                <w:sz w:val="16"/>
                <w:szCs w:val="16"/>
              </w:rPr>
              <w:t>Seuls les modules sont disponibles en attendant la désignation et l’arrêté CPAT</w:t>
            </w:r>
          </w:p>
        </w:tc>
      </w:tr>
      <w:tr w:rsidR="007E56B8" w:rsidRPr="00E11FFB" w14:paraId="2AA17BF9" w14:textId="77777777" w:rsidTr="004F3468">
        <w:trPr>
          <w:trHeight w:val="318"/>
          <w:jc w:val="center"/>
        </w:trPr>
        <w:tc>
          <w:tcPr>
            <w:tcW w:w="2155" w:type="dxa"/>
            <w:vMerge/>
          </w:tcPr>
          <w:p w14:paraId="0FE7DF65" w14:textId="77777777" w:rsidR="007E56B8" w:rsidRPr="00E11FFB" w:rsidRDefault="007E56B8" w:rsidP="007E56B8">
            <w:pPr>
              <w:rPr>
                <w:rFonts w:ascii="Avenir" w:eastAsia="Avenir" w:hAnsi="Avenir" w:cs="Avenir"/>
                <w:color w:val="000000"/>
                <w:sz w:val="16"/>
                <w:szCs w:val="16"/>
              </w:rPr>
            </w:pPr>
          </w:p>
        </w:tc>
        <w:tc>
          <w:tcPr>
            <w:tcW w:w="2070" w:type="dxa"/>
          </w:tcPr>
          <w:p w14:paraId="4D71DAF7" w14:textId="355C8B2B"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des membres des Conseils Provinciaux d'AT formés déclarant utiliser (ou utilisant) les outils et informations auxquels ils ont été formés un an après.</w:t>
            </w:r>
          </w:p>
        </w:tc>
        <w:tc>
          <w:tcPr>
            <w:tcW w:w="1170" w:type="dxa"/>
            <w:shd w:val="clear" w:color="auto" w:fill="FFFFFF" w:themeFill="background1"/>
          </w:tcPr>
          <w:p w14:paraId="23EA1531" w14:textId="25EC42B9"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663BBC02" w14:textId="33576478"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32 (dont 30 % des femmes et 70 % d’hommes) en raison de 2 provinces</w:t>
            </w:r>
          </w:p>
        </w:tc>
        <w:tc>
          <w:tcPr>
            <w:tcW w:w="2088" w:type="dxa"/>
          </w:tcPr>
          <w:p w14:paraId="1CA8964F" w14:textId="17A10752"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0A9B18AA" w14:textId="77777777" w:rsidR="007E56B8" w:rsidRPr="00E11FFB" w:rsidRDefault="007E56B8" w:rsidP="007E56B8">
            <w:pPr>
              <w:rPr>
                <w:rFonts w:ascii="Avenir" w:eastAsia="Avenir" w:hAnsi="Avenir" w:cs="Avenir"/>
                <w:color w:val="000000"/>
                <w:sz w:val="16"/>
                <w:szCs w:val="16"/>
              </w:rPr>
            </w:pPr>
          </w:p>
        </w:tc>
        <w:tc>
          <w:tcPr>
            <w:tcW w:w="1067" w:type="dxa"/>
          </w:tcPr>
          <w:p w14:paraId="7B0DDB91" w14:textId="16837761"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 xml:space="preserve">32 (dont 30 % des femmes et 70 % d’hommes) </w:t>
            </w:r>
          </w:p>
        </w:tc>
        <w:tc>
          <w:tcPr>
            <w:tcW w:w="794" w:type="dxa"/>
          </w:tcPr>
          <w:p w14:paraId="5DAD3126" w14:textId="77777777" w:rsidR="007E56B8" w:rsidRPr="00E11FFB" w:rsidRDefault="007E56B8" w:rsidP="007E56B8">
            <w:pPr>
              <w:rPr>
                <w:rFonts w:ascii="Avenir" w:eastAsia="Avenir" w:hAnsi="Avenir" w:cs="Avenir"/>
                <w:color w:val="000000"/>
                <w:sz w:val="16"/>
                <w:szCs w:val="16"/>
              </w:rPr>
            </w:pPr>
          </w:p>
        </w:tc>
        <w:tc>
          <w:tcPr>
            <w:tcW w:w="1454" w:type="dxa"/>
          </w:tcPr>
          <w:p w14:paraId="58437929"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2F8C0B7D" w14:textId="26235266"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En attente de la désignation des membres CPAT </w:t>
            </w:r>
          </w:p>
        </w:tc>
      </w:tr>
      <w:tr w:rsidR="007E56B8" w:rsidRPr="00E11FFB" w14:paraId="4164BC63" w14:textId="77777777" w:rsidTr="004F3468">
        <w:trPr>
          <w:trHeight w:val="318"/>
          <w:jc w:val="center"/>
        </w:trPr>
        <w:tc>
          <w:tcPr>
            <w:tcW w:w="2155" w:type="dxa"/>
            <w:vMerge/>
          </w:tcPr>
          <w:p w14:paraId="353FBD20" w14:textId="77777777" w:rsidR="007E56B8" w:rsidRPr="00E11FFB" w:rsidRDefault="007E56B8" w:rsidP="007E56B8">
            <w:pPr>
              <w:rPr>
                <w:rFonts w:ascii="Avenir" w:eastAsia="Avenir" w:hAnsi="Avenir" w:cs="Avenir"/>
                <w:color w:val="000000"/>
                <w:sz w:val="16"/>
                <w:szCs w:val="16"/>
              </w:rPr>
            </w:pPr>
          </w:p>
        </w:tc>
        <w:tc>
          <w:tcPr>
            <w:tcW w:w="2070" w:type="dxa"/>
          </w:tcPr>
          <w:p w14:paraId="69473343" w14:textId="33B330E0"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Nombre de sessions d'installation des conseils provinciaux d'AT tenues.</w:t>
            </w:r>
          </w:p>
        </w:tc>
        <w:tc>
          <w:tcPr>
            <w:tcW w:w="1170" w:type="dxa"/>
            <w:shd w:val="clear" w:color="auto" w:fill="FFFFFF" w:themeFill="background1"/>
          </w:tcPr>
          <w:p w14:paraId="6B868BD8" w14:textId="008EF7B6"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23AFDD00" w14:textId="390A44C6"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 sessions</w:t>
            </w:r>
          </w:p>
        </w:tc>
        <w:tc>
          <w:tcPr>
            <w:tcW w:w="2088" w:type="dxa"/>
          </w:tcPr>
          <w:p w14:paraId="2CBE0279" w14:textId="0AC836BD"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10719BA6" w14:textId="26764D67" w:rsidR="007E56B8" w:rsidRPr="00E11FFB" w:rsidRDefault="007E56B8" w:rsidP="007E56B8">
            <w:pPr>
              <w:rPr>
                <w:rFonts w:ascii="Avenir" w:eastAsia="Avenir" w:hAnsi="Avenir" w:cs="Avenir"/>
                <w:color w:val="000000"/>
                <w:sz w:val="16"/>
                <w:szCs w:val="16"/>
              </w:rPr>
            </w:pPr>
          </w:p>
        </w:tc>
        <w:tc>
          <w:tcPr>
            <w:tcW w:w="1067" w:type="dxa"/>
          </w:tcPr>
          <w:p w14:paraId="716CF1EA" w14:textId="582C7E28"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 xml:space="preserve">14 sessions </w:t>
            </w:r>
          </w:p>
        </w:tc>
        <w:tc>
          <w:tcPr>
            <w:tcW w:w="794" w:type="dxa"/>
          </w:tcPr>
          <w:p w14:paraId="7B898A33" w14:textId="77777777" w:rsidR="007E56B8" w:rsidRPr="00E11FFB" w:rsidRDefault="007E56B8" w:rsidP="007E56B8">
            <w:pPr>
              <w:rPr>
                <w:rFonts w:ascii="Avenir" w:eastAsia="Avenir" w:hAnsi="Avenir" w:cs="Avenir"/>
                <w:color w:val="000000"/>
                <w:sz w:val="16"/>
                <w:szCs w:val="16"/>
              </w:rPr>
            </w:pPr>
          </w:p>
        </w:tc>
        <w:tc>
          <w:tcPr>
            <w:tcW w:w="1454" w:type="dxa"/>
          </w:tcPr>
          <w:p w14:paraId="6687D1D1"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0389328B" w14:textId="08638690"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désignation des membres CPAT</w:t>
            </w:r>
          </w:p>
        </w:tc>
      </w:tr>
      <w:tr w:rsidR="007E56B8" w:rsidRPr="00E11FFB" w14:paraId="67B0F8E7" w14:textId="77777777" w:rsidTr="004F3468">
        <w:trPr>
          <w:trHeight w:val="904"/>
          <w:jc w:val="center"/>
        </w:trPr>
        <w:tc>
          <w:tcPr>
            <w:tcW w:w="2155" w:type="dxa"/>
            <w:vMerge/>
          </w:tcPr>
          <w:p w14:paraId="277F8202" w14:textId="77777777" w:rsidR="007E56B8" w:rsidRPr="00E11FFB" w:rsidRDefault="007E56B8" w:rsidP="007E56B8">
            <w:pPr>
              <w:rPr>
                <w:rFonts w:ascii="Avenir" w:eastAsia="Avenir" w:hAnsi="Avenir" w:cs="Avenir"/>
                <w:color w:val="000000"/>
                <w:sz w:val="16"/>
                <w:szCs w:val="16"/>
              </w:rPr>
            </w:pPr>
          </w:p>
        </w:tc>
        <w:tc>
          <w:tcPr>
            <w:tcW w:w="2070" w:type="dxa"/>
          </w:tcPr>
          <w:p w14:paraId="61AB60CA" w14:textId="6EAC8F14"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Nombre de personnes participant activement aux sessions des conseils provinciaux d'AT tenues.</w:t>
            </w:r>
          </w:p>
        </w:tc>
        <w:tc>
          <w:tcPr>
            <w:tcW w:w="1170" w:type="dxa"/>
            <w:shd w:val="clear" w:color="auto" w:fill="FFFFFF" w:themeFill="background1"/>
          </w:tcPr>
          <w:p w14:paraId="06AD0BF7" w14:textId="42BA3668"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37B0A965" w14:textId="72A1CC29"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32 (dont 30 % des femmes et 70 % d’hommes) en raison de 2</w:t>
            </w:r>
          </w:p>
        </w:tc>
        <w:tc>
          <w:tcPr>
            <w:tcW w:w="2088" w:type="dxa"/>
          </w:tcPr>
          <w:p w14:paraId="0F5F570B" w14:textId="3DE8AEA0"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579B022F" w14:textId="23843752" w:rsidR="007E56B8" w:rsidRPr="00E11FFB" w:rsidRDefault="007E56B8" w:rsidP="007E56B8">
            <w:pPr>
              <w:rPr>
                <w:rFonts w:ascii="Avenir" w:eastAsia="Avenir" w:hAnsi="Avenir" w:cs="Avenir"/>
                <w:color w:val="000000"/>
                <w:sz w:val="16"/>
                <w:szCs w:val="16"/>
              </w:rPr>
            </w:pPr>
          </w:p>
        </w:tc>
        <w:tc>
          <w:tcPr>
            <w:tcW w:w="1067" w:type="dxa"/>
          </w:tcPr>
          <w:p w14:paraId="70AF9FF6" w14:textId="791AAEEF"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32 (dont 30 % des femmes et 70 % d’hommes)</w:t>
            </w:r>
          </w:p>
        </w:tc>
        <w:tc>
          <w:tcPr>
            <w:tcW w:w="794" w:type="dxa"/>
          </w:tcPr>
          <w:p w14:paraId="1C9886DF" w14:textId="77777777" w:rsidR="007E56B8" w:rsidRPr="00E11FFB" w:rsidRDefault="007E56B8" w:rsidP="007E56B8">
            <w:pPr>
              <w:rPr>
                <w:rFonts w:ascii="Avenir" w:eastAsia="Avenir" w:hAnsi="Avenir" w:cs="Avenir"/>
                <w:color w:val="000000"/>
                <w:sz w:val="16"/>
                <w:szCs w:val="16"/>
              </w:rPr>
            </w:pPr>
          </w:p>
        </w:tc>
        <w:tc>
          <w:tcPr>
            <w:tcW w:w="1454" w:type="dxa"/>
          </w:tcPr>
          <w:p w14:paraId="227ADF12"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5ECC8902" w14:textId="7C2566F2"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désignation des membres CPAT</w:t>
            </w:r>
          </w:p>
        </w:tc>
      </w:tr>
      <w:tr w:rsidR="007E56B8" w:rsidRPr="00E11FFB" w14:paraId="286E7363" w14:textId="77777777" w:rsidTr="004F3468">
        <w:trPr>
          <w:trHeight w:val="318"/>
          <w:jc w:val="center"/>
        </w:trPr>
        <w:tc>
          <w:tcPr>
            <w:tcW w:w="2155" w:type="dxa"/>
            <w:vMerge/>
          </w:tcPr>
          <w:p w14:paraId="31B09CC8" w14:textId="77777777" w:rsidR="007E56B8" w:rsidRPr="00E11FFB" w:rsidRDefault="007E56B8" w:rsidP="007E56B8">
            <w:pPr>
              <w:rPr>
                <w:rFonts w:ascii="Avenir" w:eastAsia="Avenir" w:hAnsi="Avenir" w:cs="Avenir"/>
                <w:color w:val="000000"/>
                <w:sz w:val="16"/>
                <w:szCs w:val="16"/>
              </w:rPr>
            </w:pPr>
          </w:p>
        </w:tc>
        <w:tc>
          <w:tcPr>
            <w:tcW w:w="2070" w:type="dxa"/>
          </w:tcPr>
          <w:p w14:paraId="5F7B80BE" w14:textId="403D3D6F"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 Conseils provinciaux d’AT pilotes opérationnels.</w:t>
            </w:r>
          </w:p>
        </w:tc>
        <w:tc>
          <w:tcPr>
            <w:tcW w:w="1170" w:type="dxa"/>
            <w:shd w:val="clear" w:color="auto" w:fill="FFFFFF" w:themeFill="background1"/>
          </w:tcPr>
          <w:p w14:paraId="2006DBEE" w14:textId="4C2EBBE2"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42300A4F" w14:textId="7AC9AEE1"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2088" w:type="dxa"/>
          </w:tcPr>
          <w:p w14:paraId="4808522A" w14:textId="22801248"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0244EA75" w14:textId="224B0288" w:rsidR="007E56B8" w:rsidRPr="00E11FFB" w:rsidRDefault="007E56B8" w:rsidP="007E56B8">
            <w:pPr>
              <w:rPr>
                <w:rFonts w:ascii="Avenir" w:eastAsia="Avenir" w:hAnsi="Avenir" w:cs="Avenir"/>
                <w:color w:val="000000"/>
                <w:sz w:val="16"/>
                <w:szCs w:val="16"/>
              </w:rPr>
            </w:pPr>
          </w:p>
        </w:tc>
        <w:tc>
          <w:tcPr>
            <w:tcW w:w="1067" w:type="dxa"/>
          </w:tcPr>
          <w:p w14:paraId="28E32BC6" w14:textId="2646E926"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794" w:type="dxa"/>
          </w:tcPr>
          <w:p w14:paraId="2E131749" w14:textId="77777777" w:rsidR="007E56B8" w:rsidRPr="00E11FFB" w:rsidRDefault="007E56B8" w:rsidP="007E56B8">
            <w:pPr>
              <w:rPr>
                <w:rFonts w:ascii="Avenir" w:eastAsia="Avenir" w:hAnsi="Avenir" w:cs="Avenir"/>
                <w:color w:val="000000"/>
                <w:sz w:val="16"/>
                <w:szCs w:val="16"/>
              </w:rPr>
            </w:pPr>
          </w:p>
        </w:tc>
        <w:tc>
          <w:tcPr>
            <w:tcW w:w="1454" w:type="dxa"/>
          </w:tcPr>
          <w:p w14:paraId="2D711985"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66ECE086" w14:textId="3570CBDB"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l’arrêté CPPAT</w:t>
            </w:r>
          </w:p>
        </w:tc>
      </w:tr>
      <w:tr w:rsidR="007E56B8" w:rsidRPr="00E11FFB" w14:paraId="34CC42D0" w14:textId="77777777" w:rsidTr="00B50781">
        <w:trPr>
          <w:trHeight w:val="1759"/>
          <w:jc w:val="center"/>
        </w:trPr>
        <w:tc>
          <w:tcPr>
            <w:tcW w:w="2155" w:type="dxa"/>
            <w:vMerge w:val="restart"/>
          </w:tcPr>
          <w:p w14:paraId="7A971E6B" w14:textId="77777777" w:rsidR="007E56B8" w:rsidRPr="00E11FFB" w:rsidRDefault="007E56B8" w:rsidP="007E56B8">
            <w:pPr>
              <w:jc w:val="both"/>
              <w:rPr>
                <w:rFonts w:ascii="Avenir" w:eastAsia="Avenir" w:hAnsi="Avenir" w:cs="Avenir"/>
                <w:color w:val="000000"/>
                <w:sz w:val="16"/>
                <w:szCs w:val="16"/>
              </w:rPr>
            </w:pPr>
          </w:p>
          <w:p w14:paraId="759F362A" w14:textId="77777777" w:rsidR="007E56B8" w:rsidRPr="00E11FFB" w:rsidRDefault="007E56B8" w:rsidP="007E56B8">
            <w:pPr>
              <w:jc w:val="both"/>
              <w:rPr>
                <w:rFonts w:ascii="Avenir" w:eastAsia="Avenir" w:hAnsi="Avenir" w:cs="Avenir"/>
                <w:color w:val="000000"/>
                <w:sz w:val="16"/>
                <w:szCs w:val="16"/>
              </w:rPr>
            </w:pPr>
          </w:p>
          <w:p w14:paraId="7B255C94" w14:textId="77777777" w:rsidR="007E56B8" w:rsidRPr="00E11FFB" w:rsidRDefault="007E56B8" w:rsidP="007E56B8">
            <w:pPr>
              <w:jc w:val="both"/>
              <w:rPr>
                <w:rFonts w:ascii="Avenir" w:eastAsia="Avenir" w:hAnsi="Avenir" w:cs="Avenir"/>
                <w:color w:val="000000"/>
                <w:sz w:val="16"/>
                <w:szCs w:val="16"/>
              </w:rPr>
            </w:pPr>
          </w:p>
          <w:p w14:paraId="15453ABF" w14:textId="77777777" w:rsidR="007E56B8" w:rsidRPr="00E11FFB" w:rsidRDefault="007E56B8" w:rsidP="007E56B8">
            <w:pPr>
              <w:jc w:val="both"/>
              <w:rPr>
                <w:rFonts w:ascii="Avenir" w:eastAsia="Avenir" w:hAnsi="Avenir" w:cs="Avenir"/>
                <w:color w:val="000000"/>
                <w:sz w:val="16"/>
                <w:szCs w:val="16"/>
              </w:rPr>
            </w:pPr>
          </w:p>
          <w:p w14:paraId="1BD9C948" w14:textId="77777777" w:rsidR="007E56B8" w:rsidRPr="00E11FFB" w:rsidRDefault="007E56B8" w:rsidP="007E56B8">
            <w:pPr>
              <w:jc w:val="both"/>
              <w:rPr>
                <w:rFonts w:ascii="Avenir" w:eastAsia="Avenir" w:hAnsi="Avenir" w:cs="Avenir"/>
                <w:color w:val="000000"/>
                <w:sz w:val="16"/>
                <w:szCs w:val="16"/>
              </w:rPr>
            </w:pPr>
          </w:p>
          <w:p w14:paraId="125F3BD2" w14:textId="77777777" w:rsidR="007E56B8" w:rsidRPr="00E11FFB" w:rsidRDefault="007E56B8" w:rsidP="007E56B8">
            <w:pPr>
              <w:jc w:val="both"/>
              <w:rPr>
                <w:rFonts w:ascii="Avenir" w:eastAsia="Avenir" w:hAnsi="Avenir" w:cs="Avenir"/>
                <w:color w:val="000000"/>
                <w:sz w:val="16"/>
                <w:szCs w:val="16"/>
              </w:rPr>
            </w:pPr>
          </w:p>
          <w:p w14:paraId="37E9EB8A" w14:textId="37F58653" w:rsidR="007E56B8" w:rsidRPr="00E11FFB" w:rsidRDefault="007E56B8" w:rsidP="007E56B8">
            <w:pPr>
              <w:jc w:val="both"/>
              <w:rPr>
                <w:rFonts w:ascii="Avenir" w:eastAsia="Avenir" w:hAnsi="Avenir" w:cs="Avenir"/>
                <w:color w:val="000000"/>
                <w:sz w:val="16"/>
                <w:szCs w:val="16"/>
              </w:rPr>
            </w:pPr>
            <w:r w:rsidRPr="00E11FFB">
              <w:rPr>
                <w:rFonts w:ascii="Avenir" w:eastAsia="Avenir" w:hAnsi="Avenir" w:cs="Avenir"/>
                <w:color w:val="000000"/>
                <w:sz w:val="16"/>
                <w:szCs w:val="16"/>
              </w:rPr>
              <w:t>Produit 1.2 (Jalon h) : Annuaire de ressources naturelles du sol et sous-sol, en termes inventaires des ressources naturelles, renouvelables et non renouvelables, est réalisé d’ici fin 2023 et permet d’élaborer une ébauche préliminaire de l’Atlas d’Aménagement du territoire rassemblant la représentation cartographique des données de l’Annuaire ainsi que les affectations sectorielles existantes et celles projetées.</w:t>
            </w:r>
          </w:p>
        </w:tc>
        <w:tc>
          <w:tcPr>
            <w:tcW w:w="2070" w:type="dxa"/>
          </w:tcPr>
          <w:p w14:paraId="23FDF1B0" w14:textId="3E8054A4"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Nombre des groupes thématiques opérationnels qui font la collecte des données de l'A</w:t>
            </w:r>
            <w:r w:rsidR="00C765EE" w:rsidRPr="00E11FFB">
              <w:rPr>
                <w:rFonts w:ascii="Avenir" w:eastAsia="Avenir" w:hAnsi="Avenir" w:cs="Avenir"/>
                <w:color w:val="000000"/>
                <w:sz w:val="16"/>
                <w:szCs w:val="16"/>
              </w:rPr>
              <w:t xml:space="preserve">nnuaire </w:t>
            </w:r>
          </w:p>
        </w:tc>
        <w:tc>
          <w:tcPr>
            <w:tcW w:w="1170" w:type="dxa"/>
            <w:shd w:val="clear" w:color="auto" w:fill="FFFFFF" w:themeFill="background1"/>
          </w:tcPr>
          <w:p w14:paraId="602DBDA2" w14:textId="2EB55C1E" w:rsidR="007E56B8" w:rsidRPr="00E11FFB" w:rsidRDefault="007E56B8"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10 Groupes thématiques</w:t>
            </w:r>
          </w:p>
        </w:tc>
        <w:tc>
          <w:tcPr>
            <w:tcW w:w="1440" w:type="dxa"/>
          </w:tcPr>
          <w:p w14:paraId="55D0E1BE" w14:textId="2A5360EA"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10 Groupes thématiques constitués et fonctionnels sous la supervision d’un Comité Technique multisectoriel.</w:t>
            </w:r>
          </w:p>
        </w:tc>
        <w:tc>
          <w:tcPr>
            <w:tcW w:w="2088" w:type="dxa"/>
          </w:tcPr>
          <w:p w14:paraId="3727D625" w14:textId="77777777" w:rsidR="0021022F"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 xml:space="preserve">Données collectées. </w:t>
            </w:r>
          </w:p>
          <w:p w14:paraId="49711375" w14:textId="17719088" w:rsidR="007E56B8" w:rsidRPr="00E11FFB" w:rsidRDefault="00C765EE" w:rsidP="007E56B8">
            <w:pPr>
              <w:rPr>
                <w:rFonts w:ascii="Avenir" w:eastAsia="Avenir" w:hAnsi="Avenir" w:cs="Avenir"/>
                <w:color w:val="000000"/>
                <w:sz w:val="16"/>
                <w:szCs w:val="16"/>
              </w:rPr>
            </w:pPr>
            <w:r w:rsidRPr="00E11FFB">
              <w:rPr>
                <w:rFonts w:ascii="Avenir" w:eastAsia="Avenir" w:hAnsi="Avenir" w:cs="Avenir"/>
                <w:color w:val="000000"/>
                <w:sz w:val="16"/>
                <w:szCs w:val="16"/>
              </w:rPr>
              <w:t>Une</w:t>
            </w:r>
            <w:r w:rsidR="007E56B8" w:rsidRPr="00E11FFB">
              <w:rPr>
                <w:rFonts w:ascii="Avenir" w:eastAsia="Avenir" w:hAnsi="Avenir" w:cs="Avenir"/>
                <w:color w:val="000000"/>
                <w:sz w:val="16"/>
                <w:szCs w:val="16"/>
              </w:rPr>
              <w:t xml:space="preserve"> retraite des </w:t>
            </w:r>
            <w:r w:rsidR="002B07B5">
              <w:rPr>
                <w:rFonts w:ascii="Avenir" w:eastAsia="Avenir" w:hAnsi="Avenir" w:cs="Avenir"/>
                <w:color w:val="000000"/>
                <w:sz w:val="16"/>
                <w:szCs w:val="16"/>
              </w:rPr>
              <w:t xml:space="preserve">dix </w:t>
            </w:r>
            <w:r w:rsidR="007E56B8" w:rsidRPr="00E11FFB">
              <w:rPr>
                <w:rFonts w:ascii="Avenir" w:eastAsia="Avenir" w:hAnsi="Avenir" w:cs="Avenir"/>
                <w:color w:val="000000"/>
                <w:sz w:val="16"/>
                <w:szCs w:val="16"/>
              </w:rPr>
              <w:t>groupes thématiques organisée à Bibwa.</w:t>
            </w:r>
          </w:p>
        </w:tc>
        <w:tc>
          <w:tcPr>
            <w:tcW w:w="959" w:type="dxa"/>
          </w:tcPr>
          <w:p w14:paraId="26726251" w14:textId="77777777"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 xml:space="preserve">Données collectées. </w:t>
            </w:r>
          </w:p>
          <w:p w14:paraId="734C8ED5" w14:textId="0D327C72" w:rsidR="007E56B8"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 xml:space="preserve">Une retraite des </w:t>
            </w:r>
            <w:r>
              <w:rPr>
                <w:rFonts w:ascii="Avenir" w:eastAsia="Avenir" w:hAnsi="Avenir" w:cs="Avenir"/>
                <w:color w:val="000000"/>
                <w:sz w:val="16"/>
                <w:szCs w:val="16"/>
              </w:rPr>
              <w:t xml:space="preserve">dix </w:t>
            </w:r>
            <w:r w:rsidRPr="00E11FFB">
              <w:rPr>
                <w:rFonts w:ascii="Avenir" w:eastAsia="Avenir" w:hAnsi="Avenir" w:cs="Avenir"/>
                <w:color w:val="000000"/>
                <w:sz w:val="16"/>
                <w:szCs w:val="16"/>
              </w:rPr>
              <w:t>groupes thématiques organisée à Bibwa.</w:t>
            </w:r>
          </w:p>
        </w:tc>
        <w:tc>
          <w:tcPr>
            <w:tcW w:w="1067" w:type="dxa"/>
          </w:tcPr>
          <w:p w14:paraId="5B107C1C" w14:textId="00EC6720"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10 Groupes thématiques constitués et fonctionnels sous la supervision d’un Comité Technique multisectoriel.</w:t>
            </w:r>
          </w:p>
        </w:tc>
        <w:tc>
          <w:tcPr>
            <w:tcW w:w="794" w:type="dxa"/>
          </w:tcPr>
          <w:p w14:paraId="22762C65" w14:textId="77777777" w:rsidR="007E56B8" w:rsidRPr="00E11FFB" w:rsidRDefault="007E56B8" w:rsidP="007E56B8">
            <w:pPr>
              <w:rPr>
                <w:rFonts w:ascii="Avenir" w:eastAsia="Avenir" w:hAnsi="Avenir" w:cs="Avenir"/>
                <w:color w:val="000000"/>
                <w:sz w:val="16"/>
                <w:szCs w:val="16"/>
              </w:rPr>
            </w:pPr>
          </w:p>
        </w:tc>
        <w:tc>
          <w:tcPr>
            <w:tcW w:w="1454" w:type="dxa"/>
          </w:tcPr>
          <w:p w14:paraId="2A91D996"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3855207E" w14:textId="77777777" w:rsidR="007E56B8" w:rsidRPr="00E11FFB" w:rsidRDefault="007E56B8" w:rsidP="007E56B8">
            <w:pPr>
              <w:spacing w:after="5"/>
              <w:rPr>
                <w:rFonts w:ascii="Avenir" w:eastAsia="Avenir" w:hAnsi="Avenir" w:cs="Avenir"/>
                <w:color w:val="000000"/>
                <w:sz w:val="16"/>
                <w:szCs w:val="16"/>
              </w:rPr>
            </w:pPr>
          </w:p>
        </w:tc>
      </w:tr>
      <w:tr w:rsidR="007E56B8" w:rsidRPr="00E11FFB" w14:paraId="5B4DF53E" w14:textId="77777777" w:rsidTr="00B50781">
        <w:trPr>
          <w:trHeight w:val="318"/>
          <w:jc w:val="center"/>
        </w:trPr>
        <w:tc>
          <w:tcPr>
            <w:tcW w:w="2155" w:type="dxa"/>
            <w:vMerge/>
          </w:tcPr>
          <w:p w14:paraId="4BC129C5" w14:textId="54A10302" w:rsidR="007E56B8" w:rsidRPr="00E11FFB" w:rsidRDefault="007E56B8" w:rsidP="007E56B8">
            <w:pPr>
              <w:rPr>
                <w:rFonts w:ascii="Avenir" w:eastAsia="Avenir" w:hAnsi="Avenir" w:cs="Avenir"/>
                <w:color w:val="000000"/>
                <w:sz w:val="16"/>
                <w:szCs w:val="16"/>
              </w:rPr>
            </w:pPr>
          </w:p>
        </w:tc>
        <w:tc>
          <w:tcPr>
            <w:tcW w:w="2070" w:type="dxa"/>
          </w:tcPr>
          <w:p w14:paraId="4C6C4E4C" w14:textId="3FFD395F"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d’exemplaires de l’annuaire national des ressources naturelles multipliés.</w:t>
            </w:r>
          </w:p>
        </w:tc>
        <w:tc>
          <w:tcPr>
            <w:tcW w:w="1170" w:type="dxa"/>
            <w:shd w:val="clear" w:color="auto" w:fill="FFFFFF" w:themeFill="background1"/>
          </w:tcPr>
          <w:p w14:paraId="72048A61" w14:textId="7EF302EC"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333DA419" w14:textId="67124567"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200</w:t>
            </w:r>
          </w:p>
        </w:tc>
        <w:tc>
          <w:tcPr>
            <w:tcW w:w="2088" w:type="dxa"/>
          </w:tcPr>
          <w:p w14:paraId="5ECD2C78" w14:textId="5C769D0D" w:rsidR="007E56B8" w:rsidRPr="00E11FFB" w:rsidRDefault="00822EFB" w:rsidP="007E56B8">
            <w:pPr>
              <w:rPr>
                <w:rFonts w:ascii="Avenir" w:eastAsia="Avenir" w:hAnsi="Avenir" w:cs="Avenir"/>
                <w:color w:val="000000"/>
                <w:sz w:val="16"/>
                <w:szCs w:val="16"/>
              </w:rPr>
            </w:pPr>
            <w:r>
              <w:rPr>
                <w:rFonts w:ascii="Avenir" w:eastAsia="Avenir" w:hAnsi="Avenir" w:cs="Avenir"/>
                <w:color w:val="000000"/>
                <w:sz w:val="16"/>
                <w:szCs w:val="16"/>
              </w:rPr>
              <w:t>0</w:t>
            </w:r>
          </w:p>
        </w:tc>
        <w:tc>
          <w:tcPr>
            <w:tcW w:w="959" w:type="dxa"/>
          </w:tcPr>
          <w:p w14:paraId="002FEC30" w14:textId="77777777" w:rsidR="007E56B8" w:rsidRPr="00E11FFB" w:rsidRDefault="007E56B8" w:rsidP="007E56B8">
            <w:pPr>
              <w:rPr>
                <w:rFonts w:ascii="Avenir" w:eastAsia="Avenir" w:hAnsi="Avenir" w:cs="Avenir"/>
                <w:color w:val="000000"/>
                <w:sz w:val="16"/>
                <w:szCs w:val="16"/>
              </w:rPr>
            </w:pPr>
          </w:p>
        </w:tc>
        <w:tc>
          <w:tcPr>
            <w:tcW w:w="1067" w:type="dxa"/>
          </w:tcPr>
          <w:p w14:paraId="498492D4" w14:textId="56445900"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200</w:t>
            </w:r>
          </w:p>
        </w:tc>
        <w:tc>
          <w:tcPr>
            <w:tcW w:w="794" w:type="dxa"/>
          </w:tcPr>
          <w:p w14:paraId="7E019AFE" w14:textId="77777777" w:rsidR="007E56B8" w:rsidRPr="00E11FFB" w:rsidRDefault="007E56B8" w:rsidP="007E56B8">
            <w:pPr>
              <w:rPr>
                <w:rFonts w:ascii="Avenir" w:eastAsia="Avenir" w:hAnsi="Avenir" w:cs="Avenir"/>
                <w:color w:val="000000"/>
                <w:sz w:val="16"/>
                <w:szCs w:val="16"/>
              </w:rPr>
            </w:pPr>
          </w:p>
        </w:tc>
        <w:tc>
          <w:tcPr>
            <w:tcW w:w="1454" w:type="dxa"/>
          </w:tcPr>
          <w:p w14:paraId="1EA3F18B"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1276314C" w14:textId="77777777" w:rsidR="007E56B8" w:rsidRPr="00E11FFB" w:rsidRDefault="007E56B8" w:rsidP="007E56B8">
            <w:pPr>
              <w:spacing w:after="5"/>
              <w:rPr>
                <w:rFonts w:ascii="Avenir" w:eastAsia="Avenir" w:hAnsi="Avenir" w:cs="Avenir"/>
                <w:color w:val="000000"/>
                <w:sz w:val="16"/>
                <w:szCs w:val="16"/>
              </w:rPr>
            </w:pPr>
          </w:p>
        </w:tc>
      </w:tr>
      <w:tr w:rsidR="007E56B8" w:rsidRPr="00E11FFB" w14:paraId="5D143E15" w14:textId="77777777" w:rsidTr="00B50781">
        <w:trPr>
          <w:trHeight w:val="318"/>
          <w:jc w:val="center"/>
        </w:trPr>
        <w:tc>
          <w:tcPr>
            <w:tcW w:w="2155" w:type="dxa"/>
            <w:vMerge/>
          </w:tcPr>
          <w:p w14:paraId="747F8CD2" w14:textId="29E404F4" w:rsidR="007E56B8" w:rsidRPr="00E11FFB" w:rsidRDefault="007E56B8" w:rsidP="007E56B8">
            <w:pPr>
              <w:rPr>
                <w:rFonts w:ascii="Avenir" w:eastAsia="Avenir" w:hAnsi="Avenir" w:cs="Avenir"/>
                <w:color w:val="000000"/>
                <w:sz w:val="16"/>
                <w:szCs w:val="16"/>
              </w:rPr>
            </w:pPr>
          </w:p>
        </w:tc>
        <w:tc>
          <w:tcPr>
            <w:tcW w:w="2070" w:type="dxa"/>
          </w:tcPr>
          <w:p w14:paraId="5C4A5131" w14:textId="2B9ED650"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L’annuaire national des ressources naturelles mis en ligne.</w:t>
            </w:r>
          </w:p>
        </w:tc>
        <w:tc>
          <w:tcPr>
            <w:tcW w:w="1170" w:type="dxa"/>
            <w:shd w:val="clear" w:color="auto" w:fill="FFFFFF" w:themeFill="background1"/>
          </w:tcPr>
          <w:p w14:paraId="2A19BD36" w14:textId="707A5456"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387C967C" w14:textId="27A66FB7"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1EA5F308" w14:textId="2E27C668" w:rsidR="007E56B8" w:rsidRPr="00E11FFB" w:rsidRDefault="00822EFB" w:rsidP="007E56B8">
            <w:pPr>
              <w:rPr>
                <w:rFonts w:ascii="Avenir" w:eastAsia="Avenir" w:hAnsi="Avenir" w:cs="Avenir"/>
                <w:color w:val="000000"/>
                <w:sz w:val="16"/>
                <w:szCs w:val="16"/>
              </w:rPr>
            </w:pPr>
            <w:r>
              <w:rPr>
                <w:rFonts w:ascii="Avenir" w:eastAsia="Avenir" w:hAnsi="Avenir" w:cs="Avenir"/>
                <w:color w:val="000000"/>
                <w:sz w:val="16"/>
                <w:szCs w:val="16"/>
              </w:rPr>
              <w:t>0</w:t>
            </w:r>
          </w:p>
        </w:tc>
        <w:tc>
          <w:tcPr>
            <w:tcW w:w="959" w:type="dxa"/>
          </w:tcPr>
          <w:p w14:paraId="5F694788" w14:textId="77777777" w:rsidR="007E56B8" w:rsidRPr="00E11FFB" w:rsidRDefault="007E56B8" w:rsidP="007E56B8">
            <w:pPr>
              <w:rPr>
                <w:rFonts w:ascii="Avenir" w:eastAsia="Avenir" w:hAnsi="Avenir" w:cs="Avenir"/>
                <w:color w:val="000000"/>
                <w:sz w:val="16"/>
                <w:szCs w:val="16"/>
              </w:rPr>
            </w:pPr>
          </w:p>
        </w:tc>
        <w:tc>
          <w:tcPr>
            <w:tcW w:w="1067" w:type="dxa"/>
          </w:tcPr>
          <w:p w14:paraId="64EA0D23" w14:textId="371892A7"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0206E4AA" w14:textId="77777777" w:rsidR="007E56B8" w:rsidRPr="00E11FFB" w:rsidRDefault="007E56B8" w:rsidP="007E56B8">
            <w:pPr>
              <w:rPr>
                <w:rFonts w:ascii="Avenir" w:eastAsia="Avenir" w:hAnsi="Avenir" w:cs="Avenir"/>
                <w:color w:val="000000"/>
                <w:sz w:val="16"/>
                <w:szCs w:val="16"/>
              </w:rPr>
            </w:pPr>
          </w:p>
        </w:tc>
        <w:tc>
          <w:tcPr>
            <w:tcW w:w="1454" w:type="dxa"/>
          </w:tcPr>
          <w:p w14:paraId="5D7F0547"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6CFA657C" w14:textId="77777777" w:rsidR="007E56B8" w:rsidRPr="00E11FFB" w:rsidRDefault="007E56B8" w:rsidP="007E56B8">
            <w:pPr>
              <w:spacing w:after="5"/>
              <w:rPr>
                <w:rFonts w:ascii="Avenir" w:eastAsia="Avenir" w:hAnsi="Avenir" w:cs="Avenir"/>
                <w:color w:val="000000"/>
                <w:sz w:val="16"/>
                <w:szCs w:val="16"/>
              </w:rPr>
            </w:pPr>
          </w:p>
        </w:tc>
      </w:tr>
      <w:tr w:rsidR="007E56B8" w:rsidRPr="00E11FFB" w14:paraId="078A9B7C" w14:textId="77777777" w:rsidTr="00B50781">
        <w:trPr>
          <w:trHeight w:val="318"/>
          <w:jc w:val="center"/>
        </w:trPr>
        <w:tc>
          <w:tcPr>
            <w:tcW w:w="2155" w:type="dxa"/>
            <w:vMerge/>
          </w:tcPr>
          <w:p w14:paraId="0798A7A5" w14:textId="77777777" w:rsidR="007E56B8" w:rsidRPr="00E11FFB" w:rsidRDefault="007E56B8" w:rsidP="007E56B8">
            <w:pPr>
              <w:rPr>
                <w:rFonts w:ascii="Avenir" w:eastAsia="Avenir" w:hAnsi="Avenir" w:cs="Avenir"/>
                <w:color w:val="000000"/>
                <w:sz w:val="16"/>
                <w:szCs w:val="16"/>
              </w:rPr>
            </w:pPr>
          </w:p>
        </w:tc>
        <w:tc>
          <w:tcPr>
            <w:tcW w:w="2070" w:type="dxa"/>
          </w:tcPr>
          <w:p w14:paraId="066422E9" w14:textId="3055AAA9"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Nbre de mini-atelier d’analyse et traitement des données collectées par le Comité technique.</w:t>
            </w:r>
          </w:p>
        </w:tc>
        <w:tc>
          <w:tcPr>
            <w:tcW w:w="1170" w:type="dxa"/>
            <w:shd w:val="clear" w:color="auto" w:fill="FFFFFF" w:themeFill="background1"/>
          </w:tcPr>
          <w:p w14:paraId="4A9C0070" w14:textId="0F4F0E21" w:rsidR="007E56B8" w:rsidRPr="00E11FFB" w:rsidRDefault="005D5E52" w:rsidP="007E56B8">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5DC9A094" w14:textId="6180F11B"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2088" w:type="dxa"/>
          </w:tcPr>
          <w:p w14:paraId="1B222A14" w14:textId="33127DF4"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08B512B7" w14:textId="7BEC73B7" w:rsidR="007E56B8" w:rsidRPr="00E11FFB" w:rsidRDefault="00972DED" w:rsidP="007E56B8">
            <w:pPr>
              <w:rPr>
                <w:rFonts w:ascii="Avenir" w:eastAsia="Avenir" w:hAnsi="Avenir" w:cs="Avenir"/>
                <w:color w:val="000000"/>
                <w:sz w:val="16"/>
                <w:szCs w:val="16"/>
              </w:rPr>
            </w:pPr>
            <w:r>
              <w:rPr>
                <w:rFonts w:ascii="Avenir" w:eastAsia="Avenir" w:hAnsi="Avenir" w:cs="Avenir"/>
                <w:color w:val="000000"/>
                <w:sz w:val="16"/>
                <w:szCs w:val="16"/>
              </w:rPr>
              <w:t>1</w:t>
            </w:r>
          </w:p>
        </w:tc>
        <w:tc>
          <w:tcPr>
            <w:tcW w:w="1067" w:type="dxa"/>
          </w:tcPr>
          <w:p w14:paraId="259BBAF8" w14:textId="2AAE7F3D" w:rsidR="007E56B8" w:rsidRPr="00E11FFB" w:rsidRDefault="007E56B8" w:rsidP="007E56B8">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794" w:type="dxa"/>
          </w:tcPr>
          <w:p w14:paraId="62607051" w14:textId="77777777" w:rsidR="007E56B8" w:rsidRPr="00E11FFB" w:rsidRDefault="007E56B8" w:rsidP="007E56B8">
            <w:pPr>
              <w:rPr>
                <w:rFonts w:ascii="Avenir" w:eastAsia="Avenir" w:hAnsi="Avenir" w:cs="Avenir"/>
                <w:color w:val="000000"/>
                <w:sz w:val="16"/>
                <w:szCs w:val="16"/>
              </w:rPr>
            </w:pPr>
          </w:p>
        </w:tc>
        <w:tc>
          <w:tcPr>
            <w:tcW w:w="1454" w:type="dxa"/>
          </w:tcPr>
          <w:p w14:paraId="28C1C46B" w14:textId="77777777" w:rsidR="007E56B8" w:rsidRPr="00E11FFB" w:rsidRDefault="007E56B8" w:rsidP="007E56B8">
            <w:pPr>
              <w:spacing w:after="5"/>
              <w:rPr>
                <w:rFonts w:ascii="Avenir" w:eastAsia="Avenir" w:hAnsi="Avenir" w:cs="Avenir"/>
                <w:color w:val="000000"/>
                <w:sz w:val="16"/>
                <w:szCs w:val="16"/>
              </w:rPr>
            </w:pPr>
          </w:p>
        </w:tc>
        <w:tc>
          <w:tcPr>
            <w:tcW w:w="1440" w:type="dxa"/>
          </w:tcPr>
          <w:p w14:paraId="0ED02839" w14:textId="77777777"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1 mini-atelier de relecture et d'analyse du contenu de l'Annuaire organisé avec la participation de tous les présidents des commissions thématiques. </w:t>
            </w:r>
          </w:p>
          <w:p w14:paraId="2C99136A" w14:textId="18BFBD5C" w:rsidR="007E56B8" w:rsidRPr="00E11FFB" w:rsidRDefault="007E56B8" w:rsidP="007E56B8">
            <w:pPr>
              <w:spacing w:after="5"/>
              <w:rPr>
                <w:rFonts w:ascii="Avenir" w:eastAsia="Avenir" w:hAnsi="Avenir" w:cs="Avenir"/>
                <w:color w:val="000000"/>
                <w:sz w:val="16"/>
                <w:szCs w:val="16"/>
              </w:rPr>
            </w:pPr>
            <w:r w:rsidRPr="00E11FFB">
              <w:rPr>
                <w:rFonts w:ascii="Avenir" w:eastAsia="Avenir" w:hAnsi="Avenir" w:cs="Avenir"/>
                <w:color w:val="000000"/>
                <w:sz w:val="16"/>
                <w:szCs w:val="16"/>
              </w:rPr>
              <w:t>1 Consultant recruté pour la consolidation des dernières observations et leur intégration</w:t>
            </w:r>
          </w:p>
        </w:tc>
      </w:tr>
      <w:tr w:rsidR="002B07B5" w:rsidRPr="00E11FFB" w14:paraId="2EEA91B2" w14:textId="77777777" w:rsidTr="00B50781">
        <w:trPr>
          <w:trHeight w:val="318"/>
          <w:jc w:val="center"/>
        </w:trPr>
        <w:tc>
          <w:tcPr>
            <w:tcW w:w="2155" w:type="dxa"/>
            <w:vMerge/>
          </w:tcPr>
          <w:p w14:paraId="58D17ED4" w14:textId="77777777" w:rsidR="002B07B5" w:rsidRPr="00E11FFB" w:rsidRDefault="002B07B5" w:rsidP="002B07B5">
            <w:pPr>
              <w:rPr>
                <w:rFonts w:ascii="Avenir" w:eastAsia="Avenir" w:hAnsi="Avenir" w:cs="Avenir"/>
                <w:color w:val="000000"/>
                <w:sz w:val="16"/>
                <w:szCs w:val="16"/>
              </w:rPr>
            </w:pPr>
          </w:p>
        </w:tc>
        <w:tc>
          <w:tcPr>
            <w:tcW w:w="2070" w:type="dxa"/>
          </w:tcPr>
          <w:p w14:paraId="77FB6959" w14:textId="6122903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des cartes thématiques sur les différentes potentialités produites</w:t>
            </w:r>
          </w:p>
        </w:tc>
        <w:tc>
          <w:tcPr>
            <w:tcW w:w="1170" w:type="dxa"/>
            <w:shd w:val="clear" w:color="auto" w:fill="FFFFFF" w:themeFill="background1"/>
          </w:tcPr>
          <w:p w14:paraId="03056F7A" w14:textId="0AF45ADC"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02923D6B" w14:textId="3B441CE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Au moins 35</w:t>
            </w:r>
          </w:p>
        </w:tc>
        <w:tc>
          <w:tcPr>
            <w:tcW w:w="2088" w:type="dxa"/>
          </w:tcPr>
          <w:p w14:paraId="3F4AD7CA" w14:textId="34D702A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Le tome 2 de l'Annuaire contient des cartes thématiques</w:t>
            </w:r>
          </w:p>
        </w:tc>
        <w:tc>
          <w:tcPr>
            <w:tcW w:w="959" w:type="dxa"/>
          </w:tcPr>
          <w:p w14:paraId="35452769" w14:textId="3D442F32"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Le tome 2 de l'Annuaire contient des cartes thématiques</w:t>
            </w:r>
          </w:p>
        </w:tc>
        <w:tc>
          <w:tcPr>
            <w:tcW w:w="1067" w:type="dxa"/>
          </w:tcPr>
          <w:p w14:paraId="3905C0D6" w14:textId="43CDD39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Au moins 35</w:t>
            </w:r>
          </w:p>
        </w:tc>
        <w:tc>
          <w:tcPr>
            <w:tcW w:w="794" w:type="dxa"/>
          </w:tcPr>
          <w:p w14:paraId="2CC3957B" w14:textId="77777777" w:rsidR="002B07B5" w:rsidRPr="00E11FFB" w:rsidRDefault="002B07B5" w:rsidP="002B07B5">
            <w:pPr>
              <w:rPr>
                <w:rFonts w:ascii="Avenir" w:eastAsia="Avenir" w:hAnsi="Avenir" w:cs="Avenir"/>
                <w:color w:val="000000"/>
                <w:sz w:val="16"/>
                <w:szCs w:val="16"/>
              </w:rPr>
            </w:pPr>
          </w:p>
        </w:tc>
        <w:tc>
          <w:tcPr>
            <w:tcW w:w="1454" w:type="dxa"/>
          </w:tcPr>
          <w:p w14:paraId="664A4AF3"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4B2A401E"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1A430272" w14:textId="77777777" w:rsidTr="00B50781">
        <w:trPr>
          <w:trHeight w:val="318"/>
          <w:jc w:val="center"/>
        </w:trPr>
        <w:tc>
          <w:tcPr>
            <w:tcW w:w="2155" w:type="dxa"/>
            <w:vMerge/>
          </w:tcPr>
          <w:p w14:paraId="624E5F85" w14:textId="77777777" w:rsidR="002B07B5" w:rsidRPr="00E11FFB" w:rsidRDefault="002B07B5" w:rsidP="002B07B5">
            <w:pPr>
              <w:rPr>
                <w:rFonts w:ascii="Avenir" w:eastAsia="Avenir" w:hAnsi="Avenir" w:cs="Avenir"/>
                <w:color w:val="000000"/>
                <w:sz w:val="16"/>
                <w:szCs w:val="16"/>
              </w:rPr>
            </w:pPr>
          </w:p>
        </w:tc>
        <w:tc>
          <w:tcPr>
            <w:tcW w:w="2070" w:type="dxa"/>
          </w:tcPr>
          <w:p w14:paraId="73B34A1B" w14:textId="489370FF"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d’exemplaires de recueil des cartes</w:t>
            </w:r>
          </w:p>
        </w:tc>
        <w:tc>
          <w:tcPr>
            <w:tcW w:w="1170" w:type="dxa"/>
            <w:shd w:val="clear" w:color="auto" w:fill="FFFFFF" w:themeFill="background1"/>
          </w:tcPr>
          <w:p w14:paraId="402ED104" w14:textId="46B85E9E"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5F154CCF" w14:textId="26E9D276"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200</w:t>
            </w:r>
          </w:p>
        </w:tc>
        <w:tc>
          <w:tcPr>
            <w:tcW w:w="2088" w:type="dxa"/>
          </w:tcPr>
          <w:p w14:paraId="4F30908B" w14:textId="77777777" w:rsidR="002B07B5" w:rsidRPr="00E11FFB" w:rsidRDefault="002B07B5" w:rsidP="002B07B5">
            <w:pPr>
              <w:rPr>
                <w:rFonts w:ascii="Avenir" w:eastAsia="Avenir" w:hAnsi="Avenir" w:cs="Avenir"/>
                <w:color w:val="000000"/>
                <w:sz w:val="16"/>
                <w:szCs w:val="16"/>
              </w:rPr>
            </w:pPr>
          </w:p>
        </w:tc>
        <w:tc>
          <w:tcPr>
            <w:tcW w:w="959" w:type="dxa"/>
          </w:tcPr>
          <w:p w14:paraId="1525FB31" w14:textId="0134BC79" w:rsidR="002B07B5" w:rsidRPr="00E11FFB" w:rsidRDefault="002B07B5" w:rsidP="002B07B5">
            <w:pPr>
              <w:rPr>
                <w:rFonts w:ascii="Avenir" w:eastAsia="Avenir" w:hAnsi="Avenir" w:cs="Avenir"/>
                <w:color w:val="000000"/>
                <w:sz w:val="16"/>
                <w:szCs w:val="16"/>
              </w:rPr>
            </w:pPr>
          </w:p>
        </w:tc>
        <w:tc>
          <w:tcPr>
            <w:tcW w:w="1067" w:type="dxa"/>
          </w:tcPr>
          <w:p w14:paraId="6D224058" w14:textId="4CE1E40F"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200</w:t>
            </w:r>
          </w:p>
        </w:tc>
        <w:tc>
          <w:tcPr>
            <w:tcW w:w="794" w:type="dxa"/>
          </w:tcPr>
          <w:p w14:paraId="560B5CFD" w14:textId="77777777" w:rsidR="002B07B5" w:rsidRPr="00E11FFB" w:rsidRDefault="002B07B5" w:rsidP="002B07B5">
            <w:pPr>
              <w:rPr>
                <w:rFonts w:ascii="Avenir" w:eastAsia="Avenir" w:hAnsi="Avenir" w:cs="Avenir"/>
                <w:color w:val="000000"/>
                <w:sz w:val="16"/>
                <w:szCs w:val="16"/>
              </w:rPr>
            </w:pPr>
          </w:p>
        </w:tc>
        <w:tc>
          <w:tcPr>
            <w:tcW w:w="1454" w:type="dxa"/>
          </w:tcPr>
          <w:p w14:paraId="0CFB3AD8"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1D0D1749"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388F4B58" w14:textId="77777777" w:rsidTr="00B50781">
        <w:trPr>
          <w:trHeight w:val="318"/>
          <w:jc w:val="center"/>
        </w:trPr>
        <w:tc>
          <w:tcPr>
            <w:tcW w:w="2155" w:type="dxa"/>
            <w:vMerge/>
          </w:tcPr>
          <w:p w14:paraId="0F511EFB" w14:textId="77777777" w:rsidR="002B07B5" w:rsidRPr="00E11FFB" w:rsidRDefault="002B07B5" w:rsidP="002B07B5">
            <w:pPr>
              <w:rPr>
                <w:rFonts w:ascii="Avenir" w:eastAsia="Avenir" w:hAnsi="Avenir" w:cs="Avenir"/>
                <w:color w:val="000000"/>
                <w:sz w:val="16"/>
                <w:szCs w:val="16"/>
              </w:rPr>
            </w:pPr>
          </w:p>
        </w:tc>
        <w:tc>
          <w:tcPr>
            <w:tcW w:w="2070" w:type="dxa"/>
          </w:tcPr>
          <w:p w14:paraId="361E3AC8" w14:textId="3C2E993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d’exemplaires cartes des potentialités territoriales diffusés et vulgarisées</w:t>
            </w:r>
          </w:p>
        </w:tc>
        <w:tc>
          <w:tcPr>
            <w:tcW w:w="1170" w:type="dxa"/>
            <w:shd w:val="clear" w:color="auto" w:fill="FFFFFF" w:themeFill="background1"/>
          </w:tcPr>
          <w:p w14:paraId="40C1DBF4" w14:textId="05F137FA"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681FFC8D" w14:textId="184F9664"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Au moins 35</w:t>
            </w:r>
          </w:p>
        </w:tc>
        <w:tc>
          <w:tcPr>
            <w:tcW w:w="2088" w:type="dxa"/>
          </w:tcPr>
          <w:p w14:paraId="2E28900E" w14:textId="77777777" w:rsidR="002B07B5" w:rsidRPr="00E11FFB" w:rsidRDefault="002B07B5" w:rsidP="002B07B5">
            <w:pPr>
              <w:rPr>
                <w:rFonts w:ascii="Avenir" w:eastAsia="Avenir" w:hAnsi="Avenir" w:cs="Avenir"/>
                <w:color w:val="000000"/>
                <w:sz w:val="16"/>
                <w:szCs w:val="16"/>
              </w:rPr>
            </w:pPr>
          </w:p>
        </w:tc>
        <w:tc>
          <w:tcPr>
            <w:tcW w:w="959" w:type="dxa"/>
          </w:tcPr>
          <w:p w14:paraId="652B32F7" w14:textId="77777777" w:rsidR="002B07B5" w:rsidRPr="00E11FFB" w:rsidRDefault="002B07B5" w:rsidP="002B07B5">
            <w:pPr>
              <w:rPr>
                <w:rFonts w:ascii="Avenir" w:eastAsia="Avenir" w:hAnsi="Avenir" w:cs="Avenir"/>
                <w:color w:val="000000"/>
                <w:sz w:val="16"/>
                <w:szCs w:val="16"/>
              </w:rPr>
            </w:pPr>
          </w:p>
        </w:tc>
        <w:tc>
          <w:tcPr>
            <w:tcW w:w="1067" w:type="dxa"/>
          </w:tcPr>
          <w:p w14:paraId="454F0B51" w14:textId="40494734"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Au moins 35</w:t>
            </w:r>
          </w:p>
        </w:tc>
        <w:tc>
          <w:tcPr>
            <w:tcW w:w="794" w:type="dxa"/>
          </w:tcPr>
          <w:p w14:paraId="0471F740" w14:textId="77777777" w:rsidR="002B07B5" w:rsidRPr="00E11FFB" w:rsidRDefault="002B07B5" w:rsidP="002B07B5">
            <w:pPr>
              <w:rPr>
                <w:rFonts w:ascii="Avenir" w:eastAsia="Avenir" w:hAnsi="Avenir" w:cs="Avenir"/>
                <w:color w:val="000000"/>
                <w:sz w:val="16"/>
                <w:szCs w:val="16"/>
              </w:rPr>
            </w:pPr>
          </w:p>
        </w:tc>
        <w:tc>
          <w:tcPr>
            <w:tcW w:w="1454" w:type="dxa"/>
          </w:tcPr>
          <w:p w14:paraId="2326F70B"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28E01B97"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7BAF9F02" w14:textId="77777777" w:rsidTr="00B50781">
        <w:trPr>
          <w:trHeight w:val="318"/>
          <w:jc w:val="center"/>
        </w:trPr>
        <w:tc>
          <w:tcPr>
            <w:tcW w:w="2155" w:type="dxa"/>
            <w:vMerge/>
          </w:tcPr>
          <w:p w14:paraId="60F1108B" w14:textId="77777777" w:rsidR="002B07B5" w:rsidRPr="00E11FFB" w:rsidRDefault="002B07B5" w:rsidP="002B07B5">
            <w:pPr>
              <w:rPr>
                <w:rFonts w:ascii="Avenir" w:eastAsia="Avenir" w:hAnsi="Avenir" w:cs="Avenir"/>
                <w:color w:val="000000"/>
                <w:sz w:val="16"/>
                <w:szCs w:val="16"/>
              </w:rPr>
            </w:pPr>
          </w:p>
        </w:tc>
        <w:tc>
          <w:tcPr>
            <w:tcW w:w="2070" w:type="dxa"/>
          </w:tcPr>
          <w:p w14:paraId="1B1481DC" w14:textId="640479B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Atlas de l’AT mis en ligne.</w:t>
            </w:r>
          </w:p>
        </w:tc>
        <w:tc>
          <w:tcPr>
            <w:tcW w:w="1170" w:type="dxa"/>
            <w:shd w:val="clear" w:color="auto" w:fill="FFFFFF" w:themeFill="background1"/>
          </w:tcPr>
          <w:p w14:paraId="7CC694D5" w14:textId="64C5681C"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6948AD42" w14:textId="53F94CDD"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242B9CD0" w14:textId="1F6911A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Draft produit sur Lomami</w:t>
            </w:r>
          </w:p>
        </w:tc>
        <w:tc>
          <w:tcPr>
            <w:tcW w:w="959" w:type="dxa"/>
          </w:tcPr>
          <w:p w14:paraId="382B9741" w14:textId="5616F2D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Draft produit sur Lomami</w:t>
            </w:r>
          </w:p>
        </w:tc>
        <w:tc>
          <w:tcPr>
            <w:tcW w:w="1067" w:type="dxa"/>
          </w:tcPr>
          <w:p w14:paraId="7B565B39" w14:textId="1E0690AE"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3AF685E7" w14:textId="77777777" w:rsidR="002B07B5" w:rsidRPr="00E11FFB" w:rsidRDefault="002B07B5" w:rsidP="002B07B5">
            <w:pPr>
              <w:rPr>
                <w:rFonts w:ascii="Avenir" w:eastAsia="Avenir" w:hAnsi="Avenir" w:cs="Avenir"/>
                <w:color w:val="000000"/>
                <w:sz w:val="16"/>
                <w:szCs w:val="16"/>
              </w:rPr>
            </w:pPr>
          </w:p>
        </w:tc>
        <w:tc>
          <w:tcPr>
            <w:tcW w:w="1454" w:type="dxa"/>
          </w:tcPr>
          <w:p w14:paraId="1E7BD3D9"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0F7AF903" w14:textId="4C12C3D4"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En cours de validation</w:t>
            </w:r>
            <w:r>
              <w:rPr>
                <w:rFonts w:ascii="Avenir" w:eastAsia="Avenir" w:hAnsi="Avenir" w:cs="Avenir"/>
                <w:color w:val="000000"/>
                <w:sz w:val="16"/>
                <w:szCs w:val="16"/>
              </w:rPr>
              <w:t>,</w:t>
            </w:r>
            <w:r w:rsidRPr="00E11FFB">
              <w:rPr>
                <w:rFonts w:ascii="Avenir" w:eastAsia="Avenir" w:hAnsi="Avenir" w:cs="Avenir"/>
                <w:color w:val="000000"/>
                <w:sz w:val="16"/>
                <w:szCs w:val="16"/>
              </w:rPr>
              <w:t xml:space="preserve"> produite par ONAT</w:t>
            </w:r>
          </w:p>
        </w:tc>
      </w:tr>
      <w:tr w:rsidR="002B07B5" w:rsidRPr="00E11FFB" w14:paraId="48CEC7DD" w14:textId="77777777" w:rsidTr="004F3468">
        <w:trPr>
          <w:trHeight w:val="886"/>
          <w:jc w:val="center"/>
        </w:trPr>
        <w:tc>
          <w:tcPr>
            <w:tcW w:w="2155" w:type="dxa"/>
            <w:vMerge w:val="restart"/>
          </w:tcPr>
          <w:p w14:paraId="19734BF7" w14:textId="77777777" w:rsidR="002B07B5" w:rsidRPr="00E11FFB" w:rsidRDefault="002B07B5" w:rsidP="002B07B5">
            <w:pPr>
              <w:rPr>
                <w:rFonts w:ascii="Avenir" w:eastAsia="Avenir" w:hAnsi="Avenir" w:cs="Avenir"/>
                <w:color w:val="000000"/>
                <w:sz w:val="16"/>
                <w:szCs w:val="16"/>
              </w:rPr>
            </w:pPr>
          </w:p>
          <w:p w14:paraId="6EC5634F" w14:textId="77777777" w:rsidR="002B07B5" w:rsidRPr="00E11FFB" w:rsidRDefault="002B07B5" w:rsidP="002B07B5">
            <w:pPr>
              <w:rPr>
                <w:rFonts w:ascii="Avenir" w:eastAsia="Avenir" w:hAnsi="Avenir" w:cs="Avenir"/>
                <w:color w:val="000000"/>
                <w:sz w:val="16"/>
                <w:szCs w:val="16"/>
              </w:rPr>
            </w:pPr>
          </w:p>
          <w:p w14:paraId="2F8A1104" w14:textId="77777777" w:rsidR="002B07B5" w:rsidRPr="00E11FFB" w:rsidRDefault="002B07B5" w:rsidP="002B07B5">
            <w:pPr>
              <w:rPr>
                <w:rFonts w:ascii="Avenir" w:eastAsia="Avenir" w:hAnsi="Avenir" w:cs="Avenir"/>
                <w:color w:val="000000"/>
                <w:sz w:val="16"/>
                <w:szCs w:val="16"/>
              </w:rPr>
            </w:pPr>
          </w:p>
          <w:p w14:paraId="5D3263BD" w14:textId="77777777" w:rsidR="002B07B5" w:rsidRPr="00E11FFB" w:rsidRDefault="002B07B5" w:rsidP="002B07B5">
            <w:pPr>
              <w:rPr>
                <w:rFonts w:ascii="Avenir" w:eastAsia="Avenir" w:hAnsi="Avenir" w:cs="Avenir"/>
                <w:color w:val="000000"/>
                <w:sz w:val="16"/>
                <w:szCs w:val="16"/>
              </w:rPr>
            </w:pPr>
          </w:p>
          <w:p w14:paraId="53E4846B" w14:textId="77777777" w:rsidR="002B07B5" w:rsidRPr="00E11FFB" w:rsidRDefault="002B07B5" w:rsidP="002B07B5">
            <w:pPr>
              <w:rPr>
                <w:rFonts w:ascii="Avenir" w:eastAsia="Avenir" w:hAnsi="Avenir" w:cs="Avenir"/>
                <w:color w:val="000000"/>
                <w:sz w:val="16"/>
                <w:szCs w:val="16"/>
              </w:rPr>
            </w:pPr>
          </w:p>
          <w:p w14:paraId="50733A5F" w14:textId="77777777" w:rsidR="002B07B5" w:rsidRPr="00E11FFB" w:rsidRDefault="002B07B5" w:rsidP="002B07B5">
            <w:pPr>
              <w:rPr>
                <w:rFonts w:ascii="Avenir" w:eastAsia="Avenir" w:hAnsi="Avenir" w:cs="Avenir"/>
                <w:color w:val="000000"/>
                <w:sz w:val="16"/>
                <w:szCs w:val="16"/>
              </w:rPr>
            </w:pPr>
          </w:p>
          <w:p w14:paraId="7CBC139A" w14:textId="77777777" w:rsidR="002B07B5" w:rsidRPr="00E11FFB" w:rsidRDefault="002B07B5" w:rsidP="002B07B5">
            <w:pPr>
              <w:rPr>
                <w:rFonts w:ascii="Avenir" w:eastAsia="Avenir" w:hAnsi="Avenir" w:cs="Avenir"/>
                <w:color w:val="000000"/>
                <w:sz w:val="16"/>
                <w:szCs w:val="16"/>
              </w:rPr>
            </w:pPr>
          </w:p>
          <w:p w14:paraId="48A3F4E1" w14:textId="77777777" w:rsidR="002B07B5" w:rsidRPr="00E11FFB" w:rsidRDefault="002B07B5" w:rsidP="002B07B5">
            <w:pPr>
              <w:rPr>
                <w:rFonts w:ascii="Avenir" w:eastAsia="Avenir" w:hAnsi="Avenir" w:cs="Avenir"/>
                <w:color w:val="000000"/>
                <w:sz w:val="16"/>
                <w:szCs w:val="16"/>
              </w:rPr>
            </w:pPr>
          </w:p>
          <w:p w14:paraId="026FB4EB" w14:textId="5648F9C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Produit 1.3 (Jalon i) : Dans le cadre des conflits d’affectation des terres existants, un processus d’arbitrage est impulsé, conformément à la loi, par l’Autorité compétente concernée (Premier Ministre, Gouverneur de Province, Autorité locale) sur base des directives proposées par le Conseil d’Aménagement du Territoire de l’échelon concerné (national, provincial ou local) pour au moins (2-5) conflits d’affectation dans les aires protégées prioritaires.</w:t>
            </w:r>
          </w:p>
        </w:tc>
        <w:tc>
          <w:tcPr>
            <w:tcW w:w="2070" w:type="dxa"/>
          </w:tcPr>
          <w:p w14:paraId="127C5E96" w14:textId="449E2BD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de consultations (en ateliers) d’identification des conflits d'affectation des terres et de superposition des usages à analyser.</w:t>
            </w:r>
          </w:p>
        </w:tc>
        <w:tc>
          <w:tcPr>
            <w:tcW w:w="1170" w:type="dxa"/>
            <w:shd w:val="clear" w:color="auto" w:fill="FFFFFF" w:themeFill="background1"/>
          </w:tcPr>
          <w:p w14:paraId="48455159" w14:textId="277867F7"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264E9E4C" w14:textId="0303D449"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2088" w:type="dxa"/>
          </w:tcPr>
          <w:p w14:paraId="311B90B8" w14:textId="6BAF6113"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959" w:type="dxa"/>
          </w:tcPr>
          <w:p w14:paraId="098BA4C9" w14:textId="77777777" w:rsidR="002B07B5" w:rsidRPr="00E11FFB" w:rsidRDefault="002B07B5" w:rsidP="002B07B5">
            <w:pPr>
              <w:rPr>
                <w:rFonts w:ascii="Avenir" w:eastAsia="Avenir" w:hAnsi="Avenir" w:cs="Avenir"/>
                <w:color w:val="000000"/>
                <w:sz w:val="16"/>
                <w:szCs w:val="16"/>
              </w:rPr>
            </w:pPr>
          </w:p>
        </w:tc>
        <w:tc>
          <w:tcPr>
            <w:tcW w:w="1067" w:type="dxa"/>
          </w:tcPr>
          <w:p w14:paraId="4D3D6080" w14:textId="44F3A273"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794" w:type="dxa"/>
          </w:tcPr>
          <w:p w14:paraId="46ABF228" w14:textId="77777777" w:rsidR="002B07B5" w:rsidRPr="00E11FFB" w:rsidRDefault="002B07B5" w:rsidP="002B07B5">
            <w:pPr>
              <w:rPr>
                <w:rFonts w:ascii="Avenir" w:eastAsia="Avenir" w:hAnsi="Avenir" w:cs="Avenir"/>
                <w:color w:val="000000"/>
                <w:sz w:val="16"/>
                <w:szCs w:val="16"/>
              </w:rPr>
            </w:pPr>
          </w:p>
        </w:tc>
        <w:tc>
          <w:tcPr>
            <w:tcW w:w="1454" w:type="dxa"/>
          </w:tcPr>
          <w:p w14:paraId="4D75B256" w14:textId="23A8825C" w:rsidR="002B07B5" w:rsidRPr="00E11FFB" w:rsidRDefault="002B07B5" w:rsidP="002B07B5">
            <w:pPr>
              <w:spacing w:after="5"/>
              <w:rPr>
                <w:rFonts w:ascii="Avenir" w:eastAsia="Avenir" w:hAnsi="Avenir" w:cs="Avenir"/>
                <w:color w:val="000000"/>
                <w:sz w:val="16"/>
                <w:szCs w:val="16"/>
              </w:rPr>
            </w:pPr>
          </w:p>
        </w:tc>
        <w:tc>
          <w:tcPr>
            <w:tcW w:w="1440" w:type="dxa"/>
          </w:tcPr>
          <w:p w14:paraId="374763DC" w14:textId="3319F6C9"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Avec les fonds alignés en 2025, 2 zones ont été couvertes (Equateur et Tshopo)</w:t>
            </w:r>
          </w:p>
        </w:tc>
      </w:tr>
      <w:tr w:rsidR="002B07B5" w:rsidRPr="00E11FFB" w14:paraId="5E4315DE" w14:textId="77777777" w:rsidTr="004F3468">
        <w:trPr>
          <w:trHeight w:val="318"/>
          <w:jc w:val="center"/>
        </w:trPr>
        <w:tc>
          <w:tcPr>
            <w:tcW w:w="2155" w:type="dxa"/>
            <w:vMerge/>
          </w:tcPr>
          <w:p w14:paraId="644131FB" w14:textId="77777777" w:rsidR="002B07B5" w:rsidRPr="00E11FFB" w:rsidRDefault="002B07B5" w:rsidP="002B07B5">
            <w:pPr>
              <w:rPr>
                <w:rFonts w:ascii="Avenir" w:eastAsia="Avenir" w:hAnsi="Avenir" w:cs="Avenir"/>
                <w:color w:val="000000"/>
                <w:sz w:val="16"/>
                <w:szCs w:val="16"/>
              </w:rPr>
            </w:pPr>
          </w:p>
        </w:tc>
        <w:tc>
          <w:tcPr>
            <w:tcW w:w="2070" w:type="dxa"/>
          </w:tcPr>
          <w:p w14:paraId="342757E1" w14:textId="3F441C87"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d’Atelier de clarification des procédures sectorielles d'affectations des espaces/terres.</w:t>
            </w:r>
          </w:p>
        </w:tc>
        <w:tc>
          <w:tcPr>
            <w:tcW w:w="1170" w:type="dxa"/>
            <w:shd w:val="clear" w:color="auto" w:fill="FFFFFF" w:themeFill="background1"/>
          </w:tcPr>
          <w:p w14:paraId="64632994" w14:textId="5646F329"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4B3F009C" w14:textId="33074B99"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4B074573" w14:textId="725784F2" w:rsidR="002B07B5" w:rsidRPr="00E11FFB" w:rsidRDefault="002B07B5" w:rsidP="002B07B5">
            <w:pPr>
              <w:rPr>
                <w:rFonts w:ascii="Avenir" w:eastAsia="Avenir" w:hAnsi="Avenir" w:cs="Avenir"/>
                <w:color w:val="000000"/>
                <w:sz w:val="16"/>
                <w:szCs w:val="16"/>
              </w:rPr>
            </w:pPr>
          </w:p>
        </w:tc>
        <w:tc>
          <w:tcPr>
            <w:tcW w:w="959" w:type="dxa"/>
          </w:tcPr>
          <w:p w14:paraId="71003261" w14:textId="77777777" w:rsidR="002B07B5" w:rsidRPr="00E11FFB" w:rsidRDefault="002B07B5" w:rsidP="002B07B5">
            <w:pPr>
              <w:rPr>
                <w:rFonts w:ascii="Avenir" w:eastAsia="Avenir" w:hAnsi="Avenir" w:cs="Avenir"/>
                <w:color w:val="000000"/>
                <w:sz w:val="16"/>
                <w:szCs w:val="16"/>
              </w:rPr>
            </w:pPr>
          </w:p>
        </w:tc>
        <w:tc>
          <w:tcPr>
            <w:tcW w:w="1067" w:type="dxa"/>
          </w:tcPr>
          <w:p w14:paraId="2F9998C4" w14:textId="39EBFD48"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328675D7" w14:textId="77777777" w:rsidR="002B07B5" w:rsidRPr="00E11FFB" w:rsidRDefault="002B07B5" w:rsidP="002B07B5">
            <w:pPr>
              <w:rPr>
                <w:rFonts w:ascii="Avenir" w:eastAsia="Avenir" w:hAnsi="Avenir" w:cs="Avenir"/>
                <w:color w:val="000000"/>
                <w:sz w:val="16"/>
                <w:szCs w:val="16"/>
              </w:rPr>
            </w:pPr>
          </w:p>
        </w:tc>
        <w:tc>
          <w:tcPr>
            <w:tcW w:w="1454" w:type="dxa"/>
          </w:tcPr>
          <w:p w14:paraId="6B637C64"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62A7E683"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126745BE" w14:textId="77777777" w:rsidTr="004F3468">
        <w:trPr>
          <w:trHeight w:val="1435"/>
          <w:jc w:val="center"/>
        </w:trPr>
        <w:tc>
          <w:tcPr>
            <w:tcW w:w="2155" w:type="dxa"/>
            <w:vMerge/>
          </w:tcPr>
          <w:p w14:paraId="599B5E83" w14:textId="77777777" w:rsidR="002B07B5" w:rsidRPr="00E11FFB" w:rsidRDefault="002B07B5" w:rsidP="002B07B5">
            <w:pPr>
              <w:rPr>
                <w:rFonts w:ascii="Avenir" w:eastAsia="Avenir" w:hAnsi="Avenir" w:cs="Avenir"/>
                <w:color w:val="000000"/>
                <w:sz w:val="16"/>
                <w:szCs w:val="16"/>
              </w:rPr>
            </w:pPr>
          </w:p>
        </w:tc>
        <w:tc>
          <w:tcPr>
            <w:tcW w:w="2070" w:type="dxa"/>
          </w:tcPr>
          <w:p w14:paraId="3885A9F9" w14:textId="5357535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Nombre des cartes des zones des conflits d'affectation des terres (supervision des usages) produites.</w:t>
            </w:r>
          </w:p>
        </w:tc>
        <w:tc>
          <w:tcPr>
            <w:tcW w:w="1170" w:type="dxa"/>
            <w:shd w:val="clear" w:color="auto" w:fill="FFFFFF" w:themeFill="background1"/>
          </w:tcPr>
          <w:p w14:paraId="7AD67BE3" w14:textId="0B65B467"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115BA9C8" w14:textId="2516F21B" w:rsidR="002B07B5" w:rsidRPr="00E11FFB" w:rsidRDefault="002B07B5" w:rsidP="002B07B5">
            <w:pPr>
              <w:rPr>
                <w:rFonts w:ascii="Avenir" w:eastAsia="Avenir" w:hAnsi="Avenir" w:cs="Avenir"/>
                <w:color w:val="000000"/>
                <w:sz w:val="16"/>
                <w:szCs w:val="16"/>
              </w:rPr>
            </w:pPr>
            <w:r w:rsidRPr="00E11FFB">
              <w:rPr>
                <w:rFonts w:ascii="Avenir" w:hAnsi="Avenir"/>
                <w:sz w:val="18"/>
                <w:szCs w:val="18"/>
              </w:rPr>
              <w:t xml:space="preserve">3 cartes </w:t>
            </w:r>
          </w:p>
        </w:tc>
        <w:tc>
          <w:tcPr>
            <w:tcW w:w="2088" w:type="dxa"/>
          </w:tcPr>
          <w:p w14:paraId="048D09F1" w14:textId="66610B7D"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Draft de cartes produites pour Equateur et Tshopo</w:t>
            </w:r>
          </w:p>
        </w:tc>
        <w:tc>
          <w:tcPr>
            <w:tcW w:w="959" w:type="dxa"/>
          </w:tcPr>
          <w:p w14:paraId="31C32371" w14:textId="2CF2485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Draft de cartes produites pour Equateur et Tshopo</w:t>
            </w:r>
          </w:p>
        </w:tc>
        <w:tc>
          <w:tcPr>
            <w:tcW w:w="1067" w:type="dxa"/>
          </w:tcPr>
          <w:p w14:paraId="26336511" w14:textId="15D353BA" w:rsidR="002B07B5" w:rsidRPr="00E11FFB" w:rsidRDefault="002B07B5" w:rsidP="002B07B5">
            <w:pPr>
              <w:pStyle w:val="Default"/>
              <w:rPr>
                <w:rFonts w:ascii="Avenir" w:eastAsia="Avenir" w:hAnsi="Avenir" w:cs="Avenir"/>
                <w:sz w:val="16"/>
                <w:szCs w:val="16"/>
                <w:lang w:val="fr-CD"/>
              </w:rPr>
            </w:pPr>
            <w:r w:rsidRPr="00E11FFB">
              <w:rPr>
                <w:sz w:val="14"/>
                <w:szCs w:val="14"/>
                <w:lang w:val="fr-CD"/>
              </w:rPr>
              <w:t>9 cartes en raison de 1 par se avec les superficies correspondantes</w:t>
            </w:r>
          </w:p>
        </w:tc>
        <w:tc>
          <w:tcPr>
            <w:tcW w:w="794" w:type="dxa"/>
          </w:tcPr>
          <w:p w14:paraId="1CB90DCD" w14:textId="77777777" w:rsidR="002B07B5" w:rsidRPr="00E11FFB" w:rsidRDefault="002B07B5" w:rsidP="002B07B5">
            <w:pPr>
              <w:rPr>
                <w:rFonts w:ascii="Avenir" w:eastAsia="Avenir" w:hAnsi="Avenir" w:cs="Avenir"/>
                <w:color w:val="000000"/>
                <w:sz w:val="16"/>
                <w:szCs w:val="16"/>
              </w:rPr>
            </w:pPr>
          </w:p>
        </w:tc>
        <w:tc>
          <w:tcPr>
            <w:tcW w:w="1454" w:type="dxa"/>
          </w:tcPr>
          <w:p w14:paraId="02533609"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4D4CB276"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20688C10" w14:textId="77777777" w:rsidTr="004F3468">
        <w:trPr>
          <w:trHeight w:val="318"/>
          <w:jc w:val="center"/>
        </w:trPr>
        <w:tc>
          <w:tcPr>
            <w:tcW w:w="2155" w:type="dxa"/>
            <w:vMerge/>
          </w:tcPr>
          <w:p w14:paraId="7D12976F" w14:textId="77777777" w:rsidR="002B07B5" w:rsidRPr="00E11FFB" w:rsidRDefault="002B07B5" w:rsidP="002B07B5">
            <w:pPr>
              <w:rPr>
                <w:rFonts w:ascii="Avenir" w:eastAsia="Avenir" w:hAnsi="Avenir" w:cs="Avenir"/>
                <w:color w:val="000000"/>
                <w:sz w:val="16"/>
                <w:szCs w:val="16"/>
              </w:rPr>
            </w:pPr>
          </w:p>
        </w:tc>
        <w:tc>
          <w:tcPr>
            <w:tcW w:w="2070" w:type="dxa"/>
          </w:tcPr>
          <w:p w14:paraId="4D487356" w14:textId="7E0125FE"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de cartographes mobilisés</w:t>
            </w:r>
          </w:p>
        </w:tc>
        <w:tc>
          <w:tcPr>
            <w:tcW w:w="1170" w:type="dxa"/>
            <w:shd w:val="clear" w:color="auto" w:fill="FFFFFF" w:themeFill="background1"/>
          </w:tcPr>
          <w:p w14:paraId="6F7D8760" w14:textId="17565B12"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3DBF659C" w14:textId="004F0B9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6</w:t>
            </w:r>
          </w:p>
        </w:tc>
        <w:tc>
          <w:tcPr>
            <w:tcW w:w="2088" w:type="dxa"/>
          </w:tcPr>
          <w:p w14:paraId="72A9F5B3" w14:textId="22A030C8"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959" w:type="dxa"/>
          </w:tcPr>
          <w:p w14:paraId="7D43C0AC" w14:textId="7959B91E" w:rsidR="002B07B5" w:rsidRPr="00E11FFB" w:rsidRDefault="002B07B5" w:rsidP="002B07B5">
            <w:pPr>
              <w:rPr>
                <w:rFonts w:ascii="Avenir" w:eastAsia="Avenir" w:hAnsi="Avenir" w:cs="Avenir"/>
                <w:color w:val="000000"/>
                <w:sz w:val="16"/>
                <w:szCs w:val="16"/>
              </w:rPr>
            </w:pPr>
            <w:r>
              <w:rPr>
                <w:rFonts w:ascii="Avenir" w:eastAsia="Avenir" w:hAnsi="Avenir" w:cs="Avenir"/>
                <w:color w:val="000000"/>
                <w:sz w:val="16"/>
                <w:szCs w:val="16"/>
              </w:rPr>
              <w:t>3</w:t>
            </w:r>
          </w:p>
        </w:tc>
        <w:tc>
          <w:tcPr>
            <w:tcW w:w="1067" w:type="dxa"/>
          </w:tcPr>
          <w:p w14:paraId="2B436F03" w14:textId="737D128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6</w:t>
            </w:r>
          </w:p>
        </w:tc>
        <w:tc>
          <w:tcPr>
            <w:tcW w:w="794" w:type="dxa"/>
          </w:tcPr>
          <w:p w14:paraId="5506888D" w14:textId="77777777" w:rsidR="002B07B5" w:rsidRPr="00E11FFB" w:rsidRDefault="002B07B5" w:rsidP="002B07B5">
            <w:pPr>
              <w:rPr>
                <w:rFonts w:ascii="Avenir" w:eastAsia="Avenir" w:hAnsi="Avenir" w:cs="Avenir"/>
                <w:color w:val="000000"/>
                <w:sz w:val="16"/>
                <w:szCs w:val="16"/>
              </w:rPr>
            </w:pPr>
          </w:p>
        </w:tc>
        <w:tc>
          <w:tcPr>
            <w:tcW w:w="1454" w:type="dxa"/>
          </w:tcPr>
          <w:p w14:paraId="76B1677B"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0EDBC6DC" w14:textId="62FF88DF"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Contrat de consultance </w:t>
            </w:r>
          </w:p>
        </w:tc>
      </w:tr>
      <w:tr w:rsidR="002B07B5" w:rsidRPr="00E11FFB" w14:paraId="61923317" w14:textId="77777777" w:rsidTr="004F3468">
        <w:trPr>
          <w:trHeight w:val="318"/>
          <w:jc w:val="center"/>
        </w:trPr>
        <w:tc>
          <w:tcPr>
            <w:tcW w:w="2155" w:type="dxa"/>
            <w:vMerge/>
          </w:tcPr>
          <w:p w14:paraId="5E9F765C" w14:textId="77777777" w:rsidR="002B07B5" w:rsidRPr="00E11FFB" w:rsidRDefault="002B07B5" w:rsidP="002B07B5">
            <w:pPr>
              <w:rPr>
                <w:rFonts w:ascii="Avenir" w:eastAsia="Avenir" w:hAnsi="Avenir" w:cs="Avenir"/>
                <w:color w:val="000000"/>
                <w:sz w:val="16"/>
                <w:szCs w:val="16"/>
              </w:rPr>
            </w:pPr>
          </w:p>
        </w:tc>
        <w:tc>
          <w:tcPr>
            <w:tcW w:w="2070" w:type="dxa"/>
          </w:tcPr>
          <w:p w14:paraId="268C9AD0" w14:textId="3B7D6C1F"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d’Ateliers de validation nationale des rapports sur les conflits.</w:t>
            </w:r>
          </w:p>
        </w:tc>
        <w:tc>
          <w:tcPr>
            <w:tcW w:w="1170" w:type="dxa"/>
            <w:shd w:val="clear" w:color="auto" w:fill="FFFFFF" w:themeFill="background1"/>
          </w:tcPr>
          <w:p w14:paraId="7B1BECE9" w14:textId="0FE77B8D"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795C8E31" w14:textId="55A9A93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6EC7EF33" w14:textId="12E17447" w:rsidR="002B07B5" w:rsidRPr="00E11FFB" w:rsidRDefault="002B07B5" w:rsidP="002B07B5">
            <w:pPr>
              <w:rPr>
                <w:rFonts w:ascii="Avenir" w:eastAsia="Avenir" w:hAnsi="Avenir" w:cs="Avenir"/>
                <w:color w:val="000000"/>
                <w:sz w:val="16"/>
                <w:szCs w:val="16"/>
              </w:rPr>
            </w:pPr>
            <w:r>
              <w:rPr>
                <w:rFonts w:ascii="Avenir" w:eastAsia="Avenir" w:hAnsi="Avenir" w:cs="Avenir"/>
                <w:color w:val="000000"/>
                <w:sz w:val="16"/>
                <w:szCs w:val="16"/>
              </w:rPr>
              <w:t>0</w:t>
            </w:r>
          </w:p>
        </w:tc>
        <w:tc>
          <w:tcPr>
            <w:tcW w:w="959" w:type="dxa"/>
          </w:tcPr>
          <w:p w14:paraId="07306C0B" w14:textId="77777777" w:rsidR="002B07B5" w:rsidRPr="00E11FFB" w:rsidRDefault="002B07B5" w:rsidP="002B07B5">
            <w:pPr>
              <w:rPr>
                <w:rFonts w:ascii="Avenir" w:eastAsia="Avenir" w:hAnsi="Avenir" w:cs="Avenir"/>
                <w:color w:val="000000"/>
                <w:sz w:val="16"/>
                <w:szCs w:val="16"/>
              </w:rPr>
            </w:pPr>
          </w:p>
        </w:tc>
        <w:tc>
          <w:tcPr>
            <w:tcW w:w="1067" w:type="dxa"/>
          </w:tcPr>
          <w:p w14:paraId="67ADA6DA" w14:textId="6A7AF3F2"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3 ateliers</w:t>
            </w:r>
          </w:p>
        </w:tc>
        <w:tc>
          <w:tcPr>
            <w:tcW w:w="794" w:type="dxa"/>
          </w:tcPr>
          <w:p w14:paraId="0BE6F6A1" w14:textId="77777777" w:rsidR="002B07B5" w:rsidRPr="00E11FFB" w:rsidRDefault="002B07B5" w:rsidP="002B07B5">
            <w:pPr>
              <w:rPr>
                <w:rFonts w:ascii="Avenir" w:eastAsia="Avenir" w:hAnsi="Avenir" w:cs="Avenir"/>
                <w:color w:val="000000"/>
                <w:sz w:val="16"/>
                <w:szCs w:val="16"/>
              </w:rPr>
            </w:pPr>
          </w:p>
        </w:tc>
        <w:tc>
          <w:tcPr>
            <w:tcW w:w="1454" w:type="dxa"/>
          </w:tcPr>
          <w:p w14:paraId="36903483"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553B5E01"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41E0E824" w14:textId="77777777" w:rsidTr="00E11FFB">
        <w:trPr>
          <w:trHeight w:val="318"/>
          <w:jc w:val="center"/>
        </w:trPr>
        <w:tc>
          <w:tcPr>
            <w:tcW w:w="2155" w:type="dxa"/>
            <w:vMerge/>
          </w:tcPr>
          <w:p w14:paraId="701672CE" w14:textId="77777777" w:rsidR="002B07B5" w:rsidRPr="00E11FFB" w:rsidRDefault="002B07B5" w:rsidP="002B07B5">
            <w:pPr>
              <w:rPr>
                <w:rFonts w:ascii="Avenir" w:eastAsia="Avenir" w:hAnsi="Avenir" w:cs="Avenir"/>
                <w:color w:val="000000"/>
                <w:sz w:val="16"/>
                <w:szCs w:val="16"/>
              </w:rPr>
            </w:pPr>
          </w:p>
        </w:tc>
        <w:tc>
          <w:tcPr>
            <w:tcW w:w="2070" w:type="dxa"/>
          </w:tcPr>
          <w:p w14:paraId="283F4A8A" w14:textId="020ADCD7"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de sessions de Conseils d’AT pour prise et publication des avis, directives et conciliation (désaffectation, confirmation de l’affectation, compensation, etc.) sur les usages des terres en conflits.</w:t>
            </w:r>
          </w:p>
        </w:tc>
        <w:tc>
          <w:tcPr>
            <w:tcW w:w="1170" w:type="dxa"/>
            <w:shd w:val="clear" w:color="auto" w:fill="FFFFFF" w:themeFill="background1"/>
          </w:tcPr>
          <w:p w14:paraId="1F1B53CC" w14:textId="6C12CEB7"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766A6D68" w14:textId="59993DD8"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6BF426BD" w14:textId="00F4FA1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107F1986" w14:textId="77777777" w:rsidR="002B07B5" w:rsidRPr="00E11FFB" w:rsidRDefault="002B07B5" w:rsidP="002B07B5">
            <w:pPr>
              <w:rPr>
                <w:rFonts w:ascii="Avenir" w:eastAsia="Avenir" w:hAnsi="Avenir" w:cs="Avenir"/>
                <w:color w:val="000000"/>
                <w:sz w:val="16"/>
                <w:szCs w:val="16"/>
              </w:rPr>
            </w:pPr>
          </w:p>
        </w:tc>
        <w:tc>
          <w:tcPr>
            <w:tcW w:w="1067" w:type="dxa"/>
          </w:tcPr>
          <w:p w14:paraId="7702DCB4" w14:textId="29873E52"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3 sessions</w:t>
            </w:r>
          </w:p>
        </w:tc>
        <w:tc>
          <w:tcPr>
            <w:tcW w:w="794" w:type="dxa"/>
          </w:tcPr>
          <w:p w14:paraId="43D9D9FB" w14:textId="77777777" w:rsidR="002B07B5" w:rsidRPr="00E11FFB" w:rsidRDefault="002B07B5" w:rsidP="002B07B5">
            <w:pPr>
              <w:rPr>
                <w:rFonts w:ascii="Avenir" w:eastAsia="Avenir" w:hAnsi="Avenir" w:cs="Avenir"/>
                <w:color w:val="000000"/>
                <w:sz w:val="16"/>
                <w:szCs w:val="16"/>
              </w:rPr>
            </w:pPr>
          </w:p>
        </w:tc>
        <w:tc>
          <w:tcPr>
            <w:tcW w:w="1454" w:type="dxa"/>
          </w:tcPr>
          <w:p w14:paraId="178C3DF0"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7A30EC29" w14:textId="0DA8157E"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signature du décret CNAT et désignation des membres</w:t>
            </w:r>
          </w:p>
        </w:tc>
      </w:tr>
      <w:tr w:rsidR="002B07B5" w:rsidRPr="00E11FFB" w14:paraId="3CA874AD" w14:textId="77777777" w:rsidTr="004F3468">
        <w:trPr>
          <w:trHeight w:val="318"/>
          <w:jc w:val="center"/>
        </w:trPr>
        <w:tc>
          <w:tcPr>
            <w:tcW w:w="2155" w:type="dxa"/>
            <w:vMerge w:val="restart"/>
          </w:tcPr>
          <w:p w14:paraId="0B3C7CCF" w14:textId="77777777" w:rsidR="002B07B5" w:rsidRPr="00E11FFB" w:rsidRDefault="002B07B5" w:rsidP="002B07B5">
            <w:pPr>
              <w:rPr>
                <w:rFonts w:ascii="Avenir" w:eastAsia="Avenir" w:hAnsi="Avenir" w:cs="Avenir"/>
                <w:color w:val="000000"/>
                <w:sz w:val="16"/>
                <w:szCs w:val="16"/>
              </w:rPr>
            </w:pPr>
          </w:p>
          <w:p w14:paraId="74090209" w14:textId="77777777" w:rsidR="002B07B5" w:rsidRPr="00E11FFB" w:rsidRDefault="002B07B5" w:rsidP="002B07B5">
            <w:pPr>
              <w:rPr>
                <w:rFonts w:ascii="Avenir" w:eastAsia="Avenir" w:hAnsi="Avenir" w:cs="Avenir"/>
                <w:color w:val="000000"/>
                <w:sz w:val="16"/>
                <w:szCs w:val="16"/>
              </w:rPr>
            </w:pPr>
          </w:p>
          <w:p w14:paraId="4F65A2B9" w14:textId="77777777" w:rsidR="002B07B5" w:rsidRPr="00E11FFB" w:rsidRDefault="002B07B5" w:rsidP="002B07B5">
            <w:pPr>
              <w:rPr>
                <w:rFonts w:ascii="Avenir" w:eastAsia="Avenir" w:hAnsi="Avenir" w:cs="Avenir"/>
                <w:color w:val="000000"/>
                <w:sz w:val="16"/>
                <w:szCs w:val="16"/>
              </w:rPr>
            </w:pPr>
          </w:p>
          <w:p w14:paraId="3B0A2248" w14:textId="77777777" w:rsidR="002B07B5" w:rsidRPr="00E11FFB" w:rsidRDefault="002B07B5" w:rsidP="002B07B5">
            <w:pPr>
              <w:rPr>
                <w:rFonts w:ascii="Avenir" w:eastAsia="Avenir" w:hAnsi="Avenir" w:cs="Avenir"/>
                <w:color w:val="000000"/>
                <w:sz w:val="16"/>
                <w:szCs w:val="16"/>
              </w:rPr>
            </w:pPr>
          </w:p>
          <w:p w14:paraId="2AF57B32" w14:textId="77777777" w:rsidR="002B07B5" w:rsidRPr="00E11FFB" w:rsidRDefault="002B07B5" w:rsidP="002B07B5">
            <w:pPr>
              <w:rPr>
                <w:rFonts w:ascii="Avenir" w:eastAsia="Avenir" w:hAnsi="Avenir" w:cs="Avenir"/>
                <w:color w:val="000000"/>
                <w:sz w:val="16"/>
                <w:szCs w:val="16"/>
              </w:rPr>
            </w:pPr>
          </w:p>
          <w:p w14:paraId="100980BE" w14:textId="0ED20AD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Produit 1.4 Jalon- j (4) : Tous les contrats d'affectation des terres (agriculture, forêts, mines et hydrocarbures) sont centralisés et publiés de manière transparente et mis à jour au minimum une fois par an sur une plateforme internet accessible à tous en collaboration avec les ministères sectoriels concernés.</w:t>
            </w:r>
          </w:p>
        </w:tc>
        <w:tc>
          <w:tcPr>
            <w:tcW w:w="2070" w:type="dxa"/>
          </w:tcPr>
          <w:p w14:paraId="579CB950" w14:textId="2D4EB3A2" w:rsidR="002B07B5" w:rsidRPr="00E11FFB" w:rsidRDefault="002B07B5" w:rsidP="002B07B5">
            <w:pPr>
              <w:rPr>
                <w:rFonts w:ascii="Avenir" w:eastAsia="Avenir" w:hAnsi="Avenir" w:cs="Avenir"/>
                <w:color w:val="000000"/>
                <w:sz w:val="16"/>
                <w:szCs w:val="16"/>
              </w:rPr>
            </w:pPr>
            <w:r w:rsidRPr="00E11FFB">
              <w:rPr>
                <w:rFonts w:ascii="Avenir" w:hAnsi="Avenir"/>
                <w:sz w:val="18"/>
                <w:szCs w:val="18"/>
              </w:rPr>
              <w:t>Nbre de missions de Collecte des donn</w:t>
            </w:r>
            <w:r w:rsidRPr="00E11FFB">
              <w:rPr>
                <w:rFonts w:ascii="Avenir" w:hAnsi="Avenir" w:hint="eastAsia"/>
                <w:sz w:val="18"/>
                <w:szCs w:val="18"/>
              </w:rPr>
              <w:t>é</w:t>
            </w:r>
            <w:r w:rsidRPr="00E11FFB">
              <w:rPr>
                <w:rFonts w:ascii="Avenir" w:hAnsi="Avenir"/>
                <w:sz w:val="18"/>
                <w:szCs w:val="18"/>
              </w:rPr>
              <w:t>es aupr</w:t>
            </w:r>
            <w:r w:rsidRPr="00E11FFB">
              <w:rPr>
                <w:rFonts w:ascii="Avenir" w:hAnsi="Avenir" w:hint="eastAsia"/>
                <w:sz w:val="18"/>
                <w:szCs w:val="18"/>
              </w:rPr>
              <w:t>è</w:t>
            </w:r>
            <w:r w:rsidRPr="00E11FFB">
              <w:rPr>
                <w:rFonts w:ascii="Avenir" w:hAnsi="Avenir"/>
                <w:sz w:val="18"/>
                <w:szCs w:val="18"/>
              </w:rPr>
              <w:t>s des minist</w:t>
            </w:r>
            <w:r w:rsidRPr="00E11FFB">
              <w:rPr>
                <w:rFonts w:ascii="Avenir" w:hAnsi="Avenir" w:hint="eastAsia"/>
                <w:sz w:val="18"/>
                <w:szCs w:val="18"/>
              </w:rPr>
              <w:t>è</w:t>
            </w:r>
            <w:r w:rsidRPr="00E11FFB">
              <w:rPr>
                <w:rFonts w:ascii="Avenir" w:hAnsi="Avenir"/>
                <w:sz w:val="18"/>
                <w:szCs w:val="18"/>
              </w:rPr>
              <w:t xml:space="preserve">res sectoriels </w:t>
            </w:r>
            <w:r w:rsidRPr="00E11FFB">
              <w:rPr>
                <w:rFonts w:ascii="Avenir" w:hAnsi="Avenir" w:hint="eastAsia"/>
                <w:sz w:val="18"/>
                <w:szCs w:val="18"/>
              </w:rPr>
              <w:t>à</w:t>
            </w:r>
            <w:r w:rsidRPr="00E11FFB">
              <w:rPr>
                <w:rFonts w:ascii="Avenir" w:hAnsi="Avenir"/>
                <w:sz w:val="18"/>
                <w:szCs w:val="18"/>
              </w:rPr>
              <w:t xml:space="preserve"> Kinshasa sur les contrats d</w:t>
            </w:r>
            <w:r w:rsidRPr="00E11FFB">
              <w:rPr>
                <w:rFonts w:ascii="Avenir" w:hAnsi="Avenir" w:hint="eastAsia"/>
                <w:sz w:val="18"/>
                <w:szCs w:val="18"/>
              </w:rPr>
              <w:t>’</w:t>
            </w:r>
            <w:r w:rsidRPr="00E11FFB">
              <w:rPr>
                <w:rFonts w:ascii="Avenir" w:hAnsi="Avenir"/>
                <w:sz w:val="18"/>
                <w:szCs w:val="18"/>
              </w:rPr>
              <w:t>affectation des terres (y compris donn</w:t>
            </w:r>
            <w:r w:rsidRPr="00E11FFB">
              <w:rPr>
                <w:rFonts w:ascii="Avenir" w:hAnsi="Avenir" w:hint="eastAsia"/>
                <w:sz w:val="18"/>
                <w:szCs w:val="18"/>
              </w:rPr>
              <w:t>é</w:t>
            </w:r>
            <w:r w:rsidRPr="00E11FFB">
              <w:rPr>
                <w:rFonts w:ascii="Avenir" w:hAnsi="Avenir"/>
                <w:sz w:val="18"/>
                <w:szCs w:val="18"/>
              </w:rPr>
              <w:t>es g</w:t>
            </w:r>
            <w:r w:rsidRPr="00E11FFB">
              <w:rPr>
                <w:rFonts w:ascii="Avenir" w:hAnsi="Avenir" w:hint="eastAsia"/>
                <w:sz w:val="18"/>
                <w:szCs w:val="18"/>
              </w:rPr>
              <w:t>é</w:t>
            </w:r>
            <w:r w:rsidRPr="00E11FFB">
              <w:rPr>
                <w:rFonts w:ascii="Avenir" w:hAnsi="Avenir"/>
                <w:sz w:val="18"/>
                <w:szCs w:val="18"/>
              </w:rPr>
              <w:t>o- r</w:t>
            </w:r>
            <w:r w:rsidRPr="00E11FFB">
              <w:rPr>
                <w:rFonts w:ascii="Avenir" w:hAnsi="Avenir" w:hint="eastAsia"/>
                <w:sz w:val="18"/>
                <w:szCs w:val="18"/>
              </w:rPr>
              <w:t>é</w:t>
            </w:r>
            <w:r w:rsidRPr="00E11FFB">
              <w:rPr>
                <w:rFonts w:ascii="Avenir" w:hAnsi="Avenir"/>
                <w:sz w:val="18"/>
                <w:szCs w:val="18"/>
              </w:rPr>
              <w:t>f</w:t>
            </w:r>
            <w:r w:rsidRPr="00E11FFB">
              <w:rPr>
                <w:rFonts w:ascii="Avenir" w:hAnsi="Avenir" w:hint="eastAsia"/>
                <w:sz w:val="18"/>
                <w:szCs w:val="18"/>
              </w:rPr>
              <w:t>é</w:t>
            </w:r>
            <w:r w:rsidRPr="00E11FFB">
              <w:rPr>
                <w:rFonts w:ascii="Avenir" w:hAnsi="Avenir"/>
                <w:sz w:val="18"/>
                <w:szCs w:val="18"/>
              </w:rPr>
              <w:t>renc</w:t>
            </w:r>
            <w:r w:rsidRPr="00E11FFB">
              <w:rPr>
                <w:rFonts w:ascii="Avenir" w:hAnsi="Avenir" w:hint="eastAsia"/>
                <w:sz w:val="18"/>
                <w:szCs w:val="18"/>
              </w:rPr>
              <w:t>é</w:t>
            </w:r>
            <w:r w:rsidRPr="00E11FFB">
              <w:rPr>
                <w:rFonts w:ascii="Avenir" w:hAnsi="Avenir"/>
                <w:sz w:val="18"/>
                <w:szCs w:val="18"/>
              </w:rPr>
              <w:t>es).</w:t>
            </w:r>
          </w:p>
        </w:tc>
        <w:tc>
          <w:tcPr>
            <w:tcW w:w="1170" w:type="dxa"/>
            <w:shd w:val="clear" w:color="auto" w:fill="FFFFFF" w:themeFill="background1"/>
          </w:tcPr>
          <w:p w14:paraId="327E060F" w14:textId="7E9BBA3E"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440" w:type="dxa"/>
          </w:tcPr>
          <w:p w14:paraId="27BB38AE" w14:textId="6B88DF6F"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2088" w:type="dxa"/>
          </w:tcPr>
          <w:p w14:paraId="547A2CC6" w14:textId="6D213762" w:rsidR="002B07B5" w:rsidRPr="00E11FFB" w:rsidRDefault="002B07B5" w:rsidP="002B07B5">
            <w:pPr>
              <w:rPr>
                <w:rFonts w:ascii="Avenir" w:eastAsia="Avenir" w:hAnsi="Avenir" w:cs="Avenir"/>
                <w:color w:val="000000" w:themeColor="text1"/>
                <w:sz w:val="16"/>
                <w:szCs w:val="16"/>
              </w:rPr>
            </w:pPr>
            <w:r w:rsidRPr="00E11FFB">
              <w:rPr>
                <w:rFonts w:ascii="Avenir" w:eastAsia="Avenir" w:hAnsi="Avenir" w:cs="Avenir"/>
                <w:color w:val="000000" w:themeColor="text1"/>
                <w:sz w:val="16"/>
                <w:szCs w:val="16"/>
              </w:rPr>
              <w:t>5 demandes de collecte de données formulées aux ministères sectoriels, rapport en attente. 6 Mission diligentée. Données sur les concessions forestières collectées, mais sans géoréférencement.</w:t>
            </w:r>
          </w:p>
        </w:tc>
        <w:tc>
          <w:tcPr>
            <w:tcW w:w="959" w:type="dxa"/>
          </w:tcPr>
          <w:p w14:paraId="6E147F4B" w14:textId="77777777" w:rsidR="002B07B5" w:rsidRPr="00E11FFB" w:rsidRDefault="002B07B5" w:rsidP="002B07B5">
            <w:pPr>
              <w:rPr>
                <w:rFonts w:ascii="Avenir" w:eastAsia="Avenir" w:hAnsi="Avenir" w:cs="Avenir"/>
                <w:color w:val="000000"/>
                <w:sz w:val="16"/>
                <w:szCs w:val="16"/>
              </w:rPr>
            </w:pPr>
          </w:p>
        </w:tc>
        <w:tc>
          <w:tcPr>
            <w:tcW w:w="1067" w:type="dxa"/>
          </w:tcPr>
          <w:p w14:paraId="23645882" w14:textId="7CF0A54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794" w:type="dxa"/>
          </w:tcPr>
          <w:p w14:paraId="5BA43B3B" w14:textId="77777777" w:rsidR="002B07B5" w:rsidRPr="00E11FFB" w:rsidRDefault="002B07B5" w:rsidP="002B07B5">
            <w:pPr>
              <w:rPr>
                <w:rFonts w:ascii="Avenir" w:eastAsia="Avenir" w:hAnsi="Avenir" w:cs="Avenir"/>
                <w:color w:val="000000"/>
                <w:sz w:val="16"/>
                <w:szCs w:val="16"/>
              </w:rPr>
            </w:pPr>
          </w:p>
        </w:tc>
        <w:tc>
          <w:tcPr>
            <w:tcW w:w="1454" w:type="dxa"/>
          </w:tcPr>
          <w:p w14:paraId="468135A1"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65F32A3E" w14:textId="25381806"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Ordre de mission élaboré, </w:t>
            </w:r>
          </w:p>
        </w:tc>
      </w:tr>
      <w:tr w:rsidR="002B07B5" w:rsidRPr="00E11FFB" w14:paraId="6ED21801" w14:textId="77777777" w:rsidTr="004F3468">
        <w:trPr>
          <w:trHeight w:val="318"/>
          <w:jc w:val="center"/>
        </w:trPr>
        <w:tc>
          <w:tcPr>
            <w:tcW w:w="2155" w:type="dxa"/>
            <w:vMerge/>
          </w:tcPr>
          <w:p w14:paraId="40FE2164" w14:textId="77777777" w:rsidR="002B07B5" w:rsidRPr="00E11FFB" w:rsidRDefault="002B07B5" w:rsidP="002B07B5">
            <w:pPr>
              <w:rPr>
                <w:rFonts w:ascii="Avenir" w:eastAsia="Avenir" w:hAnsi="Avenir" w:cs="Avenir"/>
                <w:color w:val="000000"/>
                <w:sz w:val="16"/>
                <w:szCs w:val="16"/>
              </w:rPr>
            </w:pPr>
          </w:p>
        </w:tc>
        <w:tc>
          <w:tcPr>
            <w:tcW w:w="2070" w:type="dxa"/>
          </w:tcPr>
          <w:p w14:paraId="7053D064" w14:textId="145F042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Base de données géoréférencées de tous les contrats d'affectation des terres mise en ligne.</w:t>
            </w:r>
          </w:p>
        </w:tc>
        <w:tc>
          <w:tcPr>
            <w:tcW w:w="1170" w:type="dxa"/>
            <w:shd w:val="clear" w:color="auto" w:fill="FFFFFF" w:themeFill="background1"/>
          </w:tcPr>
          <w:p w14:paraId="5A6E8F14" w14:textId="3744EA70"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5E73CAC1" w14:textId="37025E1B"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1B363BD0" w14:textId="401A9AB8" w:rsidR="002B07B5" w:rsidRPr="00E11FFB" w:rsidRDefault="002B07B5" w:rsidP="002B07B5">
            <w:pPr>
              <w:rPr>
                <w:rFonts w:ascii="Avenir" w:eastAsia="Avenir" w:hAnsi="Avenir" w:cs="Avenir"/>
                <w:color w:val="000000" w:themeColor="text1"/>
                <w:sz w:val="16"/>
                <w:szCs w:val="16"/>
              </w:rPr>
            </w:pPr>
            <w:r w:rsidRPr="00E11FFB">
              <w:rPr>
                <w:rFonts w:ascii="Avenir" w:eastAsia="Avenir" w:hAnsi="Avenir" w:cs="Avenir"/>
                <w:color w:val="000000" w:themeColor="text1"/>
                <w:sz w:val="16"/>
                <w:szCs w:val="16"/>
              </w:rPr>
              <w:t>0</w:t>
            </w:r>
          </w:p>
        </w:tc>
        <w:tc>
          <w:tcPr>
            <w:tcW w:w="959" w:type="dxa"/>
          </w:tcPr>
          <w:p w14:paraId="0AA14B0B" w14:textId="77777777" w:rsidR="002B07B5" w:rsidRPr="00E11FFB" w:rsidRDefault="002B07B5" w:rsidP="002B07B5">
            <w:pPr>
              <w:rPr>
                <w:rFonts w:ascii="Avenir" w:eastAsia="Avenir" w:hAnsi="Avenir" w:cs="Avenir"/>
                <w:color w:val="000000"/>
                <w:sz w:val="16"/>
                <w:szCs w:val="16"/>
              </w:rPr>
            </w:pPr>
          </w:p>
        </w:tc>
        <w:tc>
          <w:tcPr>
            <w:tcW w:w="1067" w:type="dxa"/>
          </w:tcPr>
          <w:p w14:paraId="68C8AC7A" w14:textId="70E0F145"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758DA919" w14:textId="77777777" w:rsidR="002B07B5" w:rsidRPr="00E11FFB" w:rsidRDefault="002B07B5" w:rsidP="002B07B5">
            <w:pPr>
              <w:rPr>
                <w:rFonts w:ascii="Avenir" w:eastAsia="Avenir" w:hAnsi="Avenir" w:cs="Avenir"/>
                <w:color w:val="000000"/>
                <w:sz w:val="16"/>
                <w:szCs w:val="16"/>
              </w:rPr>
            </w:pPr>
          </w:p>
        </w:tc>
        <w:tc>
          <w:tcPr>
            <w:tcW w:w="1454" w:type="dxa"/>
          </w:tcPr>
          <w:p w14:paraId="569D09AF"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6189641A"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5737E55E" w14:textId="77777777" w:rsidTr="004F3468">
        <w:trPr>
          <w:trHeight w:val="318"/>
          <w:jc w:val="center"/>
        </w:trPr>
        <w:tc>
          <w:tcPr>
            <w:tcW w:w="2155" w:type="dxa"/>
            <w:vMerge/>
          </w:tcPr>
          <w:p w14:paraId="0E69BFAE" w14:textId="77777777" w:rsidR="002B07B5" w:rsidRPr="00E11FFB" w:rsidRDefault="002B07B5" w:rsidP="002B07B5">
            <w:pPr>
              <w:rPr>
                <w:rFonts w:ascii="Avenir" w:eastAsia="Avenir" w:hAnsi="Avenir" w:cs="Avenir"/>
                <w:color w:val="000000"/>
                <w:sz w:val="16"/>
                <w:szCs w:val="16"/>
              </w:rPr>
            </w:pPr>
          </w:p>
        </w:tc>
        <w:tc>
          <w:tcPr>
            <w:tcW w:w="2070" w:type="dxa"/>
          </w:tcPr>
          <w:p w14:paraId="09EB2F03" w14:textId="28FC67D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Base de données géoréférencées de tous les contrats d'affectation des terres mise en ligne est actualisée annuellement.</w:t>
            </w:r>
          </w:p>
        </w:tc>
        <w:tc>
          <w:tcPr>
            <w:tcW w:w="1170" w:type="dxa"/>
            <w:shd w:val="clear" w:color="auto" w:fill="FFFFFF" w:themeFill="background1"/>
          </w:tcPr>
          <w:p w14:paraId="1E772D6E" w14:textId="69E2A5B9"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5D16964C" w14:textId="0094DE8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4690CA6F" w14:textId="4B0F9309" w:rsidR="002B07B5" w:rsidRPr="00E11FFB" w:rsidRDefault="002B07B5" w:rsidP="002B07B5">
            <w:pPr>
              <w:rPr>
                <w:rFonts w:ascii="Avenir" w:eastAsia="Avenir" w:hAnsi="Avenir" w:cs="Avenir"/>
                <w:color w:val="000000" w:themeColor="text1"/>
                <w:sz w:val="16"/>
                <w:szCs w:val="16"/>
              </w:rPr>
            </w:pPr>
            <w:r w:rsidRPr="00E11FFB">
              <w:rPr>
                <w:rFonts w:ascii="Avenir" w:eastAsia="Avenir" w:hAnsi="Avenir" w:cs="Avenir"/>
                <w:color w:val="000000" w:themeColor="text1"/>
                <w:sz w:val="16"/>
                <w:szCs w:val="16"/>
              </w:rPr>
              <w:t>1</w:t>
            </w:r>
          </w:p>
        </w:tc>
        <w:tc>
          <w:tcPr>
            <w:tcW w:w="959" w:type="dxa"/>
          </w:tcPr>
          <w:p w14:paraId="3BB2E296" w14:textId="77777777" w:rsidR="002B07B5" w:rsidRPr="00E11FFB" w:rsidRDefault="002B07B5" w:rsidP="002B07B5">
            <w:pPr>
              <w:rPr>
                <w:rFonts w:ascii="Avenir" w:eastAsia="Avenir" w:hAnsi="Avenir" w:cs="Avenir"/>
                <w:color w:val="000000"/>
                <w:sz w:val="16"/>
                <w:szCs w:val="16"/>
              </w:rPr>
            </w:pPr>
          </w:p>
        </w:tc>
        <w:tc>
          <w:tcPr>
            <w:tcW w:w="1067" w:type="dxa"/>
          </w:tcPr>
          <w:p w14:paraId="58AB5B4C" w14:textId="6A28A6D8"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40DA6566" w14:textId="77777777" w:rsidR="002B07B5" w:rsidRPr="00E11FFB" w:rsidRDefault="002B07B5" w:rsidP="002B07B5">
            <w:pPr>
              <w:rPr>
                <w:rFonts w:ascii="Avenir" w:eastAsia="Avenir" w:hAnsi="Avenir" w:cs="Avenir"/>
                <w:color w:val="000000"/>
                <w:sz w:val="16"/>
                <w:szCs w:val="16"/>
              </w:rPr>
            </w:pPr>
          </w:p>
        </w:tc>
        <w:tc>
          <w:tcPr>
            <w:tcW w:w="1454" w:type="dxa"/>
          </w:tcPr>
          <w:p w14:paraId="1570DE63"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261037C2" w14:textId="69B67025"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Sites mines, hydrocarbures avec données actualisées</w:t>
            </w:r>
          </w:p>
        </w:tc>
      </w:tr>
      <w:tr w:rsidR="002B07B5" w:rsidRPr="00E11FFB" w14:paraId="3CC9E4A8" w14:textId="77777777" w:rsidTr="004F3468">
        <w:trPr>
          <w:trHeight w:val="553"/>
          <w:jc w:val="center"/>
        </w:trPr>
        <w:tc>
          <w:tcPr>
            <w:tcW w:w="2155" w:type="dxa"/>
            <w:vMerge w:val="restart"/>
          </w:tcPr>
          <w:p w14:paraId="0F52D086" w14:textId="4BC620FB"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Produit 1.5 (Objectif d) : Finaliser de manière participative et inclusive le Schéma national d’aménagement du territoire et les plans d’aménagement du territoire aux niveaux provincial et local dans les zones clés, et s’assurer que ces outils soient prêts à être mis en œuvre d’ici 2025 et qu’ils intègrent les forêts de grande valeur et les tourbières, préalablement identifiées, en vue de leur préservation.</w:t>
            </w:r>
          </w:p>
        </w:tc>
        <w:tc>
          <w:tcPr>
            <w:tcW w:w="2070" w:type="dxa"/>
          </w:tcPr>
          <w:p w14:paraId="77166A5C" w14:textId="0B0C920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Contrat signé avec une expertise spécialisée.</w:t>
            </w:r>
          </w:p>
        </w:tc>
        <w:tc>
          <w:tcPr>
            <w:tcW w:w="1170" w:type="dxa"/>
            <w:shd w:val="clear" w:color="auto" w:fill="FFFFFF" w:themeFill="background1"/>
          </w:tcPr>
          <w:p w14:paraId="31FB48C7" w14:textId="5F2AD9E9"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1023CFCA" w14:textId="7C4B3816"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48E73586" w14:textId="16F93474"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68FD37E9" w14:textId="77777777" w:rsidR="002B07B5" w:rsidRPr="00E11FFB" w:rsidRDefault="002B07B5" w:rsidP="002B07B5">
            <w:pPr>
              <w:rPr>
                <w:rFonts w:ascii="Avenir" w:eastAsia="Avenir" w:hAnsi="Avenir" w:cs="Avenir"/>
                <w:color w:val="000000"/>
                <w:sz w:val="16"/>
                <w:szCs w:val="16"/>
              </w:rPr>
            </w:pPr>
          </w:p>
        </w:tc>
        <w:tc>
          <w:tcPr>
            <w:tcW w:w="1067" w:type="dxa"/>
          </w:tcPr>
          <w:p w14:paraId="5556C481" w14:textId="6CB39582"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7CBD610D" w14:textId="77777777" w:rsidR="002B07B5" w:rsidRPr="00E11FFB" w:rsidRDefault="002B07B5" w:rsidP="002B07B5">
            <w:pPr>
              <w:rPr>
                <w:rFonts w:ascii="Avenir" w:eastAsia="Avenir" w:hAnsi="Avenir" w:cs="Avenir"/>
                <w:color w:val="000000"/>
                <w:sz w:val="16"/>
                <w:szCs w:val="16"/>
              </w:rPr>
            </w:pPr>
          </w:p>
        </w:tc>
        <w:tc>
          <w:tcPr>
            <w:tcW w:w="1454" w:type="dxa"/>
          </w:tcPr>
          <w:p w14:paraId="084127E9"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46A4D69B" w14:textId="54C7BC00"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Contrat de consultance </w:t>
            </w:r>
          </w:p>
        </w:tc>
      </w:tr>
      <w:tr w:rsidR="002B07B5" w:rsidRPr="00E11FFB" w14:paraId="4AB40CDA" w14:textId="77777777" w:rsidTr="004F3468">
        <w:trPr>
          <w:trHeight w:val="318"/>
          <w:jc w:val="center"/>
        </w:trPr>
        <w:tc>
          <w:tcPr>
            <w:tcW w:w="2155" w:type="dxa"/>
            <w:vMerge/>
          </w:tcPr>
          <w:p w14:paraId="3B948C0A" w14:textId="77777777" w:rsidR="002B07B5" w:rsidRPr="00E11FFB" w:rsidRDefault="002B07B5" w:rsidP="002B07B5">
            <w:pPr>
              <w:rPr>
                <w:rFonts w:ascii="Avenir" w:eastAsia="Avenir" w:hAnsi="Avenir" w:cs="Avenir"/>
                <w:color w:val="000000"/>
                <w:sz w:val="16"/>
                <w:szCs w:val="16"/>
              </w:rPr>
            </w:pPr>
          </w:p>
        </w:tc>
        <w:tc>
          <w:tcPr>
            <w:tcW w:w="2070" w:type="dxa"/>
          </w:tcPr>
          <w:p w14:paraId="4CCD318A" w14:textId="2374439E"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Contrat de recrutement avec un Bureau d’étude pour réaliser l’EESS du SNAT.</w:t>
            </w:r>
          </w:p>
        </w:tc>
        <w:tc>
          <w:tcPr>
            <w:tcW w:w="1170" w:type="dxa"/>
            <w:shd w:val="clear" w:color="auto" w:fill="FFFFFF" w:themeFill="background1"/>
          </w:tcPr>
          <w:p w14:paraId="76F24B74" w14:textId="2C9E1319"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4845968E" w14:textId="27772483"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088" w:type="dxa"/>
          </w:tcPr>
          <w:p w14:paraId="30AD9157" w14:textId="77777777" w:rsidR="002B07B5" w:rsidRPr="00E11FFB" w:rsidRDefault="002B07B5" w:rsidP="002B07B5">
            <w:pPr>
              <w:rPr>
                <w:rFonts w:ascii="Avenir" w:eastAsia="Avenir" w:hAnsi="Avenir" w:cs="Avenir"/>
                <w:color w:val="000000"/>
                <w:sz w:val="16"/>
                <w:szCs w:val="16"/>
              </w:rPr>
            </w:pPr>
          </w:p>
        </w:tc>
        <w:tc>
          <w:tcPr>
            <w:tcW w:w="959" w:type="dxa"/>
          </w:tcPr>
          <w:p w14:paraId="0DAD8296" w14:textId="77777777" w:rsidR="002B07B5" w:rsidRPr="00E11FFB" w:rsidRDefault="002B07B5" w:rsidP="002B07B5">
            <w:pPr>
              <w:rPr>
                <w:rFonts w:ascii="Avenir" w:eastAsia="Avenir" w:hAnsi="Avenir" w:cs="Avenir"/>
                <w:color w:val="000000"/>
                <w:sz w:val="16"/>
                <w:szCs w:val="16"/>
              </w:rPr>
            </w:pPr>
          </w:p>
        </w:tc>
        <w:tc>
          <w:tcPr>
            <w:tcW w:w="1067" w:type="dxa"/>
          </w:tcPr>
          <w:p w14:paraId="54776F03" w14:textId="20C07A27"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04EA9A9D" w14:textId="77777777" w:rsidR="002B07B5" w:rsidRPr="00E11FFB" w:rsidRDefault="002B07B5" w:rsidP="002B07B5">
            <w:pPr>
              <w:rPr>
                <w:rFonts w:ascii="Avenir" w:eastAsia="Avenir" w:hAnsi="Avenir" w:cs="Avenir"/>
                <w:color w:val="000000"/>
                <w:sz w:val="16"/>
                <w:szCs w:val="16"/>
              </w:rPr>
            </w:pPr>
          </w:p>
        </w:tc>
        <w:tc>
          <w:tcPr>
            <w:tcW w:w="1454" w:type="dxa"/>
          </w:tcPr>
          <w:p w14:paraId="373A2851"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4D297681" w14:textId="2E6CA79C" w:rsidR="002B07B5" w:rsidRPr="00E11FFB" w:rsidRDefault="002B07B5" w:rsidP="002B07B5">
            <w:pPr>
              <w:spacing w:after="5"/>
              <w:rPr>
                <w:rFonts w:ascii="Avenir" w:eastAsia="Avenir" w:hAnsi="Avenir" w:cs="Avenir"/>
                <w:color w:val="000000"/>
                <w:sz w:val="16"/>
                <w:szCs w:val="16"/>
              </w:rPr>
            </w:pPr>
            <w:r>
              <w:rPr>
                <w:rFonts w:ascii="Avenir" w:eastAsia="Avenir" w:hAnsi="Avenir" w:cs="Avenir"/>
                <w:color w:val="000000"/>
                <w:sz w:val="16"/>
                <w:szCs w:val="16"/>
              </w:rPr>
              <w:t xml:space="preserve">Le bureau identifié, ANO donné, contrat en préparation. </w:t>
            </w:r>
          </w:p>
        </w:tc>
      </w:tr>
      <w:tr w:rsidR="002B07B5" w:rsidRPr="00E11FFB" w14:paraId="3F235483" w14:textId="77777777" w:rsidTr="004F3468">
        <w:trPr>
          <w:trHeight w:val="580"/>
          <w:jc w:val="center"/>
        </w:trPr>
        <w:tc>
          <w:tcPr>
            <w:tcW w:w="2155" w:type="dxa"/>
            <w:vMerge/>
          </w:tcPr>
          <w:p w14:paraId="65ED7161" w14:textId="77777777" w:rsidR="002B07B5" w:rsidRPr="00E11FFB" w:rsidRDefault="002B07B5" w:rsidP="002B07B5">
            <w:pPr>
              <w:rPr>
                <w:rFonts w:ascii="Avenir" w:eastAsia="Avenir" w:hAnsi="Avenir" w:cs="Avenir"/>
                <w:color w:val="000000"/>
                <w:sz w:val="16"/>
                <w:szCs w:val="16"/>
              </w:rPr>
            </w:pPr>
          </w:p>
        </w:tc>
        <w:tc>
          <w:tcPr>
            <w:tcW w:w="2070" w:type="dxa"/>
          </w:tcPr>
          <w:p w14:paraId="61237A1E" w14:textId="545E91AE"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Nombre de Session de validation du SNAT par le Conseil national d'AT</w:t>
            </w:r>
          </w:p>
        </w:tc>
        <w:tc>
          <w:tcPr>
            <w:tcW w:w="1170" w:type="dxa"/>
            <w:shd w:val="clear" w:color="auto" w:fill="FFFFFF" w:themeFill="background1"/>
          </w:tcPr>
          <w:p w14:paraId="2910AF9C" w14:textId="493939E2"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002DBDEE" w14:textId="4B07A776"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2088" w:type="dxa"/>
          </w:tcPr>
          <w:p w14:paraId="75DC0729" w14:textId="77777777" w:rsidR="002B07B5" w:rsidRPr="00E11FFB" w:rsidRDefault="002B07B5" w:rsidP="002B07B5">
            <w:pPr>
              <w:rPr>
                <w:rFonts w:ascii="Avenir" w:eastAsia="Avenir" w:hAnsi="Avenir" w:cs="Avenir"/>
                <w:color w:val="000000"/>
                <w:sz w:val="16"/>
                <w:szCs w:val="16"/>
              </w:rPr>
            </w:pPr>
          </w:p>
        </w:tc>
        <w:tc>
          <w:tcPr>
            <w:tcW w:w="959" w:type="dxa"/>
          </w:tcPr>
          <w:p w14:paraId="150B967A" w14:textId="77777777" w:rsidR="002B07B5" w:rsidRPr="00E11FFB" w:rsidRDefault="002B07B5" w:rsidP="002B07B5">
            <w:pPr>
              <w:rPr>
                <w:rFonts w:ascii="Avenir" w:eastAsia="Avenir" w:hAnsi="Avenir" w:cs="Avenir"/>
                <w:color w:val="000000"/>
                <w:sz w:val="16"/>
                <w:szCs w:val="16"/>
              </w:rPr>
            </w:pPr>
          </w:p>
        </w:tc>
        <w:tc>
          <w:tcPr>
            <w:tcW w:w="1067" w:type="dxa"/>
          </w:tcPr>
          <w:p w14:paraId="78987B71" w14:textId="7FB03F3E"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0CC495F1" w14:textId="77777777" w:rsidR="002B07B5" w:rsidRPr="00E11FFB" w:rsidRDefault="002B07B5" w:rsidP="002B07B5">
            <w:pPr>
              <w:rPr>
                <w:rFonts w:ascii="Avenir" w:eastAsia="Avenir" w:hAnsi="Avenir" w:cs="Avenir"/>
                <w:color w:val="000000"/>
                <w:sz w:val="16"/>
                <w:szCs w:val="16"/>
              </w:rPr>
            </w:pPr>
          </w:p>
        </w:tc>
        <w:tc>
          <w:tcPr>
            <w:tcW w:w="1454" w:type="dxa"/>
          </w:tcPr>
          <w:p w14:paraId="6CB8E3A3"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0C01E10D" w14:textId="7594D9A5" w:rsidR="002B07B5" w:rsidRPr="00E11FFB" w:rsidRDefault="002B07B5" w:rsidP="002B07B5">
            <w:pPr>
              <w:spacing w:after="5"/>
              <w:rPr>
                <w:rFonts w:ascii="Avenir" w:eastAsia="Avenir" w:hAnsi="Avenir" w:cs="Avenir"/>
                <w:color w:val="000000"/>
                <w:sz w:val="16"/>
                <w:szCs w:val="16"/>
              </w:rPr>
            </w:pPr>
          </w:p>
        </w:tc>
      </w:tr>
      <w:tr w:rsidR="002B07B5" w:rsidRPr="00E11FFB" w14:paraId="3C9EC56F" w14:textId="77777777" w:rsidTr="004F3468">
        <w:trPr>
          <w:trHeight w:val="318"/>
          <w:jc w:val="center"/>
        </w:trPr>
        <w:tc>
          <w:tcPr>
            <w:tcW w:w="2155" w:type="dxa"/>
            <w:vMerge w:val="restart"/>
          </w:tcPr>
          <w:p w14:paraId="42A87D7A" w14:textId="039C5B8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Produit-1. 6 / Jalon- (6) : Renforcer les capacités humaines et techniques du ministère d’Aménagement du Territoire dans la mise en œuvre de la réforme de l’Aménagement du Territoire (Appuyer les PIREDD à élaboration des outils de planification spatiale (PPAT, PLAT, PSAT).</w:t>
            </w:r>
          </w:p>
        </w:tc>
        <w:tc>
          <w:tcPr>
            <w:tcW w:w="2070" w:type="dxa"/>
          </w:tcPr>
          <w:p w14:paraId="54E276A1" w14:textId="1E8203E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Missions de Terrain PIREDD.</w:t>
            </w:r>
          </w:p>
        </w:tc>
        <w:tc>
          <w:tcPr>
            <w:tcW w:w="1170" w:type="dxa"/>
            <w:shd w:val="clear" w:color="auto" w:fill="FFFFFF" w:themeFill="background1"/>
          </w:tcPr>
          <w:p w14:paraId="0EEDD901" w14:textId="3379AC2C"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7</w:t>
            </w:r>
          </w:p>
        </w:tc>
        <w:tc>
          <w:tcPr>
            <w:tcW w:w="1440" w:type="dxa"/>
          </w:tcPr>
          <w:p w14:paraId="55AABF06" w14:textId="3F729A8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12</w:t>
            </w:r>
          </w:p>
        </w:tc>
        <w:tc>
          <w:tcPr>
            <w:tcW w:w="2088" w:type="dxa"/>
          </w:tcPr>
          <w:p w14:paraId="126F23D9" w14:textId="45155853" w:rsidR="002B07B5" w:rsidRPr="00E11FFB" w:rsidRDefault="002B07B5" w:rsidP="002B07B5">
            <w:pPr>
              <w:ind w:firstLine="720"/>
              <w:rPr>
                <w:rFonts w:ascii="Avenir" w:eastAsia="Avenir" w:hAnsi="Avenir" w:cs="Avenir"/>
                <w:sz w:val="16"/>
                <w:szCs w:val="16"/>
              </w:rPr>
            </w:pPr>
            <w:r w:rsidRPr="00E11FFB">
              <w:rPr>
                <w:rFonts w:ascii="Avenir" w:eastAsia="Avenir" w:hAnsi="Avenir" w:cs="Avenir"/>
                <w:sz w:val="16"/>
                <w:szCs w:val="16"/>
              </w:rPr>
              <w:t xml:space="preserve"> 1</w:t>
            </w:r>
          </w:p>
        </w:tc>
        <w:tc>
          <w:tcPr>
            <w:tcW w:w="959" w:type="dxa"/>
          </w:tcPr>
          <w:p w14:paraId="4CBEE711" w14:textId="77777777" w:rsidR="002B07B5" w:rsidRPr="00E11FFB" w:rsidRDefault="002B07B5" w:rsidP="002B07B5">
            <w:pPr>
              <w:rPr>
                <w:rFonts w:ascii="Avenir" w:eastAsia="Avenir" w:hAnsi="Avenir" w:cs="Avenir"/>
                <w:color w:val="000000"/>
                <w:sz w:val="16"/>
                <w:szCs w:val="16"/>
              </w:rPr>
            </w:pPr>
          </w:p>
        </w:tc>
        <w:tc>
          <w:tcPr>
            <w:tcW w:w="1067" w:type="dxa"/>
          </w:tcPr>
          <w:p w14:paraId="52B34999" w14:textId="0F25AD65"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12</w:t>
            </w:r>
          </w:p>
        </w:tc>
        <w:tc>
          <w:tcPr>
            <w:tcW w:w="794" w:type="dxa"/>
          </w:tcPr>
          <w:p w14:paraId="431B44EE" w14:textId="77777777" w:rsidR="002B07B5" w:rsidRPr="00E11FFB" w:rsidRDefault="002B07B5" w:rsidP="002B07B5">
            <w:pPr>
              <w:rPr>
                <w:rFonts w:ascii="Avenir" w:eastAsia="Avenir" w:hAnsi="Avenir" w:cs="Avenir"/>
                <w:color w:val="000000"/>
                <w:sz w:val="16"/>
                <w:szCs w:val="16"/>
              </w:rPr>
            </w:pPr>
          </w:p>
        </w:tc>
        <w:tc>
          <w:tcPr>
            <w:tcW w:w="1454" w:type="dxa"/>
          </w:tcPr>
          <w:p w14:paraId="083029D8"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3AC1EC9B" w14:textId="43B2C3DA" w:rsidR="002B07B5" w:rsidRPr="00E11FFB" w:rsidRDefault="002B07B5" w:rsidP="002B07B5">
            <w:pPr>
              <w:spacing w:after="5"/>
              <w:rPr>
                <w:rFonts w:ascii="Avenir" w:eastAsia="Avenir" w:hAnsi="Avenir" w:cs="Avenir"/>
                <w:color w:val="000000"/>
                <w:sz w:val="16"/>
                <w:szCs w:val="16"/>
              </w:rPr>
            </w:pPr>
            <w:r w:rsidRPr="00E11FFB">
              <w:rPr>
                <w:rFonts w:ascii="Avenir" w:eastAsia="Avenir" w:hAnsi="Avenir" w:cs="Avenir"/>
                <w:color w:val="000000"/>
                <w:sz w:val="16"/>
                <w:szCs w:val="16"/>
              </w:rPr>
              <w:t>Missions’ identification conflit usage Equateur</w:t>
            </w:r>
          </w:p>
        </w:tc>
      </w:tr>
      <w:tr w:rsidR="002B07B5" w:rsidRPr="00E11FFB" w14:paraId="0E319C7D" w14:textId="77777777" w:rsidTr="004F3468">
        <w:trPr>
          <w:trHeight w:val="318"/>
          <w:jc w:val="center"/>
        </w:trPr>
        <w:tc>
          <w:tcPr>
            <w:tcW w:w="2155" w:type="dxa"/>
            <w:vMerge/>
          </w:tcPr>
          <w:p w14:paraId="10D6F8E4" w14:textId="4977C0AE" w:rsidR="002B07B5" w:rsidRPr="00E11FFB" w:rsidRDefault="002B07B5" w:rsidP="002B07B5">
            <w:pPr>
              <w:rPr>
                <w:rFonts w:ascii="Avenir" w:eastAsia="Avenir" w:hAnsi="Avenir" w:cs="Avenir"/>
                <w:color w:val="000000"/>
                <w:sz w:val="16"/>
                <w:szCs w:val="16"/>
              </w:rPr>
            </w:pPr>
          </w:p>
        </w:tc>
        <w:tc>
          <w:tcPr>
            <w:tcW w:w="2070" w:type="dxa"/>
          </w:tcPr>
          <w:p w14:paraId="221707EA" w14:textId="1227A45D"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Nbre d’ateliers de mise à niveau des PIREDD sur les guides méthodologiques des outils d'AT (PPAT, PLAT, PSAT).</w:t>
            </w:r>
          </w:p>
        </w:tc>
        <w:tc>
          <w:tcPr>
            <w:tcW w:w="1170" w:type="dxa"/>
            <w:shd w:val="clear" w:color="auto" w:fill="FFFFFF" w:themeFill="background1"/>
          </w:tcPr>
          <w:p w14:paraId="6897619D" w14:textId="5DCEDB77"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1440" w:type="dxa"/>
          </w:tcPr>
          <w:p w14:paraId="1288BA6D" w14:textId="6D004288"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12</w:t>
            </w:r>
          </w:p>
        </w:tc>
        <w:tc>
          <w:tcPr>
            <w:tcW w:w="2088" w:type="dxa"/>
          </w:tcPr>
          <w:p w14:paraId="22649AC7" w14:textId="10E4E2E1" w:rsidR="002B07B5" w:rsidRPr="00E11FFB" w:rsidRDefault="002B07B5" w:rsidP="002B07B5">
            <w:pPr>
              <w:jc w:val="center"/>
              <w:rPr>
                <w:rFonts w:ascii="Avenir" w:eastAsia="Avenir" w:hAnsi="Avenir" w:cs="Avenir"/>
                <w:color w:val="000000"/>
                <w:sz w:val="16"/>
                <w:szCs w:val="16"/>
              </w:rPr>
            </w:pPr>
            <w:r>
              <w:rPr>
                <w:rFonts w:ascii="Avenir" w:eastAsia="Avenir" w:hAnsi="Avenir" w:cs="Avenir"/>
                <w:sz w:val="16"/>
                <w:szCs w:val="16"/>
              </w:rPr>
              <w:t>1</w:t>
            </w:r>
          </w:p>
        </w:tc>
        <w:tc>
          <w:tcPr>
            <w:tcW w:w="959" w:type="dxa"/>
          </w:tcPr>
          <w:p w14:paraId="08927A18" w14:textId="77777777" w:rsidR="002B07B5" w:rsidRPr="00E11FFB" w:rsidRDefault="002B07B5" w:rsidP="002B07B5">
            <w:pPr>
              <w:rPr>
                <w:rFonts w:ascii="Avenir" w:eastAsia="Avenir" w:hAnsi="Avenir" w:cs="Avenir"/>
                <w:color w:val="000000"/>
                <w:sz w:val="16"/>
                <w:szCs w:val="16"/>
              </w:rPr>
            </w:pPr>
          </w:p>
        </w:tc>
        <w:tc>
          <w:tcPr>
            <w:tcW w:w="1067" w:type="dxa"/>
          </w:tcPr>
          <w:p w14:paraId="7662AE3A" w14:textId="6E1CA6E7"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12</w:t>
            </w:r>
          </w:p>
        </w:tc>
        <w:tc>
          <w:tcPr>
            <w:tcW w:w="794" w:type="dxa"/>
          </w:tcPr>
          <w:p w14:paraId="42C2DA29" w14:textId="77777777" w:rsidR="002B07B5" w:rsidRPr="00E11FFB" w:rsidRDefault="002B07B5" w:rsidP="002B07B5">
            <w:pPr>
              <w:rPr>
                <w:rFonts w:ascii="Avenir" w:eastAsia="Avenir" w:hAnsi="Avenir" w:cs="Avenir"/>
                <w:color w:val="000000"/>
                <w:sz w:val="16"/>
                <w:szCs w:val="16"/>
              </w:rPr>
            </w:pPr>
          </w:p>
        </w:tc>
        <w:tc>
          <w:tcPr>
            <w:tcW w:w="1454" w:type="dxa"/>
          </w:tcPr>
          <w:p w14:paraId="483830BC"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2EB26DF8" w14:textId="5A5F07BD" w:rsidR="002B07B5" w:rsidRPr="00E11FFB" w:rsidRDefault="002B07B5" w:rsidP="002B07B5">
            <w:pPr>
              <w:spacing w:after="5"/>
              <w:rPr>
                <w:rFonts w:ascii="Avenir" w:eastAsia="Avenir" w:hAnsi="Avenir" w:cs="Avenir"/>
                <w:color w:val="000000"/>
                <w:sz w:val="16"/>
                <w:szCs w:val="16"/>
              </w:rPr>
            </w:pPr>
            <w:r>
              <w:rPr>
                <w:rFonts w:ascii="Avenir" w:eastAsia="Avenir" w:hAnsi="Avenir" w:cs="Avenir"/>
                <w:color w:val="000000"/>
                <w:sz w:val="16"/>
                <w:szCs w:val="16"/>
              </w:rPr>
              <w:t>Mission à Mbandaka avec Rainforest Norvège</w:t>
            </w:r>
          </w:p>
        </w:tc>
      </w:tr>
      <w:tr w:rsidR="002B07B5" w:rsidRPr="00E11FFB" w14:paraId="60647190" w14:textId="77777777" w:rsidTr="004F3468">
        <w:trPr>
          <w:trHeight w:val="318"/>
          <w:jc w:val="center"/>
        </w:trPr>
        <w:tc>
          <w:tcPr>
            <w:tcW w:w="2155" w:type="dxa"/>
          </w:tcPr>
          <w:p w14:paraId="183DFCA9" w14:textId="2C3D6BE8" w:rsidR="002B07B5" w:rsidRPr="00E11FFB" w:rsidRDefault="002B07B5" w:rsidP="002B07B5">
            <w:pPr>
              <w:pStyle w:val="Default"/>
              <w:rPr>
                <w:sz w:val="18"/>
                <w:szCs w:val="18"/>
                <w:lang w:val="fr-CD"/>
              </w:rPr>
            </w:pPr>
            <w:r w:rsidRPr="00E11FFB">
              <w:rPr>
                <w:sz w:val="18"/>
                <w:szCs w:val="18"/>
                <w:lang w:val="fr-CD"/>
              </w:rPr>
              <w:t xml:space="preserve">Renforcer la transparence, la communication et de la coordination dans la mise en œuvre du projet </w:t>
            </w:r>
          </w:p>
          <w:p w14:paraId="0CD77043" w14:textId="59A41F44" w:rsidR="002B07B5" w:rsidRPr="00E11FFB" w:rsidRDefault="002B07B5" w:rsidP="002B07B5">
            <w:pPr>
              <w:rPr>
                <w:rFonts w:ascii="Avenir" w:eastAsia="Avenir" w:hAnsi="Avenir" w:cs="Avenir"/>
                <w:color w:val="000000"/>
                <w:sz w:val="16"/>
                <w:szCs w:val="16"/>
              </w:rPr>
            </w:pPr>
          </w:p>
        </w:tc>
        <w:tc>
          <w:tcPr>
            <w:tcW w:w="2070" w:type="dxa"/>
          </w:tcPr>
          <w:p w14:paraId="3FFA6221" w14:textId="085064EC"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informer sur le projet.</w:t>
            </w:r>
          </w:p>
        </w:tc>
        <w:tc>
          <w:tcPr>
            <w:tcW w:w="1170" w:type="dxa"/>
            <w:shd w:val="clear" w:color="auto" w:fill="FFFFFF" w:themeFill="background1"/>
          </w:tcPr>
          <w:p w14:paraId="039350C7" w14:textId="06D2002E"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458E8C07" w14:textId="5566E601"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50 % de la population cible dans les zones d’intervention.</w:t>
            </w:r>
          </w:p>
        </w:tc>
        <w:tc>
          <w:tcPr>
            <w:tcW w:w="2088" w:type="dxa"/>
          </w:tcPr>
          <w:p w14:paraId="089EC90E" w14:textId="74B91ED5"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370</w:t>
            </w:r>
          </w:p>
        </w:tc>
        <w:tc>
          <w:tcPr>
            <w:tcW w:w="959" w:type="dxa"/>
          </w:tcPr>
          <w:p w14:paraId="4E93CFC3" w14:textId="77777777" w:rsidR="002B07B5" w:rsidRPr="00E11FFB" w:rsidRDefault="002B07B5" w:rsidP="002B07B5">
            <w:pPr>
              <w:rPr>
                <w:rFonts w:ascii="Avenir" w:eastAsia="Avenir" w:hAnsi="Avenir" w:cs="Avenir"/>
                <w:color w:val="000000"/>
                <w:sz w:val="16"/>
                <w:szCs w:val="16"/>
              </w:rPr>
            </w:pPr>
          </w:p>
        </w:tc>
        <w:tc>
          <w:tcPr>
            <w:tcW w:w="1067" w:type="dxa"/>
          </w:tcPr>
          <w:p w14:paraId="17965617" w14:textId="25C460E2"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90 % de la population cible dans les zones d’intervention.</w:t>
            </w:r>
          </w:p>
        </w:tc>
        <w:tc>
          <w:tcPr>
            <w:tcW w:w="794" w:type="dxa"/>
          </w:tcPr>
          <w:p w14:paraId="7D71798F" w14:textId="77777777" w:rsidR="002B07B5" w:rsidRPr="00E11FFB" w:rsidRDefault="002B07B5" w:rsidP="002B07B5">
            <w:pPr>
              <w:rPr>
                <w:rFonts w:ascii="Avenir" w:eastAsia="Avenir" w:hAnsi="Avenir" w:cs="Avenir"/>
                <w:color w:val="000000"/>
                <w:sz w:val="16"/>
                <w:szCs w:val="16"/>
              </w:rPr>
            </w:pPr>
          </w:p>
        </w:tc>
        <w:tc>
          <w:tcPr>
            <w:tcW w:w="1454" w:type="dxa"/>
          </w:tcPr>
          <w:p w14:paraId="05514E8D"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1B3F2468"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304F3584" w14:textId="77777777" w:rsidTr="004F3468">
        <w:trPr>
          <w:trHeight w:val="318"/>
          <w:jc w:val="center"/>
        </w:trPr>
        <w:tc>
          <w:tcPr>
            <w:tcW w:w="2155" w:type="dxa"/>
          </w:tcPr>
          <w:p w14:paraId="347257F5" w14:textId="77777777" w:rsidR="002B07B5" w:rsidRPr="00E11FFB" w:rsidRDefault="002B07B5" w:rsidP="002B07B5">
            <w:pPr>
              <w:pStyle w:val="Default"/>
              <w:rPr>
                <w:sz w:val="18"/>
                <w:szCs w:val="18"/>
                <w:lang w:val="fr-CD"/>
              </w:rPr>
            </w:pPr>
          </w:p>
        </w:tc>
        <w:tc>
          <w:tcPr>
            <w:tcW w:w="2070" w:type="dxa"/>
          </w:tcPr>
          <w:p w14:paraId="21A5282C" w14:textId="78A02DF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modifier les attitudes et pratiques.</w:t>
            </w:r>
          </w:p>
        </w:tc>
        <w:tc>
          <w:tcPr>
            <w:tcW w:w="1170" w:type="dxa"/>
            <w:shd w:val="clear" w:color="auto" w:fill="FFFFFF" w:themeFill="background1"/>
          </w:tcPr>
          <w:p w14:paraId="5802F57A" w14:textId="5F027D5E"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04902CD4" w14:textId="340F37E4"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25 % de la population cible.</w:t>
            </w:r>
          </w:p>
        </w:tc>
        <w:tc>
          <w:tcPr>
            <w:tcW w:w="2088" w:type="dxa"/>
          </w:tcPr>
          <w:p w14:paraId="2A147CE3" w14:textId="5B6B6023"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334</w:t>
            </w:r>
          </w:p>
        </w:tc>
        <w:tc>
          <w:tcPr>
            <w:tcW w:w="959" w:type="dxa"/>
          </w:tcPr>
          <w:p w14:paraId="6F07C8F5" w14:textId="77777777" w:rsidR="002B07B5" w:rsidRPr="00E11FFB" w:rsidRDefault="002B07B5" w:rsidP="002B07B5">
            <w:pPr>
              <w:rPr>
                <w:rFonts w:ascii="Avenir" w:eastAsia="Avenir" w:hAnsi="Avenir" w:cs="Avenir"/>
                <w:color w:val="000000"/>
                <w:sz w:val="16"/>
                <w:szCs w:val="16"/>
              </w:rPr>
            </w:pPr>
          </w:p>
        </w:tc>
        <w:tc>
          <w:tcPr>
            <w:tcW w:w="1067" w:type="dxa"/>
          </w:tcPr>
          <w:p w14:paraId="18B55D8F" w14:textId="46DFE84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75 % de la population cible.</w:t>
            </w:r>
          </w:p>
        </w:tc>
        <w:tc>
          <w:tcPr>
            <w:tcW w:w="794" w:type="dxa"/>
          </w:tcPr>
          <w:p w14:paraId="00D308DA" w14:textId="77777777" w:rsidR="002B07B5" w:rsidRPr="00E11FFB" w:rsidRDefault="002B07B5" w:rsidP="002B07B5">
            <w:pPr>
              <w:rPr>
                <w:rFonts w:ascii="Avenir" w:eastAsia="Avenir" w:hAnsi="Avenir" w:cs="Avenir"/>
                <w:color w:val="000000"/>
                <w:sz w:val="16"/>
                <w:szCs w:val="16"/>
              </w:rPr>
            </w:pPr>
          </w:p>
        </w:tc>
        <w:tc>
          <w:tcPr>
            <w:tcW w:w="1454" w:type="dxa"/>
          </w:tcPr>
          <w:p w14:paraId="3B0734C4"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1E800512" w14:textId="77777777" w:rsidR="002B07B5" w:rsidRPr="00E11FFB" w:rsidRDefault="002B07B5" w:rsidP="002B07B5">
            <w:pPr>
              <w:spacing w:after="5"/>
              <w:rPr>
                <w:rFonts w:ascii="Avenir" w:eastAsia="Avenir" w:hAnsi="Avenir" w:cs="Avenir"/>
                <w:color w:val="000000"/>
                <w:sz w:val="16"/>
                <w:szCs w:val="16"/>
              </w:rPr>
            </w:pPr>
          </w:p>
        </w:tc>
      </w:tr>
      <w:tr w:rsidR="002B07B5" w:rsidRPr="00E11FFB" w14:paraId="3E3A253D" w14:textId="77777777" w:rsidTr="004F3468">
        <w:trPr>
          <w:trHeight w:val="318"/>
          <w:jc w:val="center"/>
        </w:trPr>
        <w:tc>
          <w:tcPr>
            <w:tcW w:w="2155" w:type="dxa"/>
          </w:tcPr>
          <w:p w14:paraId="357568B4" w14:textId="77777777" w:rsidR="002B07B5" w:rsidRPr="00E11FFB" w:rsidRDefault="002B07B5" w:rsidP="002B07B5">
            <w:pPr>
              <w:rPr>
                <w:rFonts w:ascii="Avenir" w:eastAsia="Avenir" w:hAnsi="Avenir" w:cs="Avenir"/>
                <w:color w:val="000000"/>
                <w:sz w:val="16"/>
                <w:szCs w:val="16"/>
              </w:rPr>
            </w:pPr>
          </w:p>
        </w:tc>
        <w:tc>
          <w:tcPr>
            <w:tcW w:w="2070" w:type="dxa"/>
          </w:tcPr>
          <w:p w14:paraId="743E9BFA" w14:textId="2F915E6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Pourcentage de campagnes utilisant des outis pour cibler spécifiquement les minorités et groupes vulnérables.</w:t>
            </w:r>
          </w:p>
        </w:tc>
        <w:tc>
          <w:tcPr>
            <w:tcW w:w="1170" w:type="dxa"/>
            <w:shd w:val="clear" w:color="auto" w:fill="FFFFFF" w:themeFill="background1"/>
          </w:tcPr>
          <w:p w14:paraId="20F2B6D0" w14:textId="14DFC83E"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440" w:type="dxa"/>
          </w:tcPr>
          <w:p w14:paraId="1A5C201B" w14:textId="52496AA0"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50 % des campagnes.</w:t>
            </w:r>
          </w:p>
        </w:tc>
        <w:tc>
          <w:tcPr>
            <w:tcW w:w="2088" w:type="dxa"/>
          </w:tcPr>
          <w:p w14:paraId="5B487DC7" w14:textId="31503DCE" w:rsidR="002B07B5" w:rsidRPr="00E11FFB" w:rsidRDefault="002B07B5" w:rsidP="002B07B5">
            <w:pPr>
              <w:jc w:val="center"/>
              <w:rPr>
                <w:rFonts w:ascii="Avenir" w:eastAsia="Avenir" w:hAnsi="Avenir" w:cs="Avenir"/>
                <w:color w:val="000000"/>
                <w:sz w:val="16"/>
                <w:szCs w:val="16"/>
              </w:rPr>
            </w:pPr>
            <w:r w:rsidRPr="00E11FFB">
              <w:rPr>
                <w:rFonts w:ascii="Avenir" w:eastAsia="Avenir" w:hAnsi="Avenir" w:cs="Avenir"/>
                <w:color w:val="000000"/>
                <w:sz w:val="16"/>
                <w:szCs w:val="16"/>
              </w:rPr>
              <w:t>25% des campagnes</w:t>
            </w:r>
          </w:p>
        </w:tc>
        <w:tc>
          <w:tcPr>
            <w:tcW w:w="959" w:type="dxa"/>
          </w:tcPr>
          <w:p w14:paraId="070E308F" w14:textId="77777777" w:rsidR="002B07B5" w:rsidRPr="00E11FFB" w:rsidRDefault="002B07B5" w:rsidP="002B07B5">
            <w:pPr>
              <w:rPr>
                <w:rFonts w:ascii="Avenir" w:eastAsia="Avenir" w:hAnsi="Avenir" w:cs="Avenir"/>
                <w:color w:val="000000"/>
                <w:sz w:val="16"/>
                <w:szCs w:val="16"/>
              </w:rPr>
            </w:pPr>
          </w:p>
        </w:tc>
        <w:tc>
          <w:tcPr>
            <w:tcW w:w="1067" w:type="dxa"/>
          </w:tcPr>
          <w:p w14:paraId="46699BB1" w14:textId="2E9D0BBA" w:rsidR="002B07B5" w:rsidRPr="00E11FFB" w:rsidRDefault="002B07B5" w:rsidP="002B07B5">
            <w:pPr>
              <w:rPr>
                <w:rFonts w:ascii="Avenir" w:eastAsia="Avenir" w:hAnsi="Avenir" w:cs="Avenir"/>
                <w:color w:val="000000"/>
                <w:sz w:val="16"/>
                <w:szCs w:val="16"/>
              </w:rPr>
            </w:pPr>
            <w:r w:rsidRPr="00E11FFB">
              <w:rPr>
                <w:rFonts w:ascii="Avenir" w:eastAsia="Avenir" w:hAnsi="Avenir" w:cs="Avenir"/>
                <w:color w:val="000000"/>
                <w:sz w:val="16"/>
                <w:szCs w:val="16"/>
              </w:rPr>
              <w:t>100 % des campagnes.</w:t>
            </w:r>
          </w:p>
        </w:tc>
        <w:tc>
          <w:tcPr>
            <w:tcW w:w="794" w:type="dxa"/>
          </w:tcPr>
          <w:p w14:paraId="5C86A28D" w14:textId="77777777" w:rsidR="002B07B5" w:rsidRPr="00E11FFB" w:rsidRDefault="002B07B5" w:rsidP="002B07B5">
            <w:pPr>
              <w:rPr>
                <w:rFonts w:ascii="Avenir" w:eastAsia="Avenir" w:hAnsi="Avenir" w:cs="Avenir"/>
                <w:color w:val="000000"/>
                <w:sz w:val="16"/>
                <w:szCs w:val="16"/>
              </w:rPr>
            </w:pPr>
          </w:p>
        </w:tc>
        <w:tc>
          <w:tcPr>
            <w:tcW w:w="1454" w:type="dxa"/>
          </w:tcPr>
          <w:p w14:paraId="3416DF7A" w14:textId="77777777" w:rsidR="002B07B5" w:rsidRPr="00E11FFB" w:rsidRDefault="002B07B5" w:rsidP="002B07B5">
            <w:pPr>
              <w:spacing w:after="5"/>
              <w:rPr>
                <w:rFonts w:ascii="Avenir" w:eastAsia="Avenir" w:hAnsi="Avenir" w:cs="Avenir"/>
                <w:color w:val="000000"/>
                <w:sz w:val="16"/>
                <w:szCs w:val="16"/>
              </w:rPr>
            </w:pPr>
          </w:p>
        </w:tc>
        <w:tc>
          <w:tcPr>
            <w:tcW w:w="1440" w:type="dxa"/>
          </w:tcPr>
          <w:p w14:paraId="6C882681" w14:textId="77777777" w:rsidR="002B07B5" w:rsidRPr="00E11FFB" w:rsidRDefault="002B07B5" w:rsidP="002B07B5">
            <w:pPr>
              <w:spacing w:after="5"/>
              <w:rPr>
                <w:rFonts w:ascii="Avenir" w:eastAsia="Avenir" w:hAnsi="Avenir" w:cs="Avenir"/>
                <w:color w:val="000000"/>
                <w:sz w:val="16"/>
                <w:szCs w:val="16"/>
              </w:rPr>
            </w:pPr>
          </w:p>
        </w:tc>
      </w:tr>
      <w:bookmarkEnd w:id="9"/>
    </w:tbl>
    <w:p w14:paraId="69BBA732" w14:textId="77777777" w:rsidR="00CF191A" w:rsidRPr="00E11FFB" w:rsidRDefault="00CF191A" w:rsidP="00CF191A">
      <w:pPr>
        <w:spacing w:after="5"/>
        <w:ind w:left="20" w:right="28" w:hanging="10"/>
        <w:jc w:val="both"/>
        <w:rPr>
          <w:rFonts w:ascii="Avenir" w:eastAsia="Avenir" w:hAnsi="Avenir" w:cs="Avenir"/>
          <w:color w:val="000000"/>
        </w:rPr>
      </w:pPr>
    </w:p>
    <w:p w14:paraId="512E19C4" w14:textId="38C238CE" w:rsidR="00211A8A" w:rsidRPr="00E11FFB" w:rsidRDefault="00211A8A" w:rsidP="00211A8A">
      <w:pPr>
        <w:keepNext/>
        <w:spacing w:line="271" w:lineRule="auto"/>
        <w:ind w:left="-3" w:right="35" w:firstLine="10"/>
        <w:jc w:val="both"/>
        <w:rPr>
          <w:rFonts w:ascii="Avenir" w:eastAsia="Avenir" w:hAnsi="Avenir" w:cs="Avenir"/>
          <w:b/>
          <w:bCs/>
          <w:iCs/>
          <w:color w:val="000000"/>
          <w:sz w:val="20"/>
          <w:szCs w:val="20"/>
          <w:u w:val="single"/>
        </w:rPr>
      </w:pPr>
      <w:r w:rsidRPr="00E11FFB">
        <w:rPr>
          <w:rFonts w:ascii="Avenir" w:eastAsia="Avenir" w:hAnsi="Avenir" w:cs="Avenir"/>
          <w:b/>
          <w:bCs/>
          <w:iCs/>
          <w:color w:val="000000"/>
          <w:sz w:val="20"/>
          <w:szCs w:val="20"/>
          <w:u w:val="single"/>
        </w:rPr>
        <w:t xml:space="preserve">Tableau évaluation de la performance </w:t>
      </w:r>
      <w:r w:rsidR="00BC4BBC" w:rsidRPr="00E11FFB">
        <w:rPr>
          <w:rFonts w:ascii="Avenir" w:eastAsia="Avenir" w:hAnsi="Avenir" w:cs="Avenir"/>
          <w:b/>
          <w:bCs/>
          <w:iCs/>
          <w:color w:val="000000"/>
          <w:sz w:val="20"/>
          <w:szCs w:val="20"/>
          <w:u w:val="single"/>
        </w:rPr>
        <w:t>Agriculture</w:t>
      </w:r>
      <w:r w:rsidR="0092513D">
        <w:rPr>
          <w:rFonts w:ascii="Avenir" w:eastAsia="Avenir" w:hAnsi="Avenir" w:cs="Avenir"/>
          <w:b/>
          <w:bCs/>
          <w:iCs/>
          <w:color w:val="000000"/>
          <w:sz w:val="20"/>
          <w:szCs w:val="20"/>
          <w:u w:val="single"/>
        </w:rPr>
        <w:t xml:space="preserve"> (Effet 2)</w:t>
      </w:r>
    </w:p>
    <w:p w14:paraId="709F5143" w14:textId="1EC8D087" w:rsidR="00211A8A" w:rsidRPr="00E11FFB" w:rsidRDefault="00211A8A" w:rsidP="00211A8A">
      <w:pPr>
        <w:tabs>
          <w:tab w:val="left" w:pos="5475"/>
        </w:tabs>
        <w:spacing w:after="5"/>
        <w:ind w:right="28"/>
        <w:jc w:val="both"/>
        <w:rPr>
          <w:rFonts w:ascii="Avenir" w:eastAsia="Avenir" w:hAnsi="Avenir" w:cs="Avenir"/>
          <w:color w:val="000000"/>
        </w:rPr>
      </w:pPr>
    </w:p>
    <w:tbl>
      <w:tblPr>
        <w:tblW w:w="146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08"/>
        <w:gridCol w:w="1987"/>
        <w:gridCol w:w="1374"/>
        <w:gridCol w:w="1070"/>
        <w:gridCol w:w="1084"/>
        <w:gridCol w:w="959"/>
        <w:gridCol w:w="1067"/>
        <w:gridCol w:w="794"/>
        <w:gridCol w:w="1454"/>
        <w:gridCol w:w="1440"/>
      </w:tblGrid>
      <w:tr w:rsidR="00211A8A" w:rsidRPr="00E11FFB" w14:paraId="1F5E754B" w14:textId="77777777" w:rsidTr="008D2FF7">
        <w:trPr>
          <w:trHeight w:val="966"/>
          <w:tblHeader/>
          <w:jc w:val="center"/>
        </w:trPr>
        <w:tc>
          <w:tcPr>
            <w:tcW w:w="3408" w:type="dxa"/>
            <w:shd w:val="clear" w:color="auto" w:fill="DDEBF7"/>
          </w:tcPr>
          <w:p w14:paraId="2AFD681C" w14:textId="77777777" w:rsidR="00211A8A" w:rsidRPr="00E11FFB" w:rsidRDefault="00211A8A" w:rsidP="003A6DE1">
            <w:pPr>
              <w:rPr>
                <w:rFonts w:ascii="Avenir" w:eastAsia="Avenir" w:hAnsi="Avenir" w:cs="Avenir"/>
                <w:b/>
                <w:bCs/>
                <w:color w:val="000000"/>
                <w:sz w:val="16"/>
                <w:szCs w:val="16"/>
              </w:rPr>
            </w:pPr>
            <w:r w:rsidRPr="00E11FFB">
              <w:rPr>
                <w:rFonts w:ascii="Avenir" w:eastAsia="Avenir" w:hAnsi="Avenir" w:cs="Avenir"/>
                <w:b/>
                <w:bCs/>
                <w:color w:val="000000" w:themeColor="text1"/>
                <w:sz w:val="16"/>
                <w:szCs w:val="16"/>
              </w:rPr>
              <w:t>Produits</w:t>
            </w:r>
          </w:p>
        </w:tc>
        <w:tc>
          <w:tcPr>
            <w:tcW w:w="1987" w:type="dxa"/>
            <w:shd w:val="clear" w:color="auto" w:fill="DDEBF7"/>
          </w:tcPr>
          <w:p w14:paraId="568FBBE2" w14:textId="77777777" w:rsidR="00211A8A" w:rsidRPr="00E11FFB" w:rsidRDefault="00211A8A" w:rsidP="003A6DE1">
            <w:pPr>
              <w:rPr>
                <w:rFonts w:ascii="Avenir" w:eastAsia="Avenir" w:hAnsi="Avenir" w:cs="Avenir"/>
                <w:color w:val="000000"/>
                <w:sz w:val="16"/>
                <w:szCs w:val="16"/>
              </w:rPr>
            </w:pPr>
            <w:r w:rsidRPr="00E11FFB">
              <w:rPr>
                <w:rFonts w:ascii="Avenir" w:eastAsia="Avenir" w:hAnsi="Avenir" w:cs="Avenir"/>
                <w:color w:val="000000"/>
                <w:sz w:val="16"/>
                <w:szCs w:val="16"/>
              </w:rPr>
              <w:t>Indicateurs</w:t>
            </w:r>
          </w:p>
        </w:tc>
        <w:tc>
          <w:tcPr>
            <w:tcW w:w="1374" w:type="dxa"/>
            <w:shd w:val="clear" w:color="auto" w:fill="E3F1ED"/>
          </w:tcPr>
          <w:p w14:paraId="6327B267" w14:textId="77777777" w:rsidR="00211A8A" w:rsidRPr="00E11FFB" w:rsidRDefault="00211A8A"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Ligne de base </w:t>
            </w:r>
            <w:r w:rsidRPr="00E11FFB">
              <w:rPr>
                <w:rFonts w:ascii="Avenir" w:eastAsia="Avenir" w:hAnsi="Avenir" w:cs="Avenir"/>
                <w:i/>
                <w:color w:val="000000"/>
                <w:sz w:val="20"/>
                <w:szCs w:val="20"/>
                <w:vertAlign w:val="superscript"/>
              </w:rPr>
              <w:footnoteReference w:id="9"/>
            </w:r>
          </w:p>
          <w:p w14:paraId="04F40971" w14:textId="77777777" w:rsidR="00211A8A" w:rsidRPr="00E11FFB" w:rsidRDefault="00211A8A" w:rsidP="003A6DE1">
            <w:pPr>
              <w:rPr>
                <w:rFonts w:ascii="Avenir" w:eastAsia="Avenir" w:hAnsi="Avenir" w:cs="Avenir"/>
                <w:color w:val="000000"/>
                <w:sz w:val="16"/>
                <w:szCs w:val="16"/>
              </w:rPr>
            </w:pPr>
          </w:p>
        </w:tc>
        <w:tc>
          <w:tcPr>
            <w:tcW w:w="1070" w:type="dxa"/>
            <w:shd w:val="clear" w:color="auto" w:fill="E3F1ED"/>
          </w:tcPr>
          <w:p w14:paraId="211AD65F" w14:textId="77777777" w:rsidR="00211A8A" w:rsidRPr="00E11FFB" w:rsidRDefault="00211A8A" w:rsidP="003A6DE1">
            <w:pPr>
              <w:spacing w:after="5" w:line="271" w:lineRule="auto"/>
              <w:rPr>
                <w:rFonts w:ascii="Avenir" w:eastAsia="Avenir" w:hAnsi="Avenir" w:cs="Avenir"/>
                <w:color w:val="000000"/>
                <w:sz w:val="16"/>
                <w:szCs w:val="16"/>
              </w:rPr>
            </w:pPr>
            <w:r w:rsidRPr="00E11FFB">
              <w:rPr>
                <w:rFonts w:ascii="Avenir" w:eastAsia="Avenir" w:hAnsi="Avenir" w:cs="Avenir"/>
                <w:color w:val="000000" w:themeColor="text1"/>
                <w:sz w:val="16"/>
                <w:szCs w:val="16"/>
              </w:rPr>
              <w:t>Cible visée pour la période de rapportage (non cumulatrive)</w:t>
            </w:r>
          </w:p>
        </w:tc>
        <w:tc>
          <w:tcPr>
            <w:tcW w:w="1084" w:type="dxa"/>
            <w:shd w:val="clear" w:color="auto" w:fill="E3F1ED"/>
          </w:tcPr>
          <w:p w14:paraId="1D9EB555" w14:textId="77777777" w:rsidR="00211A8A" w:rsidRPr="00E11FFB" w:rsidRDefault="00211A8A" w:rsidP="003A6DE1">
            <w:pPr>
              <w:rPr>
                <w:rFonts w:ascii="Avenir" w:eastAsia="Avenir" w:hAnsi="Avenir" w:cs="Avenir"/>
                <w:color w:val="000000"/>
                <w:sz w:val="16"/>
                <w:szCs w:val="16"/>
              </w:rPr>
            </w:pPr>
            <w:r w:rsidRPr="00E11FFB">
              <w:rPr>
                <w:rFonts w:ascii="Avenir" w:eastAsia="Avenir" w:hAnsi="Avenir" w:cs="Avenir"/>
                <w:color w:val="000000" w:themeColor="text1"/>
                <w:sz w:val="16"/>
                <w:szCs w:val="16"/>
              </w:rPr>
              <w:t>Valeur atteinte pour la période de rapportage (non cumulatrive)</w:t>
            </w:r>
          </w:p>
        </w:tc>
        <w:tc>
          <w:tcPr>
            <w:tcW w:w="959" w:type="dxa"/>
            <w:shd w:val="clear" w:color="auto" w:fill="E3F1ED"/>
          </w:tcPr>
          <w:p w14:paraId="6C9F47E8" w14:textId="77777777" w:rsidR="00211A8A" w:rsidRPr="00E11FFB" w:rsidRDefault="00211A8A"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Valeur actuelle (en cumulatif)</w:t>
            </w:r>
            <w:r w:rsidRPr="00E11FFB">
              <w:rPr>
                <w:rFonts w:ascii="Avenir" w:eastAsia="Avenir" w:hAnsi="Avenir" w:cs="Avenir"/>
                <w:i/>
                <w:color w:val="000000"/>
                <w:sz w:val="20"/>
                <w:szCs w:val="20"/>
                <w:vertAlign w:val="superscript"/>
              </w:rPr>
              <w:footnoteReference w:id="10"/>
            </w:r>
            <w:r w:rsidRPr="00E11FFB">
              <w:rPr>
                <w:rFonts w:ascii="Avenir" w:eastAsia="Avenir" w:hAnsi="Avenir" w:cs="Avenir"/>
                <w:color w:val="000000"/>
                <w:sz w:val="16"/>
                <w:szCs w:val="16"/>
              </w:rPr>
              <w:t xml:space="preserve"> </w:t>
            </w:r>
          </w:p>
        </w:tc>
        <w:tc>
          <w:tcPr>
            <w:tcW w:w="1067" w:type="dxa"/>
            <w:shd w:val="clear" w:color="auto" w:fill="E3F1ED"/>
          </w:tcPr>
          <w:p w14:paraId="35967ACE" w14:textId="77777777" w:rsidR="00211A8A" w:rsidRPr="00E11FFB" w:rsidRDefault="00211A8A"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Cible finale dans le prodoc</w:t>
            </w:r>
            <w:r w:rsidRPr="00E11FFB">
              <w:rPr>
                <w:rFonts w:ascii="Avenir" w:eastAsia="Avenir" w:hAnsi="Avenir" w:cs="Avenir"/>
                <w:i/>
                <w:color w:val="000000"/>
                <w:sz w:val="20"/>
                <w:szCs w:val="20"/>
                <w:vertAlign w:val="superscript"/>
              </w:rPr>
              <w:footnoteReference w:id="11"/>
            </w:r>
          </w:p>
        </w:tc>
        <w:tc>
          <w:tcPr>
            <w:tcW w:w="794" w:type="dxa"/>
            <w:shd w:val="clear" w:color="auto" w:fill="E3F1ED"/>
          </w:tcPr>
          <w:p w14:paraId="68F1FD7C" w14:textId="77777777" w:rsidR="00211A8A" w:rsidRPr="00E11FFB" w:rsidRDefault="00211A8A"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Cible finale révisée le cas échéant </w:t>
            </w:r>
          </w:p>
        </w:tc>
        <w:tc>
          <w:tcPr>
            <w:tcW w:w="1454" w:type="dxa"/>
            <w:shd w:val="clear" w:color="auto" w:fill="E7E6E6"/>
          </w:tcPr>
          <w:p w14:paraId="26967748" w14:textId="77777777" w:rsidR="00211A8A" w:rsidRPr="00E11FFB" w:rsidRDefault="00211A8A"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Hyperlien et numéro de la décision d’approbation de la révision de la cible le cas échéant</w:t>
            </w:r>
          </w:p>
        </w:tc>
        <w:tc>
          <w:tcPr>
            <w:tcW w:w="1440" w:type="dxa"/>
            <w:shd w:val="clear" w:color="auto" w:fill="E7E6E6"/>
          </w:tcPr>
          <w:p w14:paraId="756ADAF2" w14:textId="77777777" w:rsidR="00211A8A" w:rsidRPr="00E11FFB" w:rsidRDefault="00211A8A"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Commentaires</w:t>
            </w:r>
            <w:r w:rsidRPr="00E11FFB">
              <w:rPr>
                <w:rFonts w:ascii="Avenir" w:eastAsia="Avenir" w:hAnsi="Avenir" w:cs="Avenir"/>
                <w:i/>
                <w:color w:val="000000"/>
                <w:sz w:val="20"/>
                <w:szCs w:val="20"/>
                <w:vertAlign w:val="superscript"/>
              </w:rPr>
              <w:footnoteReference w:id="12"/>
            </w:r>
          </w:p>
        </w:tc>
      </w:tr>
      <w:tr w:rsidR="00296641" w:rsidRPr="00E11FFB" w14:paraId="1C6358E9" w14:textId="77777777" w:rsidTr="003A6DE1">
        <w:trPr>
          <w:trHeight w:val="318"/>
          <w:jc w:val="center"/>
        </w:trPr>
        <w:tc>
          <w:tcPr>
            <w:tcW w:w="3408" w:type="dxa"/>
            <w:vMerge w:val="restart"/>
          </w:tcPr>
          <w:p w14:paraId="2405C17D" w14:textId="0A2BCE89" w:rsidR="00296641" w:rsidRPr="00E11FFB" w:rsidRDefault="00296641" w:rsidP="003A6DE1">
            <w:pPr>
              <w:rPr>
                <w:rFonts w:ascii="Avenir" w:eastAsia="Avenir" w:hAnsi="Avenir" w:cs="Avenir"/>
                <w:color w:val="000000"/>
                <w:sz w:val="16"/>
                <w:szCs w:val="16"/>
              </w:rPr>
            </w:pPr>
            <w:r w:rsidRPr="00E11FFB">
              <w:rPr>
                <w:rFonts w:ascii="Avenir" w:eastAsia="Avenir" w:hAnsi="Avenir" w:cs="Avenir"/>
                <w:color w:val="000000"/>
                <w:sz w:val="16"/>
                <w:szCs w:val="16"/>
              </w:rPr>
              <w:t>Produit 2.1 :  La Politique agricole est adoptée [en Conseil des Ministres] d’ici [fin 2022], intégrant les principes d’Aménagement du Territoire et la préservation des forêts et des tourbières (cf. Pilier Forêt), et faisant la promotion du développement de l’agriculture commerciale durable dans les zones savanicoles.</w:t>
            </w:r>
          </w:p>
        </w:tc>
        <w:tc>
          <w:tcPr>
            <w:tcW w:w="1987" w:type="dxa"/>
          </w:tcPr>
          <w:p w14:paraId="0BDC8CB7" w14:textId="279F0995" w:rsidR="00296641" w:rsidRPr="00E11FFB" w:rsidRDefault="00296641" w:rsidP="003A6DE1">
            <w:pPr>
              <w:rPr>
                <w:rFonts w:ascii="Avenir" w:eastAsia="Avenir" w:hAnsi="Avenir" w:cs="Avenir"/>
                <w:color w:val="000000"/>
                <w:sz w:val="16"/>
                <w:szCs w:val="16"/>
              </w:rPr>
            </w:pPr>
            <w:r w:rsidRPr="00E11FFB">
              <w:rPr>
                <w:rFonts w:ascii="Avenir" w:eastAsia="Avenir" w:hAnsi="Avenir" w:cs="Avenir"/>
                <w:color w:val="000000"/>
                <w:sz w:val="16"/>
                <w:szCs w:val="16"/>
              </w:rPr>
              <w:t>Nombre d’ateliers de Vulgarisation du document de la Politique (au niveau national et dans les provinces)</w:t>
            </w:r>
          </w:p>
        </w:tc>
        <w:tc>
          <w:tcPr>
            <w:tcW w:w="1374" w:type="dxa"/>
            <w:shd w:val="clear" w:color="auto" w:fill="FFFFFF" w:themeFill="background1"/>
          </w:tcPr>
          <w:p w14:paraId="270EF3B7" w14:textId="3C3DE306" w:rsidR="00296641" w:rsidRPr="00E11FFB" w:rsidRDefault="0092513D" w:rsidP="003A6DE1">
            <w:pPr>
              <w:jc w:val="center"/>
              <w:rPr>
                <w:rFonts w:ascii="Avenir" w:eastAsia="Avenir" w:hAnsi="Avenir" w:cs="Avenir"/>
                <w:color w:val="000000"/>
                <w:sz w:val="16"/>
                <w:szCs w:val="16"/>
              </w:rPr>
            </w:pPr>
            <w:r>
              <w:rPr>
                <w:rFonts w:ascii="Avenir" w:eastAsia="Avenir" w:hAnsi="Avenir" w:cs="Avenir"/>
                <w:color w:val="000000"/>
                <w:sz w:val="16"/>
                <w:szCs w:val="16"/>
              </w:rPr>
              <w:t>4</w:t>
            </w:r>
          </w:p>
        </w:tc>
        <w:tc>
          <w:tcPr>
            <w:tcW w:w="1070" w:type="dxa"/>
          </w:tcPr>
          <w:p w14:paraId="22F30A48" w14:textId="68F11910" w:rsidR="00296641" w:rsidRPr="00E11FFB" w:rsidRDefault="00296641"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6 </w:t>
            </w:r>
            <w:r w:rsidR="0045268D">
              <w:rPr>
                <w:rFonts w:ascii="Avenir" w:eastAsia="Avenir" w:hAnsi="Avenir" w:cs="Avenir"/>
                <w:color w:val="000000"/>
                <w:sz w:val="16"/>
                <w:szCs w:val="16"/>
              </w:rPr>
              <w:t>ateliers provinciaux</w:t>
            </w:r>
          </w:p>
        </w:tc>
        <w:tc>
          <w:tcPr>
            <w:tcW w:w="1084" w:type="dxa"/>
          </w:tcPr>
          <w:p w14:paraId="2B47C65F" w14:textId="22705F87" w:rsidR="00296641" w:rsidRPr="00E11FFB" w:rsidRDefault="009B7C7A" w:rsidP="003A6DE1">
            <w:pPr>
              <w:rPr>
                <w:rFonts w:ascii="Avenir" w:eastAsia="Avenir" w:hAnsi="Avenir" w:cs="Avenir"/>
                <w:color w:val="000000"/>
                <w:sz w:val="16"/>
                <w:szCs w:val="16"/>
              </w:rPr>
            </w:pPr>
            <w:r w:rsidRPr="00E11FFB">
              <w:rPr>
                <w:rFonts w:ascii="Avenir" w:eastAsia="Avenir" w:hAnsi="Avenir" w:cs="Avenir"/>
                <w:color w:val="000000"/>
                <w:sz w:val="16"/>
                <w:szCs w:val="16"/>
              </w:rPr>
              <w:t>7</w:t>
            </w:r>
            <w:r w:rsidR="00296641" w:rsidRPr="00E11FFB">
              <w:rPr>
                <w:rFonts w:ascii="Avenir" w:eastAsia="Avenir" w:hAnsi="Avenir" w:cs="Avenir"/>
                <w:color w:val="000000"/>
                <w:sz w:val="16"/>
                <w:szCs w:val="16"/>
              </w:rPr>
              <w:t xml:space="preserve"> provinces</w:t>
            </w:r>
          </w:p>
        </w:tc>
        <w:tc>
          <w:tcPr>
            <w:tcW w:w="959" w:type="dxa"/>
          </w:tcPr>
          <w:p w14:paraId="26AA7CD3" w14:textId="6CDFFFF7" w:rsidR="00296641" w:rsidRPr="00E11FFB" w:rsidRDefault="009B7C7A" w:rsidP="003A6DE1">
            <w:pPr>
              <w:rPr>
                <w:rFonts w:ascii="Avenir" w:eastAsia="Avenir" w:hAnsi="Avenir" w:cs="Avenir"/>
                <w:color w:val="000000"/>
                <w:sz w:val="16"/>
                <w:szCs w:val="16"/>
              </w:rPr>
            </w:pPr>
            <w:r w:rsidRPr="00E11FFB">
              <w:rPr>
                <w:rFonts w:ascii="Avenir" w:eastAsia="Avenir" w:hAnsi="Avenir" w:cs="Avenir"/>
                <w:color w:val="000000"/>
                <w:sz w:val="16"/>
                <w:szCs w:val="16"/>
              </w:rPr>
              <w:t>11 provinces (4 en 2024)</w:t>
            </w:r>
          </w:p>
        </w:tc>
        <w:tc>
          <w:tcPr>
            <w:tcW w:w="1067" w:type="dxa"/>
          </w:tcPr>
          <w:p w14:paraId="748BD1BD" w14:textId="1FD3FD13" w:rsidR="00296641" w:rsidRPr="00E11FFB" w:rsidRDefault="00296641" w:rsidP="003A6DE1">
            <w:pPr>
              <w:rPr>
                <w:rFonts w:ascii="Avenir" w:eastAsia="Avenir" w:hAnsi="Avenir" w:cs="Avenir"/>
                <w:color w:val="000000"/>
                <w:sz w:val="16"/>
                <w:szCs w:val="16"/>
              </w:rPr>
            </w:pPr>
            <w:r w:rsidRPr="00E11FFB">
              <w:rPr>
                <w:rFonts w:ascii="Avenir" w:eastAsia="Avenir" w:hAnsi="Avenir" w:cs="Avenir"/>
                <w:color w:val="000000"/>
                <w:sz w:val="16"/>
                <w:szCs w:val="16"/>
              </w:rPr>
              <w:t>26 Provinces</w:t>
            </w:r>
          </w:p>
        </w:tc>
        <w:tc>
          <w:tcPr>
            <w:tcW w:w="794" w:type="dxa"/>
          </w:tcPr>
          <w:p w14:paraId="32FA23D7" w14:textId="03B51EB9" w:rsidR="00296641" w:rsidRPr="00E11FFB" w:rsidRDefault="00296641" w:rsidP="003A6DE1">
            <w:pPr>
              <w:rPr>
                <w:rFonts w:ascii="Avenir" w:eastAsia="Avenir" w:hAnsi="Avenir" w:cs="Avenir"/>
                <w:color w:val="000000"/>
                <w:sz w:val="16"/>
                <w:szCs w:val="16"/>
              </w:rPr>
            </w:pPr>
          </w:p>
        </w:tc>
        <w:tc>
          <w:tcPr>
            <w:tcW w:w="1454" w:type="dxa"/>
          </w:tcPr>
          <w:p w14:paraId="72E560F8" w14:textId="58710AB8" w:rsidR="00296641" w:rsidRPr="00E11FFB" w:rsidRDefault="00296641" w:rsidP="003A6DE1">
            <w:pPr>
              <w:spacing w:after="5"/>
              <w:rPr>
                <w:rFonts w:ascii="Avenir" w:eastAsia="Avenir" w:hAnsi="Avenir" w:cs="Avenir"/>
                <w:color w:val="000000"/>
                <w:sz w:val="16"/>
                <w:szCs w:val="16"/>
              </w:rPr>
            </w:pPr>
          </w:p>
        </w:tc>
        <w:tc>
          <w:tcPr>
            <w:tcW w:w="1440" w:type="dxa"/>
          </w:tcPr>
          <w:p w14:paraId="64C60965" w14:textId="4625586D" w:rsidR="00296641" w:rsidRPr="00E11FFB" w:rsidRDefault="00296641" w:rsidP="003A6DE1">
            <w:pPr>
              <w:spacing w:after="5"/>
              <w:rPr>
                <w:rFonts w:ascii="Avenir" w:eastAsia="Avenir" w:hAnsi="Avenir" w:cs="Avenir"/>
                <w:color w:val="000000"/>
                <w:sz w:val="16"/>
                <w:szCs w:val="16"/>
              </w:rPr>
            </w:pPr>
          </w:p>
        </w:tc>
      </w:tr>
      <w:tr w:rsidR="00296641" w:rsidRPr="00E11FFB" w14:paraId="2BF597E3" w14:textId="77777777" w:rsidTr="007878C8">
        <w:trPr>
          <w:trHeight w:val="318"/>
          <w:jc w:val="center"/>
        </w:trPr>
        <w:tc>
          <w:tcPr>
            <w:tcW w:w="3408" w:type="dxa"/>
            <w:vMerge/>
          </w:tcPr>
          <w:p w14:paraId="39E5F062" w14:textId="77777777" w:rsidR="00296641" w:rsidRPr="00E11FFB" w:rsidRDefault="00296641" w:rsidP="00B4682A">
            <w:pPr>
              <w:rPr>
                <w:rFonts w:ascii="Avenir" w:eastAsia="Avenir" w:hAnsi="Avenir" w:cs="Avenir"/>
                <w:color w:val="000000"/>
                <w:sz w:val="16"/>
                <w:szCs w:val="16"/>
              </w:rPr>
            </w:pPr>
          </w:p>
        </w:tc>
        <w:tc>
          <w:tcPr>
            <w:tcW w:w="1987" w:type="dxa"/>
          </w:tcPr>
          <w:p w14:paraId="4543C401" w14:textId="09AE36C4"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La loi agricole révisée est promulguée et les textes d'application sont publiés</w:t>
            </w:r>
          </w:p>
        </w:tc>
        <w:tc>
          <w:tcPr>
            <w:tcW w:w="1374" w:type="dxa"/>
          </w:tcPr>
          <w:p w14:paraId="53C3437D" w14:textId="7B77AEBA" w:rsidR="00296641" w:rsidRPr="00E11FFB" w:rsidRDefault="00296641"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0500E62F" w14:textId="37BFE23B"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 loi</w:t>
            </w:r>
          </w:p>
        </w:tc>
        <w:tc>
          <w:tcPr>
            <w:tcW w:w="1084" w:type="dxa"/>
          </w:tcPr>
          <w:p w14:paraId="0E8B4F67" w14:textId="05F99AE8"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 draft de la loi</w:t>
            </w:r>
          </w:p>
        </w:tc>
        <w:tc>
          <w:tcPr>
            <w:tcW w:w="959" w:type="dxa"/>
          </w:tcPr>
          <w:p w14:paraId="1171C9FC" w14:textId="77777777" w:rsidR="00296641" w:rsidRPr="00E11FFB" w:rsidRDefault="00296641" w:rsidP="00B4682A">
            <w:pPr>
              <w:rPr>
                <w:rFonts w:ascii="Avenir" w:eastAsia="Avenir" w:hAnsi="Avenir" w:cs="Avenir"/>
                <w:color w:val="000000"/>
                <w:sz w:val="16"/>
                <w:szCs w:val="16"/>
              </w:rPr>
            </w:pPr>
          </w:p>
        </w:tc>
        <w:tc>
          <w:tcPr>
            <w:tcW w:w="1067" w:type="dxa"/>
          </w:tcPr>
          <w:p w14:paraId="555E786D" w14:textId="665788B0"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1 loi révisée </w:t>
            </w:r>
          </w:p>
        </w:tc>
        <w:tc>
          <w:tcPr>
            <w:tcW w:w="794" w:type="dxa"/>
          </w:tcPr>
          <w:p w14:paraId="243ECA10" w14:textId="77777777" w:rsidR="00296641" w:rsidRPr="00E11FFB" w:rsidRDefault="00296641" w:rsidP="00B4682A">
            <w:pPr>
              <w:rPr>
                <w:rFonts w:ascii="Avenir" w:eastAsia="Avenir" w:hAnsi="Avenir" w:cs="Avenir"/>
                <w:color w:val="000000"/>
                <w:sz w:val="16"/>
                <w:szCs w:val="16"/>
              </w:rPr>
            </w:pPr>
          </w:p>
        </w:tc>
        <w:tc>
          <w:tcPr>
            <w:tcW w:w="1454" w:type="dxa"/>
          </w:tcPr>
          <w:p w14:paraId="17DA80D6"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348D4DFC" w14:textId="38D8BC65" w:rsidR="00296641" w:rsidRPr="00E11FFB" w:rsidRDefault="00296641"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Draft de la loi transmis au gouvernement et une autre déposée à l’Assemblée nationale</w:t>
            </w:r>
          </w:p>
        </w:tc>
      </w:tr>
      <w:tr w:rsidR="00296641" w:rsidRPr="00E11FFB" w14:paraId="283E8D05" w14:textId="77777777" w:rsidTr="00583571">
        <w:trPr>
          <w:trHeight w:val="318"/>
          <w:jc w:val="center"/>
        </w:trPr>
        <w:tc>
          <w:tcPr>
            <w:tcW w:w="3408" w:type="dxa"/>
            <w:vMerge/>
          </w:tcPr>
          <w:p w14:paraId="29694C1E" w14:textId="77777777" w:rsidR="00296641" w:rsidRPr="00E11FFB" w:rsidRDefault="00296641" w:rsidP="00B4682A">
            <w:pPr>
              <w:rPr>
                <w:rFonts w:ascii="Avenir" w:eastAsia="Avenir" w:hAnsi="Avenir" w:cs="Avenir"/>
                <w:color w:val="000000"/>
                <w:sz w:val="16"/>
                <w:szCs w:val="16"/>
              </w:rPr>
            </w:pPr>
          </w:p>
        </w:tc>
        <w:tc>
          <w:tcPr>
            <w:tcW w:w="1987" w:type="dxa"/>
          </w:tcPr>
          <w:p w14:paraId="4799EBE5" w14:textId="498B06C6"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Des zones des savanes valorisées par des programmes des investissements agricoles des grandes envergures.</w:t>
            </w:r>
          </w:p>
        </w:tc>
        <w:tc>
          <w:tcPr>
            <w:tcW w:w="1374" w:type="dxa"/>
            <w:shd w:val="clear" w:color="auto" w:fill="FFFFFF" w:themeFill="background1"/>
          </w:tcPr>
          <w:p w14:paraId="76FB9797" w14:textId="7EBCC3ED"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CF36F2C" w14:textId="74FBEFA0"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3 Rapports ou PV disponibles</w:t>
            </w:r>
          </w:p>
        </w:tc>
        <w:tc>
          <w:tcPr>
            <w:tcW w:w="1084" w:type="dxa"/>
          </w:tcPr>
          <w:p w14:paraId="11FCB371" w14:textId="6FEB2103" w:rsidR="00296641" w:rsidRPr="00E11FFB" w:rsidRDefault="009C3859" w:rsidP="00B4682A">
            <w:pPr>
              <w:rPr>
                <w:rFonts w:ascii="Avenir" w:eastAsia="Avenir" w:hAnsi="Avenir" w:cs="Avenir"/>
                <w:color w:val="000000"/>
                <w:sz w:val="16"/>
                <w:szCs w:val="16"/>
              </w:rPr>
            </w:pPr>
            <w:r w:rsidRPr="00E11FFB">
              <w:rPr>
                <w:rFonts w:ascii="Avenir" w:eastAsia="Avenir" w:hAnsi="Avenir" w:cs="Avenir"/>
                <w:bCs/>
                <w:color w:val="000000"/>
                <w:sz w:val="16"/>
                <w:szCs w:val="16"/>
              </w:rPr>
              <w:t>Un Programme d'Appui au Développement Durable des Savanes et Forêts Dégradées a été financé par le FONAREDD-CAFI en 2025 afin d’investir dans la valorisation des zones savanicoles</w:t>
            </w:r>
          </w:p>
        </w:tc>
        <w:tc>
          <w:tcPr>
            <w:tcW w:w="959" w:type="dxa"/>
          </w:tcPr>
          <w:p w14:paraId="267CC254" w14:textId="77777777" w:rsidR="00296641" w:rsidRPr="00E11FFB" w:rsidRDefault="00296641" w:rsidP="00B4682A">
            <w:pPr>
              <w:rPr>
                <w:rFonts w:ascii="Avenir" w:eastAsia="Avenir" w:hAnsi="Avenir" w:cs="Avenir"/>
                <w:color w:val="000000"/>
                <w:sz w:val="16"/>
                <w:szCs w:val="16"/>
              </w:rPr>
            </w:pPr>
          </w:p>
        </w:tc>
        <w:tc>
          <w:tcPr>
            <w:tcW w:w="1067" w:type="dxa"/>
          </w:tcPr>
          <w:p w14:paraId="1B37E6E9" w14:textId="0024B581"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Rapports ou PV disponibles</w:t>
            </w:r>
          </w:p>
        </w:tc>
        <w:tc>
          <w:tcPr>
            <w:tcW w:w="794" w:type="dxa"/>
          </w:tcPr>
          <w:p w14:paraId="4AA23CAE" w14:textId="77777777" w:rsidR="00296641" w:rsidRPr="00E11FFB" w:rsidRDefault="00296641" w:rsidP="00B4682A">
            <w:pPr>
              <w:rPr>
                <w:rFonts w:ascii="Avenir" w:eastAsia="Avenir" w:hAnsi="Avenir" w:cs="Avenir"/>
                <w:color w:val="000000"/>
                <w:sz w:val="16"/>
                <w:szCs w:val="16"/>
              </w:rPr>
            </w:pPr>
          </w:p>
        </w:tc>
        <w:tc>
          <w:tcPr>
            <w:tcW w:w="1454" w:type="dxa"/>
          </w:tcPr>
          <w:p w14:paraId="4CFEB65A"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62A67E0C" w14:textId="4C3F3E53" w:rsidR="00296641" w:rsidRPr="00E11FFB" w:rsidRDefault="0045268D" w:rsidP="00B4682A">
            <w:pPr>
              <w:spacing w:after="5"/>
              <w:rPr>
                <w:rFonts w:ascii="Avenir" w:eastAsia="Avenir" w:hAnsi="Avenir" w:cs="Avenir"/>
                <w:color w:val="000000"/>
                <w:sz w:val="16"/>
                <w:szCs w:val="16"/>
              </w:rPr>
            </w:pPr>
            <w:r>
              <w:rPr>
                <w:rFonts w:ascii="Avenir" w:eastAsia="Avenir" w:hAnsi="Avenir" w:cs="Avenir"/>
                <w:color w:val="000000"/>
                <w:sz w:val="16"/>
                <w:szCs w:val="16"/>
              </w:rPr>
              <w:t xml:space="preserve">Voir </w:t>
            </w:r>
            <w:r w:rsidRPr="0045268D">
              <w:rPr>
                <w:rFonts w:ascii="Avenir" w:eastAsia="Avenir" w:hAnsi="Avenir" w:cs="Avenir"/>
                <w:color w:val="000000"/>
                <w:sz w:val="16"/>
                <w:szCs w:val="16"/>
              </w:rPr>
              <w:t>PSFD</w:t>
            </w:r>
          </w:p>
        </w:tc>
      </w:tr>
      <w:tr w:rsidR="00296641" w:rsidRPr="00E11FFB" w14:paraId="7C42AC34" w14:textId="77777777" w:rsidTr="00583571">
        <w:trPr>
          <w:trHeight w:val="318"/>
          <w:jc w:val="center"/>
        </w:trPr>
        <w:tc>
          <w:tcPr>
            <w:tcW w:w="3408" w:type="dxa"/>
            <w:vMerge/>
          </w:tcPr>
          <w:p w14:paraId="4683E932" w14:textId="77777777" w:rsidR="00296641" w:rsidRPr="00E11FFB" w:rsidRDefault="00296641" w:rsidP="00B4682A">
            <w:pPr>
              <w:rPr>
                <w:rFonts w:ascii="Avenir" w:eastAsia="Avenir" w:hAnsi="Avenir" w:cs="Avenir"/>
                <w:color w:val="000000"/>
                <w:sz w:val="16"/>
                <w:szCs w:val="16"/>
              </w:rPr>
            </w:pPr>
          </w:p>
        </w:tc>
        <w:tc>
          <w:tcPr>
            <w:tcW w:w="1987" w:type="dxa"/>
          </w:tcPr>
          <w:p w14:paraId="4D960AA4" w14:textId="77C141A1"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Un moratoire sur les concessions agroindustrielles incompatibles avec la préservation des forêts et des tourbières.</w:t>
            </w:r>
          </w:p>
        </w:tc>
        <w:tc>
          <w:tcPr>
            <w:tcW w:w="1374" w:type="dxa"/>
            <w:shd w:val="clear" w:color="auto" w:fill="FFFFFF" w:themeFill="background1"/>
          </w:tcPr>
          <w:p w14:paraId="10230980" w14:textId="7684F6F8"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B3037C3" w14:textId="0FFF9AE3"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Moratoire </w:t>
            </w:r>
          </w:p>
        </w:tc>
        <w:tc>
          <w:tcPr>
            <w:tcW w:w="1084" w:type="dxa"/>
          </w:tcPr>
          <w:p w14:paraId="73D7F985" w14:textId="0218DF12" w:rsidR="00296641" w:rsidRPr="00E11FFB" w:rsidRDefault="009C3859" w:rsidP="00B4682A">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3F8C60AC" w14:textId="77777777" w:rsidR="00296641" w:rsidRPr="00E11FFB" w:rsidRDefault="00296641" w:rsidP="00B4682A">
            <w:pPr>
              <w:rPr>
                <w:rFonts w:ascii="Avenir" w:eastAsia="Avenir" w:hAnsi="Avenir" w:cs="Avenir"/>
                <w:color w:val="000000"/>
                <w:sz w:val="16"/>
                <w:szCs w:val="16"/>
              </w:rPr>
            </w:pPr>
          </w:p>
        </w:tc>
        <w:tc>
          <w:tcPr>
            <w:tcW w:w="1067" w:type="dxa"/>
          </w:tcPr>
          <w:p w14:paraId="07657BFB" w14:textId="35D770BC"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Moratoire</w:t>
            </w:r>
          </w:p>
        </w:tc>
        <w:tc>
          <w:tcPr>
            <w:tcW w:w="794" w:type="dxa"/>
          </w:tcPr>
          <w:p w14:paraId="5B520953" w14:textId="77777777" w:rsidR="00296641" w:rsidRPr="00E11FFB" w:rsidRDefault="00296641" w:rsidP="00B4682A">
            <w:pPr>
              <w:rPr>
                <w:rFonts w:ascii="Avenir" w:eastAsia="Avenir" w:hAnsi="Avenir" w:cs="Avenir"/>
                <w:color w:val="000000"/>
                <w:sz w:val="16"/>
                <w:szCs w:val="16"/>
              </w:rPr>
            </w:pPr>
          </w:p>
        </w:tc>
        <w:tc>
          <w:tcPr>
            <w:tcW w:w="1454" w:type="dxa"/>
          </w:tcPr>
          <w:p w14:paraId="753C9761"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30886976" w14:textId="77777777" w:rsidR="00296641" w:rsidRPr="00E11FFB" w:rsidRDefault="00296641" w:rsidP="00B4682A">
            <w:pPr>
              <w:spacing w:after="5"/>
              <w:rPr>
                <w:rFonts w:ascii="Avenir" w:eastAsia="Avenir" w:hAnsi="Avenir" w:cs="Avenir"/>
                <w:color w:val="000000"/>
                <w:sz w:val="16"/>
                <w:szCs w:val="16"/>
              </w:rPr>
            </w:pPr>
          </w:p>
        </w:tc>
      </w:tr>
      <w:tr w:rsidR="00296641" w:rsidRPr="00E11FFB" w14:paraId="20539DC7" w14:textId="77777777" w:rsidTr="00583571">
        <w:trPr>
          <w:trHeight w:val="318"/>
          <w:jc w:val="center"/>
        </w:trPr>
        <w:tc>
          <w:tcPr>
            <w:tcW w:w="3408" w:type="dxa"/>
            <w:vMerge/>
          </w:tcPr>
          <w:p w14:paraId="786E0340" w14:textId="77777777" w:rsidR="00296641" w:rsidRPr="00E11FFB" w:rsidRDefault="00296641" w:rsidP="00B4682A">
            <w:pPr>
              <w:rPr>
                <w:rFonts w:ascii="Avenir" w:eastAsia="Avenir" w:hAnsi="Avenir" w:cs="Avenir"/>
                <w:color w:val="000000"/>
                <w:sz w:val="16"/>
                <w:szCs w:val="16"/>
              </w:rPr>
            </w:pPr>
          </w:p>
        </w:tc>
        <w:tc>
          <w:tcPr>
            <w:tcW w:w="1987" w:type="dxa"/>
          </w:tcPr>
          <w:p w14:paraId="2F7FB93E" w14:textId="7782700F"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La PAD traduite en 4 langues nationales</w:t>
            </w:r>
          </w:p>
        </w:tc>
        <w:tc>
          <w:tcPr>
            <w:tcW w:w="1374" w:type="dxa"/>
            <w:shd w:val="clear" w:color="auto" w:fill="FFFFFF" w:themeFill="background1"/>
          </w:tcPr>
          <w:p w14:paraId="51F25744" w14:textId="4C46076C"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90A9A14" w14:textId="6211EF6D"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1084" w:type="dxa"/>
          </w:tcPr>
          <w:p w14:paraId="06C5CAF5" w14:textId="5CC4F342" w:rsidR="00296641" w:rsidRPr="00E11FFB" w:rsidRDefault="001C3FE4" w:rsidP="00B4682A">
            <w:pP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959" w:type="dxa"/>
          </w:tcPr>
          <w:p w14:paraId="6D07DCBD" w14:textId="77777777" w:rsidR="00296641" w:rsidRPr="00E11FFB" w:rsidRDefault="00296641" w:rsidP="00B4682A">
            <w:pPr>
              <w:rPr>
                <w:rFonts w:ascii="Avenir" w:eastAsia="Avenir" w:hAnsi="Avenir" w:cs="Avenir"/>
                <w:color w:val="000000"/>
                <w:sz w:val="16"/>
                <w:szCs w:val="16"/>
              </w:rPr>
            </w:pPr>
          </w:p>
        </w:tc>
        <w:tc>
          <w:tcPr>
            <w:tcW w:w="1067" w:type="dxa"/>
          </w:tcPr>
          <w:p w14:paraId="61AC204A" w14:textId="5D195C83" w:rsidR="00296641" w:rsidRPr="00E11FFB" w:rsidRDefault="001C3FE4" w:rsidP="00B4682A">
            <w:pP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794" w:type="dxa"/>
          </w:tcPr>
          <w:p w14:paraId="235FAACD" w14:textId="77777777" w:rsidR="00296641" w:rsidRPr="00E11FFB" w:rsidRDefault="00296641" w:rsidP="00B4682A">
            <w:pPr>
              <w:rPr>
                <w:rFonts w:ascii="Avenir" w:eastAsia="Avenir" w:hAnsi="Avenir" w:cs="Avenir"/>
                <w:color w:val="000000"/>
                <w:sz w:val="16"/>
                <w:szCs w:val="16"/>
              </w:rPr>
            </w:pPr>
          </w:p>
        </w:tc>
        <w:tc>
          <w:tcPr>
            <w:tcW w:w="1454" w:type="dxa"/>
          </w:tcPr>
          <w:p w14:paraId="28282DE0"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2874B515" w14:textId="78A493BF" w:rsidR="00296641" w:rsidRPr="00E11FFB" w:rsidRDefault="00296641"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PAAD traduite en Lingala, Swahili, Tshiluba</w:t>
            </w:r>
            <w:r w:rsidR="001C3FE4" w:rsidRPr="00E11FFB">
              <w:rPr>
                <w:rFonts w:ascii="Avenir" w:eastAsia="Avenir" w:hAnsi="Avenir" w:cs="Avenir"/>
                <w:color w:val="000000"/>
                <w:sz w:val="16"/>
                <w:szCs w:val="16"/>
              </w:rPr>
              <w:t xml:space="preserve"> et Kikongo</w:t>
            </w:r>
            <w:r w:rsidRPr="00E11FFB">
              <w:rPr>
                <w:rFonts w:ascii="Avenir" w:eastAsia="Avenir" w:hAnsi="Avenir" w:cs="Avenir"/>
                <w:color w:val="000000"/>
                <w:sz w:val="16"/>
                <w:szCs w:val="16"/>
              </w:rPr>
              <w:t xml:space="preserve"> </w:t>
            </w:r>
          </w:p>
        </w:tc>
      </w:tr>
      <w:tr w:rsidR="00296641" w:rsidRPr="00E11FFB" w14:paraId="0FE2AE3B" w14:textId="77777777" w:rsidTr="003A6DE1">
        <w:trPr>
          <w:trHeight w:val="318"/>
          <w:jc w:val="center"/>
        </w:trPr>
        <w:tc>
          <w:tcPr>
            <w:tcW w:w="3408" w:type="dxa"/>
            <w:vMerge w:val="restart"/>
          </w:tcPr>
          <w:p w14:paraId="0676B4ED" w14:textId="4500F0FF"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Produit 2.2 :  Les contrats de concessions agricoles sont publiés au moins annuellement sur le site web du Ministère sectoriel, accessible au public.(Pilote des concessions et de leur gestion).</w:t>
            </w:r>
          </w:p>
        </w:tc>
        <w:tc>
          <w:tcPr>
            <w:tcW w:w="1987" w:type="dxa"/>
          </w:tcPr>
          <w:p w14:paraId="1307A205" w14:textId="6B6E5C67"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Conception des pilotes de cadastre agricole (Etude)</w:t>
            </w:r>
          </w:p>
        </w:tc>
        <w:tc>
          <w:tcPr>
            <w:tcW w:w="1374" w:type="dxa"/>
            <w:shd w:val="clear" w:color="auto" w:fill="FFFFFF" w:themeFill="background1"/>
          </w:tcPr>
          <w:p w14:paraId="26DF5CF4" w14:textId="56AEA1B1"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61FDCCE3" w14:textId="39D8685E"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60AA0EE8" w14:textId="3BEE58F7"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770AD071" w14:textId="77777777" w:rsidR="00296641" w:rsidRPr="00E11FFB" w:rsidRDefault="00296641" w:rsidP="00B4682A">
            <w:pPr>
              <w:rPr>
                <w:rFonts w:ascii="Avenir" w:eastAsia="Avenir" w:hAnsi="Avenir" w:cs="Avenir"/>
                <w:color w:val="000000"/>
                <w:sz w:val="16"/>
                <w:szCs w:val="16"/>
              </w:rPr>
            </w:pPr>
          </w:p>
        </w:tc>
        <w:tc>
          <w:tcPr>
            <w:tcW w:w="1067" w:type="dxa"/>
          </w:tcPr>
          <w:p w14:paraId="74EB6A0C" w14:textId="3E28A8ED"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065036E3" w14:textId="77777777" w:rsidR="00296641" w:rsidRPr="00E11FFB" w:rsidRDefault="00296641" w:rsidP="00B4682A">
            <w:pPr>
              <w:rPr>
                <w:rFonts w:ascii="Avenir" w:eastAsia="Avenir" w:hAnsi="Avenir" w:cs="Avenir"/>
                <w:color w:val="000000"/>
                <w:sz w:val="16"/>
                <w:szCs w:val="16"/>
              </w:rPr>
            </w:pPr>
          </w:p>
        </w:tc>
        <w:tc>
          <w:tcPr>
            <w:tcW w:w="1454" w:type="dxa"/>
          </w:tcPr>
          <w:p w14:paraId="4E5664ED"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636AB65B" w14:textId="6EA3B53F" w:rsidR="00296641" w:rsidRPr="00E11FFB" w:rsidRDefault="00296641"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Rapport de l’étude</w:t>
            </w:r>
          </w:p>
        </w:tc>
      </w:tr>
      <w:tr w:rsidR="00296641" w:rsidRPr="00E11FFB" w14:paraId="0DE337F2" w14:textId="77777777" w:rsidTr="003A6DE1">
        <w:trPr>
          <w:trHeight w:val="318"/>
          <w:jc w:val="center"/>
        </w:trPr>
        <w:tc>
          <w:tcPr>
            <w:tcW w:w="3408" w:type="dxa"/>
            <w:vMerge/>
          </w:tcPr>
          <w:p w14:paraId="093A2E19" w14:textId="77777777" w:rsidR="00296641" w:rsidRPr="00E11FFB" w:rsidRDefault="00296641" w:rsidP="00B4682A">
            <w:pPr>
              <w:rPr>
                <w:rFonts w:ascii="Avenir" w:eastAsia="Avenir" w:hAnsi="Avenir" w:cs="Avenir"/>
                <w:color w:val="000000"/>
                <w:sz w:val="16"/>
                <w:szCs w:val="16"/>
              </w:rPr>
            </w:pPr>
          </w:p>
        </w:tc>
        <w:tc>
          <w:tcPr>
            <w:tcW w:w="1987" w:type="dxa"/>
          </w:tcPr>
          <w:p w14:paraId="18071E12" w14:textId="03DBDCF9"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Rapport d'inventaire des concessions</w:t>
            </w:r>
          </w:p>
        </w:tc>
        <w:tc>
          <w:tcPr>
            <w:tcW w:w="1374" w:type="dxa"/>
            <w:shd w:val="clear" w:color="auto" w:fill="FFFFFF" w:themeFill="background1"/>
          </w:tcPr>
          <w:p w14:paraId="641959BA" w14:textId="4F251415"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3B940F75" w14:textId="32BE3E90"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3A21E202" w14:textId="08373B18" w:rsidR="00296641" w:rsidRPr="00E11FFB" w:rsidRDefault="0045268D" w:rsidP="00B4682A">
            <w:pPr>
              <w:rPr>
                <w:rFonts w:ascii="Avenir" w:eastAsia="Avenir" w:hAnsi="Avenir" w:cs="Avenir"/>
                <w:color w:val="000000"/>
                <w:sz w:val="16"/>
                <w:szCs w:val="16"/>
              </w:rPr>
            </w:pPr>
            <w:r w:rsidRPr="006D79E9">
              <w:rPr>
                <w:rFonts w:ascii="Avenir" w:eastAsia="Avenir" w:hAnsi="Avenir" w:cs="Avenir"/>
                <w:color w:val="000000"/>
                <w:sz w:val="16"/>
                <w:szCs w:val="16"/>
              </w:rPr>
              <w:t>0</w:t>
            </w:r>
          </w:p>
        </w:tc>
        <w:tc>
          <w:tcPr>
            <w:tcW w:w="959" w:type="dxa"/>
          </w:tcPr>
          <w:p w14:paraId="40E82CC9" w14:textId="77777777" w:rsidR="00296641" w:rsidRPr="00E11FFB" w:rsidRDefault="00296641" w:rsidP="00B4682A">
            <w:pPr>
              <w:rPr>
                <w:rFonts w:ascii="Avenir" w:eastAsia="Avenir" w:hAnsi="Avenir" w:cs="Avenir"/>
                <w:color w:val="000000"/>
                <w:sz w:val="16"/>
                <w:szCs w:val="16"/>
              </w:rPr>
            </w:pPr>
          </w:p>
        </w:tc>
        <w:tc>
          <w:tcPr>
            <w:tcW w:w="1067" w:type="dxa"/>
          </w:tcPr>
          <w:p w14:paraId="260AEE7E" w14:textId="4772EA30"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0C6C1897" w14:textId="77777777" w:rsidR="00296641" w:rsidRPr="00E11FFB" w:rsidRDefault="00296641" w:rsidP="00B4682A">
            <w:pPr>
              <w:rPr>
                <w:rFonts w:ascii="Avenir" w:eastAsia="Avenir" w:hAnsi="Avenir" w:cs="Avenir"/>
                <w:color w:val="000000"/>
                <w:sz w:val="16"/>
                <w:szCs w:val="16"/>
              </w:rPr>
            </w:pPr>
          </w:p>
        </w:tc>
        <w:tc>
          <w:tcPr>
            <w:tcW w:w="1454" w:type="dxa"/>
          </w:tcPr>
          <w:p w14:paraId="29F810E7"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2CAD42AA" w14:textId="77777777" w:rsidR="00296641" w:rsidRPr="00E11FFB" w:rsidRDefault="00296641" w:rsidP="00B4682A">
            <w:pPr>
              <w:spacing w:after="5"/>
              <w:rPr>
                <w:rFonts w:ascii="Avenir" w:eastAsia="Avenir" w:hAnsi="Avenir" w:cs="Avenir"/>
                <w:color w:val="000000"/>
                <w:sz w:val="16"/>
                <w:szCs w:val="16"/>
              </w:rPr>
            </w:pPr>
          </w:p>
        </w:tc>
      </w:tr>
      <w:tr w:rsidR="00296641" w:rsidRPr="00E11FFB" w14:paraId="797EE112" w14:textId="77777777" w:rsidTr="003A6DE1">
        <w:trPr>
          <w:trHeight w:val="318"/>
          <w:jc w:val="center"/>
        </w:trPr>
        <w:tc>
          <w:tcPr>
            <w:tcW w:w="3408" w:type="dxa"/>
            <w:vMerge/>
          </w:tcPr>
          <w:p w14:paraId="58E99FC9" w14:textId="77777777" w:rsidR="00296641" w:rsidRPr="00E11FFB" w:rsidRDefault="00296641" w:rsidP="00B4682A">
            <w:pPr>
              <w:rPr>
                <w:rFonts w:ascii="Avenir" w:eastAsia="Avenir" w:hAnsi="Avenir" w:cs="Avenir"/>
                <w:color w:val="000000"/>
                <w:sz w:val="16"/>
                <w:szCs w:val="16"/>
              </w:rPr>
            </w:pPr>
          </w:p>
        </w:tc>
        <w:tc>
          <w:tcPr>
            <w:tcW w:w="1987" w:type="dxa"/>
          </w:tcPr>
          <w:p w14:paraId="15A3BC29" w14:textId="24B8F22F"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Publication des contrats de concessions agricoles sur le site web du ministère de l’Agriculture</w:t>
            </w:r>
          </w:p>
        </w:tc>
        <w:tc>
          <w:tcPr>
            <w:tcW w:w="1374" w:type="dxa"/>
            <w:shd w:val="clear" w:color="auto" w:fill="FFFFFF" w:themeFill="background1"/>
          </w:tcPr>
          <w:p w14:paraId="45763814" w14:textId="35062459"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6352202B" w14:textId="4495FC2F"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Pour mémoire</w:t>
            </w:r>
          </w:p>
        </w:tc>
        <w:tc>
          <w:tcPr>
            <w:tcW w:w="1084" w:type="dxa"/>
          </w:tcPr>
          <w:p w14:paraId="60A907B5" w14:textId="77777777" w:rsidR="00296641" w:rsidRPr="00E11FFB" w:rsidRDefault="00296641" w:rsidP="00B4682A">
            <w:pPr>
              <w:rPr>
                <w:rFonts w:ascii="Avenir" w:eastAsia="Avenir" w:hAnsi="Avenir" w:cs="Avenir"/>
                <w:color w:val="000000"/>
                <w:sz w:val="16"/>
                <w:szCs w:val="16"/>
              </w:rPr>
            </w:pPr>
          </w:p>
        </w:tc>
        <w:tc>
          <w:tcPr>
            <w:tcW w:w="959" w:type="dxa"/>
          </w:tcPr>
          <w:p w14:paraId="4F998EC8" w14:textId="77777777" w:rsidR="00296641" w:rsidRPr="00E11FFB" w:rsidRDefault="00296641" w:rsidP="00B4682A">
            <w:pPr>
              <w:rPr>
                <w:rFonts w:ascii="Avenir" w:eastAsia="Avenir" w:hAnsi="Avenir" w:cs="Avenir"/>
                <w:color w:val="000000"/>
                <w:sz w:val="16"/>
                <w:szCs w:val="16"/>
              </w:rPr>
            </w:pPr>
          </w:p>
        </w:tc>
        <w:tc>
          <w:tcPr>
            <w:tcW w:w="1067" w:type="dxa"/>
          </w:tcPr>
          <w:p w14:paraId="51077B4D" w14:textId="48F8752F"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Pour mémoire </w:t>
            </w:r>
          </w:p>
        </w:tc>
        <w:tc>
          <w:tcPr>
            <w:tcW w:w="794" w:type="dxa"/>
          </w:tcPr>
          <w:p w14:paraId="2712215A" w14:textId="77777777" w:rsidR="00296641" w:rsidRPr="00E11FFB" w:rsidRDefault="00296641" w:rsidP="00B4682A">
            <w:pPr>
              <w:rPr>
                <w:rFonts w:ascii="Avenir" w:eastAsia="Avenir" w:hAnsi="Avenir" w:cs="Avenir"/>
                <w:color w:val="000000"/>
                <w:sz w:val="16"/>
                <w:szCs w:val="16"/>
              </w:rPr>
            </w:pPr>
          </w:p>
        </w:tc>
        <w:tc>
          <w:tcPr>
            <w:tcW w:w="1454" w:type="dxa"/>
          </w:tcPr>
          <w:p w14:paraId="7D962E24"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057520FB" w14:textId="77777777" w:rsidR="00296641" w:rsidRPr="00E11FFB" w:rsidRDefault="00296641" w:rsidP="00B4682A">
            <w:pPr>
              <w:spacing w:after="5"/>
              <w:rPr>
                <w:rFonts w:ascii="Avenir" w:eastAsia="Avenir" w:hAnsi="Avenir" w:cs="Avenir"/>
                <w:color w:val="000000"/>
                <w:sz w:val="16"/>
                <w:szCs w:val="16"/>
              </w:rPr>
            </w:pPr>
          </w:p>
        </w:tc>
      </w:tr>
      <w:tr w:rsidR="00296641" w:rsidRPr="00E11FFB" w14:paraId="453790E9" w14:textId="77777777" w:rsidTr="003A6DE1">
        <w:trPr>
          <w:trHeight w:val="318"/>
          <w:jc w:val="center"/>
        </w:trPr>
        <w:tc>
          <w:tcPr>
            <w:tcW w:w="3408" w:type="dxa"/>
            <w:vMerge w:val="restart"/>
          </w:tcPr>
          <w:p w14:paraId="51CE3CDB" w14:textId="7326161C" w:rsidR="00296641" w:rsidRPr="00E11FFB" w:rsidRDefault="00296641" w:rsidP="00B4682A">
            <w:pPr>
              <w:jc w:val="both"/>
              <w:rPr>
                <w:rFonts w:ascii="Avenir" w:eastAsia="Avenir" w:hAnsi="Avenir" w:cs="Avenir"/>
                <w:color w:val="000000"/>
                <w:sz w:val="16"/>
                <w:szCs w:val="16"/>
              </w:rPr>
            </w:pPr>
            <w:r w:rsidRPr="00E11FFB">
              <w:rPr>
                <w:rFonts w:ascii="Avenir" w:eastAsia="Avenir" w:hAnsi="Avenir" w:cs="Avenir"/>
                <w:color w:val="000000"/>
                <w:sz w:val="16"/>
                <w:szCs w:val="16"/>
              </w:rPr>
              <w:t>Produit 2.3 :  Le CCNA est en place et fonctionnel [d'ici 2022]. (Concessions et de leur gestion).</w:t>
            </w:r>
          </w:p>
        </w:tc>
        <w:tc>
          <w:tcPr>
            <w:tcW w:w="1987" w:type="dxa"/>
          </w:tcPr>
          <w:p w14:paraId="70017D77" w14:textId="54C7C15A"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Les orientations du développement agricole sont élaborées et suivies de manière transparente et participative (CCNA)</w:t>
            </w:r>
          </w:p>
        </w:tc>
        <w:tc>
          <w:tcPr>
            <w:tcW w:w="1374" w:type="dxa"/>
            <w:shd w:val="clear" w:color="auto" w:fill="FFFFFF" w:themeFill="background1"/>
          </w:tcPr>
          <w:p w14:paraId="04372B41" w14:textId="379B145F"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3831B2D" w14:textId="0E5183B9"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1084" w:type="dxa"/>
          </w:tcPr>
          <w:p w14:paraId="67B680E3" w14:textId="2B9D7F86"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5F7B61C0" w14:textId="77777777" w:rsidR="00296641" w:rsidRPr="00E11FFB" w:rsidRDefault="00296641" w:rsidP="00B4682A">
            <w:pPr>
              <w:rPr>
                <w:rFonts w:ascii="Avenir" w:eastAsia="Avenir" w:hAnsi="Avenir" w:cs="Avenir"/>
                <w:color w:val="000000"/>
                <w:sz w:val="16"/>
                <w:szCs w:val="16"/>
              </w:rPr>
            </w:pPr>
          </w:p>
        </w:tc>
        <w:tc>
          <w:tcPr>
            <w:tcW w:w="1067" w:type="dxa"/>
          </w:tcPr>
          <w:p w14:paraId="1B61E210" w14:textId="2861D282"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sessions</w:t>
            </w:r>
          </w:p>
        </w:tc>
        <w:tc>
          <w:tcPr>
            <w:tcW w:w="794" w:type="dxa"/>
          </w:tcPr>
          <w:p w14:paraId="152A3517" w14:textId="77777777" w:rsidR="00296641" w:rsidRPr="00E11FFB" w:rsidRDefault="00296641" w:rsidP="00B4682A">
            <w:pPr>
              <w:rPr>
                <w:rFonts w:ascii="Avenir" w:eastAsia="Avenir" w:hAnsi="Avenir" w:cs="Avenir"/>
                <w:color w:val="000000"/>
                <w:sz w:val="16"/>
                <w:szCs w:val="16"/>
              </w:rPr>
            </w:pPr>
          </w:p>
        </w:tc>
        <w:tc>
          <w:tcPr>
            <w:tcW w:w="1454" w:type="dxa"/>
          </w:tcPr>
          <w:p w14:paraId="0F436C74"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28A4615A" w14:textId="3E8C117E" w:rsidR="00296641" w:rsidRPr="00E11FFB" w:rsidRDefault="00296641"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En attente de la loi révisée </w:t>
            </w:r>
          </w:p>
        </w:tc>
      </w:tr>
      <w:tr w:rsidR="00296641" w:rsidRPr="00E11FFB" w14:paraId="7696CBD1" w14:textId="77777777" w:rsidTr="003A6DE1">
        <w:trPr>
          <w:trHeight w:val="318"/>
          <w:jc w:val="center"/>
        </w:trPr>
        <w:tc>
          <w:tcPr>
            <w:tcW w:w="3408" w:type="dxa"/>
            <w:vMerge/>
          </w:tcPr>
          <w:p w14:paraId="30834484" w14:textId="77777777" w:rsidR="00296641" w:rsidRPr="00E11FFB" w:rsidRDefault="00296641" w:rsidP="00B4682A">
            <w:pPr>
              <w:rPr>
                <w:rFonts w:ascii="Avenir" w:eastAsia="Avenir" w:hAnsi="Avenir" w:cs="Avenir"/>
                <w:color w:val="000000"/>
                <w:sz w:val="16"/>
                <w:szCs w:val="16"/>
              </w:rPr>
            </w:pPr>
          </w:p>
        </w:tc>
        <w:tc>
          <w:tcPr>
            <w:tcW w:w="1987" w:type="dxa"/>
          </w:tcPr>
          <w:p w14:paraId="36E84383" w14:textId="57A437B4"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Les orientations du développement agricole sont élaborées et suivies de manière transparente et participative (CCNA).</w:t>
            </w:r>
          </w:p>
        </w:tc>
        <w:tc>
          <w:tcPr>
            <w:tcW w:w="1374" w:type="dxa"/>
            <w:shd w:val="clear" w:color="auto" w:fill="FFFFFF" w:themeFill="background1"/>
          </w:tcPr>
          <w:p w14:paraId="0772BDFA" w14:textId="54E553A5"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7EEDAF0" w14:textId="51F9DFC3"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1084" w:type="dxa"/>
          </w:tcPr>
          <w:p w14:paraId="01520F18" w14:textId="54320082"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4419C065" w14:textId="77777777" w:rsidR="00296641" w:rsidRPr="00E11FFB" w:rsidRDefault="00296641" w:rsidP="00B4682A">
            <w:pPr>
              <w:rPr>
                <w:rFonts w:ascii="Avenir" w:eastAsia="Avenir" w:hAnsi="Avenir" w:cs="Avenir"/>
                <w:color w:val="000000"/>
                <w:sz w:val="16"/>
                <w:szCs w:val="16"/>
              </w:rPr>
            </w:pPr>
          </w:p>
        </w:tc>
        <w:tc>
          <w:tcPr>
            <w:tcW w:w="1067" w:type="dxa"/>
          </w:tcPr>
          <w:p w14:paraId="2AF6B0C5" w14:textId="66166781"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sessions CCNA</w:t>
            </w:r>
          </w:p>
        </w:tc>
        <w:tc>
          <w:tcPr>
            <w:tcW w:w="794" w:type="dxa"/>
          </w:tcPr>
          <w:p w14:paraId="54E83ED8" w14:textId="77777777" w:rsidR="00296641" w:rsidRPr="00E11FFB" w:rsidRDefault="00296641" w:rsidP="00B4682A">
            <w:pPr>
              <w:rPr>
                <w:rFonts w:ascii="Avenir" w:eastAsia="Avenir" w:hAnsi="Avenir" w:cs="Avenir"/>
                <w:color w:val="000000"/>
                <w:sz w:val="16"/>
                <w:szCs w:val="16"/>
              </w:rPr>
            </w:pPr>
          </w:p>
        </w:tc>
        <w:tc>
          <w:tcPr>
            <w:tcW w:w="1454" w:type="dxa"/>
          </w:tcPr>
          <w:p w14:paraId="6CBFD708"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16A943B2" w14:textId="5FF09553" w:rsidR="00296641" w:rsidRPr="00E11FFB" w:rsidRDefault="00296641"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loi révisée</w:t>
            </w:r>
          </w:p>
        </w:tc>
      </w:tr>
      <w:tr w:rsidR="00296641" w:rsidRPr="00E11FFB" w14:paraId="06FD8E55" w14:textId="77777777" w:rsidTr="003A6DE1">
        <w:trPr>
          <w:trHeight w:val="318"/>
          <w:jc w:val="center"/>
        </w:trPr>
        <w:tc>
          <w:tcPr>
            <w:tcW w:w="3408" w:type="dxa"/>
            <w:vMerge w:val="restart"/>
          </w:tcPr>
          <w:p w14:paraId="03944666" w14:textId="7A4564C9" w:rsidR="00296641" w:rsidRPr="00E11FFB" w:rsidRDefault="00296641" w:rsidP="00B4682A">
            <w:pPr>
              <w:jc w:val="both"/>
              <w:rPr>
                <w:rFonts w:ascii="Avenir" w:eastAsia="Avenir" w:hAnsi="Avenir" w:cs="Avenir"/>
                <w:color w:val="000000"/>
                <w:sz w:val="16"/>
                <w:szCs w:val="16"/>
              </w:rPr>
            </w:pPr>
            <w:r w:rsidRPr="00E11FFB">
              <w:rPr>
                <w:rFonts w:ascii="Avenir" w:eastAsia="Avenir" w:hAnsi="Avenir" w:cs="Avenir"/>
                <w:color w:val="000000"/>
                <w:sz w:val="16"/>
                <w:szCs w:val="16"/>
              </w:rPr>
              <w:t>Produit 2.4 : Un processus participatif de réflexion et de définition sur l’agriculture de taille intermédiaire, ses besoins spécifiques, et comment l’accompagner pour permettre d’en réduire l’impact sur les forêts tout en répondant aux besoins du pays, en ligne avec les objectifs de la présente lettre d’attention, sur base du contexte spécifique de la RDC et informé par les bonnes pratiques nationales et internationales dans des pays similaires.</w:t>
            </w:r>
          </w:p>
        </w:tc>
        <w:tc>
          <w:tcPr>
            <w:tcW w:w="1987" w:type="dxa"/>
          </w:tcPr>
          <w:p w14:paraId="6A5D72EC" w14:textId="6209DAB4"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L'agriculture de taille intermédiaire (type familial) est définie et les études provinciales sont réalisées.</w:t>
            </w:r>
          </w:p>
        </w:tc>
        <w:tc>
          <w:tcPr>
            <w:tcW w:w="1374" w:type="dxa"/>
            <w:shd w:val="clear" w:color="auto" w:fill="FFFFFF" w:themeFill="background1"/>
          </w:tcPr>
          <w:p w14:paraId="1E0EA699" w14:textId="4D9F83A3"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3319ED69" w14:textId="33550F48"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1084" w:type="dxa"/>
          </w:tcPr>
          <w:p w14:paraId="04B5A6F8" w14:textId="1D4A6A59"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959" w:type="dxa"/>
          </w:tcPr>
          <w:p w14:paraId="47D3390E" w14:textId="77777777" w:rsidR="00296641" w:rsidRPr="00E11FFB" w:rsidRDefault="00296641" w:rsidP="00B4682A">
            <w:pPr>
              <w:rPr>
                <w:rFonts w:ascii="Avenir" w:eastAsia="Avenir" w:hAnsi="Avenir" w:cs="Avenir"/>
                <w:color w:val="000000"/>
                <w:sz w:val="16"/>
                <w:szCs w:val="16"/>
              </w:rPr>
            </w:pPr>
          </w:p>
        </w:tc>
        <w:tc>
          <w:tcPr>
            <w:tcW w:w="1067" w:type="dxa"/>
          </w:tcPr>
          <w:p w14:paraId="0D40BA70" w14:textId="52108B89"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Rapports ateliers et rapport étude</w:t>
            </w:r>
          </w:p>
        </w:tc>
        <w:tc>
          <w:tcPr>
            <w:tcW w:w="794" w:type="dxa"/>
          </w:tcPr>
          <w:p w14:paraId="073D00D4" w14:textId="77777777" w:rsidR="00296641" w:rsidRPr="00E11FFB" w:rsidRDefault="00296641" w:rsidP="00B4682A">
            <w:pPr>
              <w:rPr>
                <w:rFonts w:ascii="Avenir" w:eastAsia="Avenir" w:hAnsi="Avenir" w:cs="Avenir"/>
                <w:color w:val="000000"/>
                <w:sz w:val="16"/>
                <w:szCs w:val="16"/>
              </w:rPr>
            </w:pPr>
          </w:p>
        </w:tc>
        <w:tc>
          <w:tcPr>
            <w:tcW w:w="1454" w:type="dxa"/>
          </w:tcPr>
          <w:p w14:paraId="4A5589F3"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4E9A0D50" w14:textId="4A4B187C" w:rsidR="00296641" w:rsidRPr="00E11FFB" w:rsidRDefault="00296641"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Etudes effectuées dans 3 provinces. </w:t>
            </w:r>
          </w:p>
        </w:tc>
      </w:tr>
      <w:tr w:rsidR="00296641" w:rsidRPr="00E11FFB" w14:paraId="0F0AB0EC" w14:textId="77777777" w:rsidTr="003A6DE1">
        <w:trPr>
          <w:trHeight w:val="318"/>
          <w:jc w:val="center"/>
        </w:trPr>
        <w:tc>
          <w:tcPr>
            <w:tcW w:w="3408" w:type="dxa"/>
            <w:vMerge/>
          </w:tcPr>
          <w:p w14:paraId="32F2B469" w14:textId="77777777" w:rsidR="00296641" w:rsidRPr="00E11FFB" w:rsidRDefault="00296641" w:rsidP="00B4682A">
            <w:pPr>
              <w:jc w:val="both"/>
              <w:rPr>
                <w:rFonts w:ascii="Avenir" w:eastAsia="Avenir" w:hAnsi="Avenir" w:cs="Avenir"/>
                <w:color w:val="000000"/>
                <w:sz w:val="16"/>
                <w:szCs w:val="16"/>
              </w:rPr>
            </w:pPr>
          </w:p>
        </w:tc>
        <w:tc>
          <w:tcPr>
            <w:tcW w:w="1987" w:type="dxa"/>
          </w:tcPr>
          <w:p w14:paraId="23FFF8CA" w14:textId="2673C4C9"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Pratiques de l’agriculture durable adoptées à l’échelle familiale</w:t>
            </w:r>
          </w:p>
        </w:tc>
        <w:tc>
          <w:tcPr>
            <w:tcW w:w="1374" w:type="dxa"/>
            <w:shd w:val="clear" w:color="auto" w:fill="FFFFFF" w:themeFill="background1"/>
          </w:tcPr>
          <w:p w14:paraId="2DF8234B" w14:textId="771E66DC"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36EB9C8" w14:textId="7A8495BC"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provinces</w:t>
            </w:r>
          </w:p>
        </w:tc>
        <w:tc>
          <w:tcPr>
            <w:tcW w:w="1084" w:type="dxa"/>
          </w:tcPr>
          <w:p w14:paraId="69D9F6B6" w14:textId="36EC719E" w:rsidR="00296641" w:rsidRPr="00E11FFB" w:rsidRDefault="00516829" w:rsidP="00B4682A">
            <w:pPr>
              <w:rPr>
                <w:rFonts w:ascii="Avenir" w:eastAsia="Avenir" w:hAnsi="Avenir" w:cs="Avenir"/>
                <w:color w:val="000000"/>
                <w:sz w:val="16"/>
                <w:szCs w:val="16"/>
                <w:highlight w:val="yellow"/>
              </w:rPr>
            </w:pPr>
            <w:r w:rsidRPr="00E11FFB">
              <w:rPr>
                <w:rFonts w:ascii="Avenir" w:eastAsia="Avenir" w:hAnsi="Avenir" w:cs="Avenir"/>
                <w:color w:val="000000"/>
                <w:sz w:val="16"/>
                <w:szCs w:val="16"/>
              </w:rPr>
              <w:t>7</w:t>
            </w:r>
            <w:r w:rsidR="00802768" w:rsidRPr="00E11FFB">
              <w:rPr>
                <w:rFonts w:ascii="Avenir" w:eastAsia="Avenir" w:hAnsi="Avenir" w:cs="Avenir"/>
                <w:color w:val="000000"/>
                <w:sz w:val="16"/>
                <w:szCs w:val="16"/>
              </w:rPr>
              <w:t xml:space="preserve"> provinces</w:t>
            </w:r>
          </w:p>
        </w:tc>
        <w:tc>
          <w:tcPr>
            <w:tcW w:w="959" w:type="dxa"/>
          </w:tcPr>
          <w:p w14:paraId="69DA81C6" w14:textId="77777777" w:rsidR="00296641" w:rsidRPr="00E11FFB" w:rsidRDefault="00296641" w:rsidP="00B4682A">
            <w:pPr>
              <w:rPr>
                <w:rFonts w:ascii="Avenir" w:eastAsia="Avenir" w:hAnsi="Avenir" w:cs="Avenir"/>
                <w:color w:val="000000"/>
                <w:sz w:val="16"/>
                <w:szCs w:val="16"/>
              </w:rPr>
            </w:pPr>
          </w:p>
        </w:tc>
        <w:tc>
          <w:tcPr>
            <w:tcW w:w="1067" w:type="dxa"/>
          </w:tcPr>
          <w:p w14:paraId="7EB18B14" w14:textId="7586CDBE"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26 provinces</w:t>
            </w:r>
          </w:p>
        </w:tc>
        <w:tc>
          <w:tcPr>
            <w:tcW w:w="794" w:type="dxa"/>
          </w:tcPr>
          <w:p w14:paraId="7C316BA8" w14:textId="77777777" w:rsidR="00296641" w:rsidRPr="00E11FFB" w:rsidRDefault="00296641" w:rsidP="00B4682A">
            <w:pPr>
              <w:rPr>
                <w:rFonts w:ascii="Avenir" w:eastAsia="Avenir" w:hAnsi="Avenir" w:cs="Avenir"/>
                <w:color w:val="000000"/>
                <w:sz w:val="16"/>
                <w:szCs w:val="16"/>
              </w:rPr>
            </w:pPr>
          </w:p>
        </w:tc>
        <w:tc>
          <w:tcPr>
            <w:tcW w:w="1454" w:type="dxa"/>
          </w:tcPr>
          <w:p w14:paraId="0EFC13BB"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778D9E9C" w14:textId="6C3B5757" w:rsidR="00296641" w:rsidRPr="00E11FFB" w:rsidRDefault="00802768"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Les bonnes pratiques vulgarisées dans </w:t>
            </w:r>
            <w:r w:rsidR="00B759F2" w:rsidRPr="00E11FFB">
              <w:rPr>
                <w:rFonts w:ascii="Avenir" w:eastAsia="Avenir" w:hAnsi="Avenir" w:cs="Avenir"/>
                <w:color w:val="000000"/>
                <w:sz w:val="16"/>
                <w:szCs w:val="16"/>
              </w:rPr>
              <w:t xml:space="preserve">7 </w:t>
            </w:r>
            <w:r w:rsidRPr="00E11FFB">
              <w:rPr>
                <w:rFonts w:ascii="Avenir" w:eastAsia="Avenir" w:hAnsi="Avenir" w:cs="Avenir"/>
                <w:color w:val="000000"/>
                <w:sz w:val="16"/>
                <w:szCs w:val="16"/>
              </w:rPr>
              <w:t>provinces lors de campagne de sensibilisation sur la PAD</w:t>
            </w:r>
          </w:p>
        </w:tc>
      </w:tr>
      <w:tr w:rsidR="00296641" w:rsidRPr="00E11FFB" w14:paraId="375A8605" w14:textId="77777777" w:rsidTr="003A6DE1">
        <w:trPr>
          <w:trHeight w:val="318"/>
          <w:jc w:val="center"/>
        </w:trPr>
        <w:tc>
          <w:tcPr>
            <w:tcW w:w="3408" w:type="dxa"/>
            <w:vMerge/>
          </w:tcPr>
          <w:p w14:paraId="65A328D5" w14:textId="77777777" w:rsidR="00296641" w:rsidRPr="00E11FFB" w:rsidRDefault="00296641" w:rsidP="00B4682A">
            <w:pPr>
              <w:jc w:val="both"/>
              <w:rPr>
                <w:rFonts w:ascii="Avenir" w:eastAsia="Avenir" w:hAnsi="Avenir" w:cs="Avenir"/>
                <w:color w:val="000000"/>
                <w:sz w:val="16"/>
                <w:szCs w:val="16"/>
              </w:rPr>
            </w:pPr>
          </w:p>
        </w:tc>
        <w:tc>
          <w:tcPr>
            <w:tcW w:w="1987" w:type="dxa"/>
          </w:tcPr>
          <w:p w14:paraId="3F626FFC" w14:textId="11DCCE38"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Une cartographie du potentiel de production agricole durable, intégrant la préservation des forêts et des tourbières, est réalisée pour les cultures de rente</w:t>
            </w:r>
          </w:p>
        </w:tc>
        <w:tc>
          <w:tcPr>
            <w:tcW w:w="1374" w:type="dxa"/>
            <w:shd w:val="clear" w:color="auto" w:fill="FFFFFF" w:themeFill="background1"/>
          </w:tcPr>
          <w:p w14:paraId="3E6EF302" w14:textId="093E056C"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416D731C" w14:textId="5EDFE8CC"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1084" w:type="dxa"/>
          </w:tcPr>
          <w:p w14:paraId="1EE5DBC8" w14:textId="2120AE8B" w:rsidR="00296641" w:rsidRPr="00E11FFB" w:rsidRDefault="00C14ECD" w:rsidP="00B4682A">
            <w:pPr>
              <w:rPr>
                <w:rFonts w:ascii="Avenir" w:eastAsia="Avenir" w:hAnsi="Avenir" w:cs="Avenir"/>
                <w:color w:val="000000"/>
                <w:sz w:val="16"/>
                <w:szCs w:val="16"/>
              </w:rPr>
            </w:pPr>
            <w:r w:rsidRPr="00E11FFB">
              <w:rPr>
                <w:rFonts w:ascii="Avenir" w:eastAsia="Avenir" w:hAnsi="Avenir" w:cs="Avenir"/>
                <w:color w:val="000000"/>
                <w:sz w:val="16"/>
                <w:szCs w:val="16"/>
              </w:rPr>
              <w:t>4 études sur la cartographie de potentiel agricole</w:t>
            </w:r>
          </w:p>
        </w:tc>
        <w:tc>
          <w:tcPr>
            <w:tcW w:w="959" w:type="dxa"/>
          </w:tcPr>
          <w:p w14:paraId="732D3CA1" w14:textId="77777777" w:rsidR="00296641" w:rsidRPr="00E11FFB" w:rsidRDefault="00296641" w:rsidP="00B4682A">
            <w:pPr>
              <w:rPr>
                <w:rFonts w:ascii="Avenir" w:eastAsia="Avenir" w:hAnsi="Avenir" w:cs="Avenir"/>
                <w:color w:val="000000"/>
                <w:sz w:val="16"/>
                <w:szCs w:val="16"/>
              </w:rPr>
            </w:pPr>
          </w:p>
        </w:tc>
        <w:tc>
          <w:tcPr>
            <w:tcW w:w="1067" w:type="dxa"/>
          </w:tcPr>
          <w:p w14:paraId="297BD670" w14:textId="127A5C0B"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Rapports de l’étude disponibles, cartes produites, données SIG</w:t>
            </w:r>
          </w:p>
        </w:tc>
        <w:tc>
          <w:tcPr>
            <w:tcW w:w="794" w:type="dxa"/>
          </w:tcPr>
          <w:p w14:paraId="0EDE5A89" w14:textId="77777777" w:rsidR="00296641" w:rsidRPr="00E11FFB" w:rsidRDefault="00296641" w:rsidP="00B4682A">
            <w:pPr>
              <w:rPr>
                <w:rFonts w:ascii="Avenir" w:eastAsia="Avenir" w:hAnsi="Avenir" w:cs="Avenir"/>
                <w:color w:val="000000"/>
                <w:sz w:val="16"/>
                <w:szCs w:val="16"/>
              </w:rPr>
            </w:pPr>
          </w:p>
        </w:tc>
        <w:tc>
          <w:tcPr>
            <w:tcW w:w="1454" w:type="dxa"/>
          </w:tcPr>
          <w:p w14:paraId="0343F711"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6169EA9D" w14:textId="77777777" w:rsidR="00296641" w:rsidRPr="00E11FFB" w:rsidRDefault="00296641" w:rsidP="00B4682A">
            <w:pPr>
              <w:spacing w:after="5"/>
              <w:rPr>
                <w:rFonts w:ascii="Avenir" w:eastAsia="Avenir" w:hAnsi="Avenir" w:cs="Avenir"/>
                <w:color w:val="000000"/>
                <w:sz w:val="16"/>
                <w:szCs w:val="16"/>
              </w:rPr>
            </w:pPr>
          </w:p>
        </w:tc>
      </w:tr>
      <w:tr w:rsidR="00296641" w:rsidRPr="00E11FFB" w14:paraId="5C3C8630" w14:textId="77777777" w:rsidTr="003A6DE1">
        <w:trPr>
          <w:trHeight w:val="318"/>
          <w:jc w:val="center"/>
        </w:trPr>
        <w:tc>
          <w:tcPr>
            <w:tcW w:w="3408" w:type="dxa"/>
            <w:vMerge/>
          </w:tcPr>
          <w:p w14:paraId="78022E72" w14:textId="77777777" w:rsidR="00296641" w:rsidRPr="00E11FFB" w:rsidRDefault="00296641" w:rsidP="00B4682A">
            <w:pPr>
              <w:jc w:val="both"/>
              <w:rPr>
                <w:rFonts w:ascii="Avenir" w:eastAsia="Avenir" w:hAnsi="Avenir" w:cs="Avenir"/>
                <w:color w:val="000000"/>
                <w:sz w:val="16"/>
                <w:szCs w:val="16"/>
              </w:rPr>
            </w:pPr>
          </w:p>
        </w:tc>
        <w:tc>
          <w:tcPr>
            <w:tcW w:w="1987" w:type="dxa"/>
          </w:tcPr>
          <w:p w14:paraId="06BCB30B" w14:textId="497739FD" w:rsidR="00296641" w:rsidRPr="00E11FFB" w:rsidRDefault="00296641" w:rsidP="00B4682A">
            <w:pPr>
              <w:rPr>
                <w:rFonts w:ascii="Avenir" w:eastAsia="Avenir" w:hAnsi="Avenir" w:cs="Avenir"/>
                <w:color w:val="000000"/>
                <w:sz w:val="16"/>
                <w:szCs w:val="16"/>
                <w:highlight w:val="yellow"/>
              </w:rPr>
            </w:pPr>
            <w:r w:rsidRPr="00E11FFB">
              <w:rPr>
                <w:rFonts w:ascii="Avenir" w:eastAsia="Avenir" w:hAnsi="Avenir" w:cs="Avenir"/>
                <w:color w:val="000000"/>
                <w:sz w:val="16"/>
                <w:szCs w:val="16"/>
              </w:rPr>
              <w:t>Une implication des ménages agricoles du type familiale engagé dans le processus de réflexion et de définition</w:t>
            </w:r>
          </w:p>
        </w:tc>
        <w:tc>
          <w:tcPr>
            <w:tcW w:w="1374" w:type="dxa"/>
            <w:shd w:val="clear" w:color="auto" w:fill="FFFFFF" w:themeFill="background1"/>
          </w:tcPr>
          <w:p w14:paraId="102D6891" w14:textId="5CC3223C" w:rsidR="00296641"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391145AA" w14:textId="7DF87958"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1084" w:type="dxa"/>
          </w:tcPr>
          <w:p w14:paraId="041CC720" w14:textId="77777777" w:rsidR="00296641" w:rsidRPr="00E11FFB" w:rsidRDefault="00264C59"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103 </w:t>
            </w:r>
            <w:r w:rsidR="00C14ECD" w:rsidRPr="00E11FFB">
              <w:rPr>
                <w:rFonts w:ascii="Avenir" w:eastAsia="Avenir" w:hAnsi="Avenir" w:cs="Avenir"/>
                <w:color w:val="000000"/>
                <w:sz w:val="16"/>
                <w:szCs w:val="16"/>
              </w:rPr>
              <w:t xml:space="preserve">ménages impliqués dans le processus </w:t>
            </w:r>
          </w:p>
          <w:p w14:paraId="66AA4D11" w14:textId="63CD4E69" w:rsidR="00B759F2" w:rsidRPr="00E11FFB" w:rsidRDefault="00B759F2" w:rsidP="00B4682A">
            <w:pPr>
              <w:rPr>
                <w:rFonts w:ascii="Avenir" w:eastAsia="Avenir" w:hAnsi="Avenir" w:cs="Avenir"/>
                <w:color w:val="000000"/>
                <w:sz w:val="16"/>
                <w:szCs w:val="16"/>
              </w:rPr>
            </w:pPr>
            <w:r w:rsidRPr="00E11FFB">
              <w:rPr>
                <w:rFonts w:ascii="Avenir" w:eastAsia="Avenir" w:hAnsi="Avenir" w:cs="Avenir"/>
                <w:color w:val="000000"/>
                <w:sz w:val="16"/>
                <w:szCs w:val="16"/>
              </w:rPr>
              <w:t>Etude réalisée dans 3 provinces</w:t>
            </w:r>
          </w:p>
        </w:tc>
        <w:tc>
          <w:tcPr>
            <w:tcW w:w="959" w:type="dxa"/>
          </w:tcPr>
          <w:p w14:paraId="2E5B7BDD" w14:textId="77777777" w:rsidR="00296641" w:rsidRPr="00E11FFB" w:rsidRDefault="00296641" w:rsidP="00B4682A">
            <w:pPr>
              <w:rPr>
                <w:rFonts w:ascii="Avenir" w:eastAsia="Avenir" w:hAnsi="Avenir" w:cs="Avenir"/>
                <w:color w:val="000000"/>
                <w:sz w:val="16"/>
                <w:szCs w:val="16"/>
              </w:rPr>
            </w:pPr>
          </w:p>
        </w:tc>
        <w:tc>
          <w:tcPr>
            <w:tcW w:w="1067" w:type="dxa"/>
          </w:tcPr>
          <w:p w14:paraId="06AB9C57" w14:textId="5FB96456" w:rsidR="00296641" w:rsidRPr="00E11FFB" w:rsidRDefault="00296641" w:rsidP="00B4682A">
            <w:pPr>
              <w:rPr>
                <w:rFonts w:ascii="Avenir" w:eastAsia="Avenir" w:hAnsi="Avenir" w:cs="Avenir"/>
                <w:color w:val="000000"/>
                <w:sz w:val="16"/>
                <w:szCs w:val="16"/>
              </w:rPr>
            </w:pPr>
            <w:r w:rsidRPr="00E11FFB">
              <w:rPr>
                <w:rFonts w:ascii="Avenir" w:eastAsia="Avenir" w:hAnsi="Avenir" w:cs="Avenir"/>
                <w:color w:val="000000"/>
                <w:sz w:val="16"/>
                <w:szCs w:val="16"/>
              </w:rPr>
              <w:t>6 Rapports des ateliers disponibles</w:t>
            </w:r>
          </w:p>
        </w:tc>
        <w:tc>
          <w:tcPr>
            <w:tcW w:w="794" w:type="dxa"/>
          </w:tcPr>
          <w:p w14:paraId="00995AED" w14:textId="77777777" w:rsidR="00296641" w:rsidRPr="00E11FFB" w:rsidRDefault="00296641" w:rsidP="00B4682A">
            <w:pPr>
              <w:rPr>
                <w:rFonts w:ascii="Avenir" w:eastAsia="Avenir" w:hAnsi="Avenir" w:cs="Avenir"/>
                <w:color w:val="000000"/>
                <w:sz w:val="16"/>
                <w:szCs w:val="16"/>
              </w:rPr>
            </w:pPr>
          </w:p>
        </w:tc>
        <w:tc>
          <w:tcPr>
            <w:tcW w:w="1454" w:type="dxa"/>
          </w:tcPr>
          <w:p w14:paraId="1641D4BF" w14:textId="77777777" w:rsidR="00296641" w:rsidRPr="00E11FFB" w:rsidRDefault="00296641" w:rsidP="00B4682A">
            <w:pPr>
              <w:spacing w:after="5"/>
              <w:rPr>
                <w:rFonts w:ascii="Avenir" w:eastAsia="Avenir" w:hAnsi="Avenir" w:cs="Avenir"/>
                <w:color w:val="000000"/>
                <w:sz w:val="16"/>
                <w:szCs w:val="16"/>
              </w:rPr>
            </w:pPr>
          </w:p>
        </w:tc>
        <w:tc>
          <w:tcPr>
            <w:tcW w:w="1440" w:type="dxa"/>
          </w:tcPr>
          <w:p w14:paraId="768B6206" w14:textId="77777777" w:rsidR="00296641" w:rsidRPr="00E11FFB" w:rsidRDefault="00296641" w:rsidP="00B4682A">
            <w:pPr>
              <w:spacing w:after="5"/>
              <w:rPr>
                <w:rFonts w:ascii="Avenir" w:eastAsia="Avenir" w:hAnsi="Avenir" w:cs="Avenir"/>
                <w:color w:val="000000"/>
                <w:sz w:val="16"/>
                <w:szCs w:val="16"/>
              </w:rPr>
            </w:pPr>
          </w:p>
        </w:tc>
      </w:tr>
      <w:tr w:rsidR="00B4682A" w:rsidRPr="00E11FFB" w14:paraId="05F1DFC6" w14:textId="77777777" w:rsidTr="003A6DE1">
        <w:trPr>
          <w:trHeight w:val="318"/>
          <w:jc w:val="center"/>
        </w:trPr>
        <w:tc>
          <w:tcPr>
            <w:tcW w:w="3408" w:type="dxa"/>
          </w:tcPr>
          <w:p w14:paraId="66C2B0F7" w14:textId="19214B94" w:rsidR="00B4682A" w:rsidRPr="00E11FFB" w:rsidRDefault="00B4682A" w:rsidP="00B4682A">
            <w:pPr>
              <w:jc w:val="both"/>
              <w:rPr>
                <w:rFonts w:ascii="Avenir" w:eastAsia="Avenir" w:hAnsi="Avenir" w:cs="Avenir"/>
                <w:color w:val="000000"/>
                <w:sz w:val="16"/>
                <w:szCs w:val="16"/>
              </w:rPr>
            </w:pPr>
            <w:r w:rsidRPr="00E11FFB">
              <w:rPr>
                <w:rFonts w:ascii="Avenir" w:eastAsia="Avenir" w:hAnsi="Avenir" w:cs="Avenir"/>
                <w:color w:val="000000"/>
                <w:sz w:val="16"/>
                <w:szCs w:val="16"/>
              </w:rPr>
              <w:t>Produit 2.5 : Le Ministère sectoriel notifie formellement les partenaires au développement et les Gouverneurs de Province d’assurer la cohérence entre, d’une part, les programmes d’aide publique au développement et les programmes provinciaux incluant les investissements publics et privés et, d’autre part, les orientations de la Politique agricole nationale ainsi que les prescriptions des Schémas/Plans d’AT [notamment ceux développés dans le cadre des PIREDD], d’ici [fin 2023].</w:t>
            </w:r>
          </w:p>
        </w:tc>
        <w:tc>
          <w:tcPr>
            <w:tcW w:w="1987" w:type="dxa"/>
          </w:tcPr>
          <w:p w14:paraId="560BE552" w14:textId="7A4D8F7D"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Notifications et informations </w:t>
            </w:r>
            <w:r w:rsidR="00C95026" w:rsidRPr="00E11FFB">
              <w:rPr>
                <w:rFonts w:ascii="Avenir" w:eastAsia="Avenir" w:hAnsi="Avenir" w:cs="Avenir"/>
                <w:color w:val="000000"/>
                <w:sz w:val="16"/>
                <w:szCs w:val="16"/>
              </w:rPr>
              <w:t>a</w:t>
            </w:r>
            <w:r w:rsidRPr="00E11FFB">
              <w:rPr>
                <w:rFonts w:ascii="Avenir" w:eastAsia="Avenir" w:hAnsi="Avenir" w:cs="Avenir"/>
                <w:color w:val="000000"/>
                <w:sz w:val="16"/>
                <w:szCs w:val="16"/>
              </w:rPr>
              <w:t>dressées aux gouverneurs des provinces et partenaires au développement par le ministre ayant dans ses attributions l’agriculture.</w:t>
            </w:r>
          </w:p>
        </w:tc>
        <w:tc>
          <w:tcPr>
            <w:tcW w:w="1374" w:type="dxa"/>
            <w:shd w:val="clear" w:color="auto" w:fill="FFFFFF" w:themeFill="background1"/>
          </w:tcPr>
          <w:p w14:paraId="216962B7" w14:textId="5451AFB2" w:rsidR="00B4682A"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62FCDDD8" w14:textId="5AD658ED"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26</w:t>
            </w:r>
          </w:p>
        </w:tc>
        <w:tc>
          <w:tcPr>
            <w:tcW w:w="1084" w:type="dxa"/>
          </w:tcPr>
          <w:p w14:paraId="19D79FBB" w14:textId="6B42F4CA" w:rsidR="00B4682A" w:rsidRPr="00E11FFB" w:rsidRDefault="00A76E3C" w:rsidP="00B4682A">
            <w:pPr>
              <w:rPr>
                <w:rFonts w:ascii="Avenir" w:eastAsia="Avenir" w:hAnsi="Avenir" w:cs="Avenir"/>
                <w:color w:val="000000"/>
                <w:sz w:val="16"/>
                <w:szCs w:val="16"/>
              </w:rPr>
            </w:pPr>
            <w:r w:rsidRPr="00E11FFB">
              <w:rPr>
                <w:rFonts w:ascii="Avenir" w:eastAsia="Avenir" w:hAnsi="Avenir" w:cs="Avenir"/>
                <w:color w:val="000000"/>
                <w:sz w:val="16"/>
                <w:szCs w:val="16"/>
              </w:rPr>
              <w:t>Préparation des documents technique de notification</w:t>
            </w:r>
          </w:p>
        </w:tc>
        <w:tc>
          <w:tcPr>
            <w:tcW w:w="959" w:type="dxa"/>
          </w:tcPr>
          <w:p w14:paraId="001790DE" w14:textId="77777777" w:rsidR="00B4682A" w:rsidRPr="00E11FFB" w:rsidRDefault="00B4682A" w:rsidP="00B4682A">
            <w:pPr>
              <w:rPr>
                <w:rFonts w:ascii="Avenir" w:eastAsia="Avenir" w:hAnsi="Avenir" w:cs="Avenir"/>
                <w:color w:val="000000"/>
                <w:sz w:val="16"/>
                <w:szCs w:val="16"/>
              </w:rPr>
            </w:pPr>
          </w:p>
        </w:tc>
        <w:tc>
          <w:tcPr>
            <w:tcW w:w="1067" w:type="dxa"/>
          </w:tcPr>
          <w:p w14:paraId="231D5683" w14:textId="25D6F5F0"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26 Lettres expédiées et réceptionnées</w:t>
            </w:r>
          </w:p>
        </w:tc>
        <w:tc>
          <w:tcPr>
            <w:tcW w:w="794" w:type="dxa"/>
          </w:tcPr>
          <w:p w14:paraId="378CAC78" w14:textId="77777777" w:rsidR="00B4682A" w:rsidRPr="00E11FFB" w:rsidRDefault="00B4682A" w:rsidP="00B4682A">
            <w:pPr>
              <w:rPr>
                <w:rFonts w:ascii="Avenir" w:eastAsia="Avenir" w:hAnsi="Avenir" w:cs="Avenir"/>
                <w:color w:val="000000"/>
                <w:sz w:val="16"/>
                <w:szCs w:val="16"/>
              </w:rPr>
            </w:pPr>
          </w:p>
        </w:tc>
        <w:tc>
          <w:tcPr>
            <w:tcW w:w="1454" w:type="dxa"/>
          </w:tcPr>
          <w:p w14:paraId="2AC146A5" w14:textId="77777777" w:rsidR="00B4682A" w:rsidRPr="00E11FFB" w:rsidRDefault="00B4682A" w:rsidP="00B4682A">
            <w:pPr>
              <w:spacing w:after="5"/>
              <w:rPr>
                <w:rFonts w:ascii="Avenir" w:eastAsia="Avenir" w:hAnsi="Avenir" w:cs="Avenir"/>
                <w:color w:val="000000"/>
                <w:sz w:val="16"/>
                <w:szCs w:val="16"/>
              </w:rPr>
            </w:pPr>
          </w:p>
        </w:tc>
        <w:tc>
          <w:tcPr>
            <w:tcW w:w="1440" w:type="dxa"/>
          </w:tcPr>
          <w:p w14:paraId="53BFF39E" w14:textId="77777777" w:rsidR="00B4682A" w:rsidRPr="00E11FFB" w:rsidRDefault="00B4682A" w:rsidP="00B4682A">
            <w:pPr>
              <w:spacing w:after="5"/>
              <w:rPr>
                <w:rFonts w:ascii="Avenir" w:eastAsia="Avenir" w:hAnsi="Avenir" w:cs="Avenir"/>
                <w:color w:val="000000"/>
                <w:sz w:val="16"/>
                <w:szCs w:val="16"/>
              </w:rPr>
            </w:pPr>
          </w:p>
        </w:tc>
      </w:tr>
      <w:tr w:rsidR="00A45B35" w:rsidRPr="00E11FFB" w14:paraId="71EDA33F" w14:textId="77777777" w:rsidTr="003A6DE1">
        <w:trPr>
          <w:trHeight w:val="318"/>
          <w:jc w:val="center"/>
        </w:trPr>
        <w:tc>
          <w:tcPr>
            <w:tcW w:w="3408" w:type="dxa"/>
            <w:vMerge w:val="restart"/>
          </w:tcPr>
          <w:p w14:paraId="24D060D2" w14:textId="7BFDB58C" w:rsidR="00A45B35" w:rsidRPr="00E11FFB" w:rsidRDefault="00A45B35" w:rsidP="00B4682A">
            <w:pPr>
              <w:rPr>
                <w:rFonts w:ascii="Avenir" w:eastAsia="Avenir" w:hAnsi="Avenir" w:cs="Avenir"/>
                <w:color w:val="000000"/>
                <w:sz w:val="16"/>
                <w:szCs w:val="16"/>
              </w:rPr>
            </w:pPr>
            <w:r w:rsidRPr="00E11FFB">
              <w:rPr>
                <w:rFonts w:ascii="Avenir" w:eastAsia="Avenir" w:hAnsi="Avenir" w:cs="Avenir"/>
                <w:color w:val="000000"/>
                <w:sz w:val="16"/>
                <w:szCs w:val="16"/>
              </w:rPr>
              <w:t>Produit 2.6 : Un Plan ou feuille de route pour augmenter graduellement l’allocation et l’exécution budgétaires domestiques au secteur de l’agriculture est adopté d’ici [fin 2025].</w:t>
            </w:r>
          </w:p>
        </w:tc>
        <w:tc>
          <w:tcPr>
            <w:tcW w:w="1987" w:type="dxa"/>
          </w:tcPr>
          <w:p w14:paraId="691F185A" w14:textId="23991222" w:rsidR="00A45B35" w:rsidRPr="00E11FFB" w:rsidRDefault="00A45B35" w:rsidP="00033B19">
            <w:pPr>
              <w:rPr>
                <w:rFonts w:ascii="Avenir" w:eastAsia="Avenir" w:hAnsi="Avenir" w:cs="Avenir"/>
                <w:color w:val="000000"/>
                <w:sz w:val="16"/>
                <w:szCs w:val="16"/>
              </w:rPr>
            </w:pPr>
            <w:r w:rsidRPr="00E11FFB">
              <w:rPr>
                <w:rFonts w:ascii="Avenir" w:eastAsia="Avenir" w:hAnsi="Avenir" w:cs="Avenir"/>
                <w:color w:val="000000"/>
                <w:sz w:val="16"/>
                <w:szCs w:val="16"/>
              </w:rPr>
              <w:t>Subvention agricole pour les petits producteurs au sein des coopératives agricoles</w:t>
            </w:r>
          </w:p>
        </w:tc>
        <w:tc>
          <w:tcPr>
            <w:tcW w:w="1374" w:type="dxa"/>
            <w:shd w:val="clear" w:color="auto" w:fill="FFFFFF" w:themeFill="background1"/>
          </w:tcPr>
          <w:p w14:paraId="68F61A25" w14:textId="0B13B4DC" w:rsidR="00A45B35"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5177C87" w14:textId="77777777" w:rsidR="00033B19" w:rsidRPr="00E11FFB" w:rsidRDefault="00033B19" w:rsidP="00033B19">
            <w:pPr>
              <w:rPr>
                <w:rFonts w:ascii="Avenir" w:eastAsia="Avenir" w:hAnsi="Avenir" w:cs="Avenir"/>
                <w:color w:val="000000"/>
                <w:sz w:val="16"/>
                <w:szCs w:val="16"/>
              </w:rPr>
            </w:pPr>
            <w:r w:rsidRPr="00E11FFB">
              <w:rPr>
                <w:rFonts w:ascii="Avenir" w:eastAsia="Avenir" w:hAnsi="Avenir" w:cs="Avenir"/>
                <w:color w:val="000000"/>
                <w:sz w:val="16"/>
                <w:szCs w:val="16"/>
              </w:rPr>
              <w:t>6 provinces</w:t>
            </w:r>
          </w:p>
          <w:p w14:paraId="4455FB65" w14:textId="190FFDA1" w:rsidR="00A45B35" w:rsidRPr="00E11FFB" w:rsidRDefault="00A45B35" w:rsidP="00033B19">
            <w:pPr>
              <w:rPr>
                <w:rFonts w:ascii="Avenir" w:eastAsia="Avenir" w:hAnsi="Avenir" w:cs="Avenir"/>
                <w:color w:val="000000"/>
                <w:sz w:val="16"/>
                <w:szCs w:val="16"/>
              </w:rPr>
            </w:pPr>
          </w:p>
        </w:tc>
        <w:tc>
          <w:tcPr>
            <w:tcW w:w="1084" w:type="dxa"/>
          </w:tcPr>
          <w:p w14:paraId="319A387F" w14:textId="5C2D33C3" w:rsidR="00A45B35" w:rsidRPr="00E11FFB" w:rsidRDefault="009264F8" w:rsidP="00B4682A">
            <w:pPr>
              <w:rPr>
                <w:rFonts w:ascii="Avenir" w:eastAsia="Avenir" w:hAnsi="Avenir" w:cs="Avenir"/>
                <w:color w:val="000000"/>
                <w:sz w:val="16"/>
                <w:szCs w:val="16"/>
              </w:rPr>
            </w:pPr>
            <w:r w:rsidRPr="00E11FFB">
              <w:rPr>
                <w:rFonts w:ascii="Avenir" w:eastAsia="Avenir" w:hAnsi="Avenir" w:cs="Avenir"/>
                <w:color w:val="000000"/>
                <w:sz w:val="16"/>
                <w:szCs w:val="16"/>
              </w:rPr>
              <w:t>Une subvention accordée aux agricultures sous forme d’intra lors de la campagne agricole dans 7 provinces</w:t>
            </w:r>
          </w:p>
        </w:tc>
        <w:tc>
          <w:tcPr>
            <w:tcW w:w="959" w:type="dxa"/>
          </w:tcPr>
          <w:p w14:paraId="04761BB5" w14:textId="77777777" w:rsidR="00A45B35" w:rsidRPr="00E11FFB" w:rsidRDefault="00A45B35" w:rsidP="00B4682A">
            <w:pPr>
              <w:rPr>
                <w:rFonts w:ascii="Avenir" w:eastAsia="Avenir" w:hAnsi="Avenir" w:cs="Avenir"/>
                <w:color w:val="000000"/>
                <w:sz w:val="16"/>
                <w:szCs w:val="16"/>
              </w:rPr>
            </w:pPr>
          </w:p>
        </w:tc>
        <w:tc>
          <w:tcPr>
            <w:tcW w:w="1067" w:type="dxa"/>
          </w:tcPr>
          <w:p w14:paraId="4211B1BD" w14:textId="1581D1F2" w:rsidR="00A45B35" w:rsidRPr="00E11FFB" w:rsidRDefault="00033B19" w:rsidP="00B4682A">
            <w:pPr>
              <w:rPr>
                <w:rFonts w:ascii="Avenir" w:eastAsia="Avenir" w:hAnsi="Avenir" w:cs="Avenir"/>
                <w:color w:val="000000"/>
                <w:sz w:val="16"/>
                <w:szCs w:val="16"/>
              </w:rPr>
            </w:pPr>
            <w:r w:rsidRPr="00E11FFB">
              <w:rPr>
                <w:rFonts w:ascii="Avenir" w:eastAsia="Avenir" w:hAnsi="Avenir" w:cs="Avenir"/>
                <w:color w:val="000000"/>
                <w:sz w:val="16"/>
                <w:szCs w:val="16"/>
              </w:rPr>
              <w:t>26 provinces</w:t>
            </w:r>
          </w:p>
        </w:tc>
        <w:tc>
          <w:tcPr>
            <w:tcW w:w="794" w:type="dxa"/>
          </w:tcPr>
          <w:p w14:paraId="3BDC8856" w14:textId="77777777" w:rsidR="00A45B35" w:rsidRPr="00E11FFB" w:rsidRDefault="00A45B35" w:rsidP="00B4682A">
            <w:pPr>
              <w:rPr>
                <w:rFonts w:ascii="Avenir" w:eastAsia="Avenir" w:hAnsi="Avenir" w:cs="Avenir"/>
                <w:color w:val="000000"/>
                <w:sz w:val="16"/>
                <w:szCs w:val="16"/>
              </w:rPr>
            </w:pPr>
          </w:p>
        </w:tc>
        <w:tc>
          <w:tcPr>
            <w:tcW w:w="1454" w:type="dxa"/>
          </w:tcPr>
          <w:p w14:paraId="16671B91" w14:textId="77777777" w:rsidR="00A45B35" w:rsidRPr="00E11FFB" w:rsidRDefault="00A45B35" w:rsidP="00B4682A">
            <w:pPr>
              <w:spacing w:after="5"/>
              <w:rPr>
                <w:rFonts w:ascii="Avenir" w:eastAsia="Avenir" w:hAnsi="Avenir" w:cs="Avenir"/>
                <w:color w:val="000000"/>
                <w:sz w:val="16"/>
                <w:szCs w:val="16"/>
              </w:rPr>
            </w:pPr>
          </w:p>
        </w:tc>
        <w:tc>
          <w:tcPr>
            <w:tcW w:w="1440" w:type="dxa"/>
          </w:tcPr>
          <w:p w14:paraId="0C9958BB" w14:textId="77777777" w:rsidR="00A45B35" w:rsidRPr="00E11FFB" w:rsidRDefault="00A45B35" w:rsidP="00B4682A">
            <w:pPr>
              <w:spacing w:after="5"/>
              <w:rPr>
                <w:rFonts w:ascii="Avenir" w:eastAsia="Avenir" w:hAnsi="Avenir" w:cs="Avenir"/>
                <w:color w:val="000000"/>
                <w:sz w:val="16"/>
                <w:szCs w:val="16"/>
              </w:rPr>
            </w:pPr>
          </w:p>
        </w:tc>
      </w:tr>
      <w:tr w:rsidR="00A45B35" w:rsidRPr="00E11FFB" w14:paraId="726EC60A" w14:textId="77777777" w:rsidTr="003A6DE1">
        <w:trPr>
          <w:trHeight w:val="318"/>
          <w:jc w:val="center"/>
        </w:trPr>
        <w:tc>
          <w:tcPr>
            <w:tcW w:w="3408" w:type="dxa"/>
            <w:vMerge/>
          </w:tcPr>
          <w:p w14:paraId="75E9C6EE" w14:textId="77777777" w:rsidR="00A45B35" w:rsidRPr="00E11FFB" w:rsidRDefault="00A45B35" w:rsidP="00B4682A">
            <w:pPr>
              <w:rPr>
                <w:rFonts w:ascii="Avenir" w:eastAsia="Avenir" w:hAnsi="Avenir" w:cs="Avenir"/>
                <w:color w:val="000000"/>
                <w:sz w:val="16"/>
                <w:szCs w:val="16"/>
              </w:rPr>
            </w:pPr>
          </w:p>
        </w:tc>
        <w:tc>
          <w:tcPr>
            <w:tcW w:w="1987" w:type="dxa"/>
          </w:tcPr>
          <w:p w14:paraId="24818D6D" w14:textId="51A16F36" w:rsidR="00A45B35" w:rsidRPr="00E11FFB" w:rsidRDefault="00A45B35" w:rsidP="00B4682A">
            <w:pPr>
              <w:rPr>
                <w:rFonts w:ascii="Avenir" w:eastAsia="Avenir" w:hAnsi="Avenir" w:cs="Avenir"/>
                <w:color w:val="000000"/>
                <w:sz w:val="16"/>
                <w:szCs w:val="16"/>
              </w:rPr>
            </w:pPr>
            <w:r w:rsidRPr="00E11FFB">
              <w:rPr>
                <w:rFonts w:ascii="Avenir" w:eastAsia="Avenir" w:hAnsi="Avenir" w:cs="Avenir"/>
                <w:color w:val="000000"/>
                <w:sz w:val="16"/>
                <w:szCs w:val="16"/>
              </w:rPr>
              <w:t>Plaidoyers</w:t>
            </w:r>
          </w:p>
        </w:tc>
        <w:tc>
          <w:tcPr>
            <w:tcW w:w="1374" w:type="dxa"/>
            <w:shd w:val="clear" w:color="auto" w:fill="FFFFFF" w:themeFill="background1"/>
          </w:tcPr>
          <w:p w14:paraId="191B56E8" w14:textId="73C9D936" w:rsidR="00A45B35"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48E1C09F" w14:textId="39344415" w:rsidR="00A45B35" w:rsidRPr="00E11FFB" w:rsidRDefault="00A45B35" w:rsidP="00B4682A">
            <w:pP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1084" w:type="dxa"/>
          </w:tcPr>
          <w:p w14:paraId="17A77266" w14:textId="3C4F37FE" w:rsidR="00A45B35" w:rsidRPr="00E11FFB" w:rsidRDefault="00272D5F" w:rsidP="00B4682A">
            <w:pPr>
              <w:rPr>
                <w:rFonts w:ascii="Avenir" w:eastAsia="Avenir" w:hAnsi="Avenir" w:cs="Avenir"/>
                <w:color w:val="000000"/>
                <w:sz w:val="16"/>
                <w:szCs w:val="16"/>
              </w:rPr>
            </w:pPr>
            <w:r w:rsidRPr="00E11FFB">
              <w:rPr>
                <w:rFonts w:ascii="Avenir" w:eastAsia="Avenir" w:hAnsi="Avenir" w:cs="Avenir"/>
                <w:color w:val="000000"/>
                <w:sz w:val="16"/>
                <w:szCs w:val="16"/>
              </w:rPr>
              <w:t>2 plaidoyers (Finance et Budget)</w:t>
            </w:r>
          </w:p>
        </w:tc>
        <w:tc>
          <w:tcPr>
            <w:tcW w:w="959" w:type="dxa"/>
          </w:tcPr>
          <w:p w14:paraId="0DDC7658" w14:textId="77777777" w:rsidR="00A45B35" w:rsidRPr="00E11FFB" w:rsidRDefault="00A45B35" w:rsidP="00B4682A">
            <w:pPr>
              <w:rPr>
                <w:rFonts w:ascii="Avenir" w:eastAsia="Avenir" w:hAnsi="Avenir" w:cs="Avenir"/>
                <w:color w:val="000000"/>
                <w:sz w:val="16"/>
                <w:szCs w:val="16"/>
              </w:rPr>
            </w:pPr>
          </w:p>
        </w:tc>
        <w:tc>
          <w:tcPr>
            <w:tcW w:w="1067" w:type="dxa"/>
          </w:tcPr>
          <w:p w14:paraId="5DB4C5CA" w14:textId="6E3CA646" w:rsidR="00A45B35" w:rsidRPr="00E11FFB" w:rsidRDefault="00A45B35" w:rsidP="00B4682A">
            <w:pPr>
              <w:rPr>
                <w:rFonts w:ascii="Avenir" w:eastAsia="Avenir" w:hAnsi="Avenir" w:cs="Avenir"/>
                <w:color w:val="000000"/>
                <w:sz w:val="16"/>
                <w:szCs w:val="16"/>
              </w:rPr>
            </w:pPr>
            <w:r w:rsidRPr="00E11FFB">
              <w:rPr>
                <w:rFonts w:ascii="Avenir" w:eastAsia="Avenir" w:hAnsi="Avenir" w:cs="Avenir"/>
                <w:color w:val="000000"/>
                <w:sz w:val="16"/>
                <w:szCs w:val="16"/>
              </w:rPr>
              <w:t>5 Rapports ou PV disponible</w:t>
            </w:r>
          </w:p>
        </w:tc>
        <w:tc>
          <w:tcPr>
            <w:tcW w:w="794" w:type="dxa"/>
          </w:tcPr>
          <w:p w14:paraId="7B14BC95" w14:textId="77777777" w:rsidR="00A45B35" w:rsidRPr="00E11FFB" w:rsidRDefault="00A45B35" w:rsidP="00B4682A">
            <w:pPr>
              <w:rPr>
                <w:rFonts w:ascii="Avenir" w:eastAsia="Avenir" w:hAnsi="Avenir" w:cs="Avenir"/>
                <w:color w:val="000000"/>
                <w:sz w:val="16"/>
                <w:szCs w:val="16"/>
              </w:rPr>
            </w:pPr>
          </w:p>
        </w:tc>
        <w:tc>
          <w:tcPr>
            <w:tcW w:w="1454" w:type="dxa"/>
          </w:tcPr>
          <w:p w14:paraId="6593970A" w14:textId="77777777" w:rsidR="00A45B35" w:rsidRPr="00E11FFB" w:rsidRDefault="00A45B35" w:rsidP="00B4682A">
            <w:pPr>
              <w:spacing w:after="5"/>
              <w:rPr>
                <w:rFonts w:ascii="Avenir" w:eastAsia="Avenir" w:hAnsi="Avenir" w:cs="Avenir"/>
                <w:color w:val="000000"/>
                <w:sz w:val="16"/>
                <w:szCs w:val="16"/>
              </w:rPr>
            </w:pPr>
          </w:p>
        </w:tc>
        <w:tc>
          <w:tcPr>
            <w:tcW w:w="1440" w:type="dxa"/>
          </w:tcPr>
          <w:p w14:paraId="6A163EA9" w14:textId="77777777" w:rsidR="00A45B35" w:rsidRPr="00E11FFB" w:rsidRDefault="00A45B35" w:rsidP="00B4682A">
            <w:pPr>
              <w:spacing w:after="5"/>
              <w:rPr>
                <w:rFonts w:ascii="Avenir" w:eastAsia="Avenir" w:hAnsi="Avenir" w:cs="Avenir"/>
                <w:color w:val="000000"/>
                <w:sz w:val="16"/>
                <w:szCs w:val="16"/>
              </w:rPr>
            </w:pPr>
          </w:p>
        </w:tc>
      </w:tr>
      <w:tr w:rsidR="00B4682A" w:rsidRPr="00E11FFB" w14:paraId="782C2868" w14:textId="77777777" w:rsidTr="00A76E3C">
        <w:trPr>
          <w:trHeight w:val="409"/>
          <w:jc w:val="center"/>
        </w:trPr>
        <w:tc>
          <w:tcPr>
            <w:tcW w:w="3408" w:type="dxa"/>
          </w:tcPr>
          <w:p w14:paraId="0125E2D3" w14:textId="7EE26469"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Les capacités humaines et techniques du </w:t>
            </w:r>
            <w:r w:rsidR="00A45B35" w:rsidRPr="00E11FFB">
              <w:rPr>
                <w:rFonts w:ascii="Avenir" w:eastAsia="Avenir" w:hAnsi="Avenir" w:cs="Avenir"/>
                <w:color w:val="000000"/>
                <w:sz w:val="16"/>
                <w:szCs w:val="16"/>
              </w:rPr>
              <w:t>ministère de l’Agriculture</w:t>
            </w:r>
            <w:r w:rsidRPr="00E11FFB">
              <w:rPr>
                <w:rFonts w:ascii="Avenir" w:eastAsia="Avenir" w:hAnsi="Avenir" w:cs="Avenir"/>
                <w:color w:val="000000"/>
                <w:sz w:val="16"/>
                <w:szCs w:val="16"/>
              </w:rPr>
              <w:t xml:space="preserve"> sont renforcées dans la mise en oeuvre de la politique agricole durable.</w:t>
            </w:r>
          </w:p>
        </w:tc>
        <w:tc>
          <w:tcPr>
            <w:tcW w:w="1987" w:type="dxa"/>
          </w:tcPr>
          <w:p w14:paraId="257B605E" w14:textId="7D2156C6"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 xml:space="preserve">Pourcentage d’experts du ministère de l’Agriculture renforcés et responsabilisés et déclarant utiliser (ou utilisant) les outils et informations auxquels ils ont été formés un an après. </w:t>
            </w:r>
          </w:p>
        </w:tc>
        <w:tc>
          <w:tcPr>
            <w:tcW w:w="1374" w:type="dxa"/>
            <w:shd w:val="clear" w:color="auto" w:fill="FFFFFF" w:themeFill="background1"/>
          </w:tcPr>
          <w:p w14:paraId="092CBF78" w14:textId="22CA0274" w:rsidR="00B4682A"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14BA0419" w14:textId="6FE854E3"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75 % (dont 30 % des femmes et 70 % d’hommes)</w:t>
            </w:r>
          </w:p>
        </w:tc>
        <w:tc>
          <w:tcPr>
            <w:tcW w:w="1084" w:type="dxa"/>
          </w:tcPr>
          <w:p w14:paraId="3F3BF655" w14:textId="52D14D7C" w:rsidR="00B4682A" w:rsidRPr="00E11FFB" w:rsidRDefault="00BD0E0F" w:rsidP="00B4682A">
            <w:pPr>
              <w:rPr>
                <w:rFonts w:ascii="Avenir" w:eastAsia="Avenir" w:hAnsi="Avenir" w:cs="Avenir"/>
                <w:color w:val="000000"/>
                <w:sz w:val="16"/>
                <w:szCs w:val="16"/>
              </w:rPr>
            </w:pPr>
            <w:r w:rsidRPr="00E11FFB">
              <w:rPr>
                <w:rFonts w:ascii="Avenir" w:eastAsia="Avenir" w:hAnsi="Avenir" w:cs="Avenir"/>
                <w:color w:val="000000"/>
                <w:sz w:val="16"/>
                <w:szCs w:val="16"/>
              </w:rPr>
              <w:t>26 experts (8% femmes, 92% hommes)</w:t>
            </w:r>
          </w:p>
        </w:tc>
        <w:tc>
          <w:tcPr>
            <w:tcW w:w="959" w:type="dxa"/>
          </w:tcPr>
          <w:p w14:paraId="7A65E265" w14:textId="77777777" w:rsidR="00B4682A" w:rsidRPr="00E11FFB" w:rsidRDefault="00B4682A" w:rsidP="00B4682A">
            <w:pPr>
              <w:rPr>
                <w:rFonts w:ascii="Avenir" w:eastAsia="Avenir" w:hAnsi="Avenir" w:cs="Avenir"/>
                <w:color w:val="000000"/>
                <w:sz w:val="16"/>
                <w:szCs w:val="16"/>
              </w:rPr>
            </w:pPr>
          </w:p>
        </w:tc>
        <w:tc>
          <w:tcPr>
            <w:tcW w:w="1067" w:type="dxa"/>
          </w:tcPr>
          <w:p w14:paraId="31AB382D" w14:textId="1FD4779D"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95 % (dont 30 % des femmes et 70 % d’hommes)</w:t>
            </w:r>
          </w:p>
        </w:tc>
        <w:tc>
          <w:tcPr>
            <w:tcW w:w="794" w:type="dxa"/>
          </w:tcPr>
          <w:p w14:paraId="1096D704" w14:textId="77777777" w:rsidR="00B4682A" w:rsidRPr="00E11FFB" w:rsidRDefault="00B4682A" w:rsidP="00B4682A">
            <w:pPr>
              <w:rPr>
                <w:rFonts w:ascii="Avenir" w:eastAsia="Avenir" w:hAnsi="Avenir" w:cs="Avenir"/>
                <w:color w:val="000000"/>
                <w:sz w:val="16"/>
                <w:szCs w:val="16"/>
              </w:rPr>
            </w:pPr>
          </w:p>
        </w:tc>
        <w:tc>
          <w:tcPr>
            <w:tcW w:w="1454" w:type="dxa"/>
          </w:tcPr>
          <w:p w14:paraId="05C35E91" w14:textId="77777777" w:rsidR="00B4682A" w:rsidRPr="00E11FFB" w:rsidRDefault="00B4682A" w:rsidP="00B4682A">
            <w:pPr>
              <w:spacing w:after="5"/>
              <w:rPr>
                <w:rFonts w:ascii="Avenir" w:eastAsia="Avenir" w:hAnsi="Avenir" w:cs="Avenir"/>
                <w:color w:val="000000"/>
                <w:sz w:val="16"/>
                <w:szCs w:val="16"/>
              </w:rPr>
            </w:pPr>
          </w:p>
        </w:tc>
        <w:tc>
          <w:tcPr>
            <w:tcW w:w="1440" w:type="dxa"/>
          </w:tcPr>
          <w:p w14:paraId="330F974D" w14:textId="3E759D6F" w:rsidR="00B4682A" w:rsidRPr="00E11FFB" w:rsidRDefault="00272D5F" w:rsidP="00B4682A">
            <w:pPr>
              <w:spacing w:after="5"/>
              <w:rPr>
                <w:rFonts w:ascii="Avenir" w:eastAsia="Avenir" w:hAnsi="Avenir" w:cs="Avenir"/>
                <w:color w:val="000000"/>
                <w:sz w:val="16"/>
                <w:szCs w:val="16"/>
              </w:rPr>
            </w:pPr>
            <w:r w:rsidRPr="00E11FFB">
              <w:rPr>
                <w:rFonts w:ascii="Avenir" w:eastAsia="Avenir" w:hAnsi="Avenir" w:cs="Avenir"/>
                <w:color w:val="000000"/>
                <w:sz w:val="16"/>
                <w:szCs w:val="16"/>
              </w:rPr>
              <w:t>Le projet ne prévoit pas la formation des experts d’agriculture hormis les membres de la task-force</w:t>
            </w:r>
          </w:p>
        </w:tc>
      </w:tr>
      <w:tr w:rsidR="00B4682A" w:rsidRPr="00E11FFB" w14:paraId="1A96874F" w14:textId="77777777" w:rsidTr="003A6DE1">
        <w:trPr>
          <w:trHeight w:val="318"/>
          <w:jc w:val="center"/>
        </w:trPr>
        <w:tc>
          <w:tcPr>
            <w:tcW w:w="3408" w:type="dxa"/>
          </w:tcPr>
          <w:p w14:paraId="17990237" w14:textId="77777777" w:rsidR="00B4682A" w:rsidRPr="00E11FFB" w:rsidRDefault="00B4682A" w:rsidP="00B4682A">
            <w:pPr>
              <w:rPr>
                <w:rFonts w:ascii="Avenir" w:eastAsia="Avenir" w:hAnsi="Avenir" w:cs="Avenir"/>
                <w:color w:val="000000"/>
                <w:sz w:val="16"/>
                <w:szCs w:val="16"/>
              </w:rPr>
            </w:pPr>
          </w:p>
        </w:tc>
        <w:tc>
          <w:tcPr>
            <w:tcW w:w="1987" w:type="dxa"/>
          </w:tcPr>
          <w:p w14:paraId="63F6C288" w14:textId="0399DDB5"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informer sur le projet.</w:t>
            </w:r>
          </w:p>
        </w:tc>
        <w:tc>
          <w:tcPr>
            <w:tcW w:w="1374" w:type="dxa"/>
            <w:shd w:val="clear" w:color="auto" w:fill="FFFFFF" w:themeFill="background1"/>
          </w:tcPr>
          <w:p w14:paraId="0C91D159" w14:textId="54BBEC63" w:rsidR="00B4682A"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118F310" w14:textId="4ECF64B5"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50 % de la population cible dans les zones d’intervention.</w:t>
            </w:r>
          </w:p>
        </w:tc>
        <w:tc>
          <w:tcPr>
            <w:tcW w:w="1084" w:type="dxa"/>
          </w:tcPr>
          <w:p w14:paraId="45317B56" w14:textId="6EDDD7BC" w:rsidR="00B4682A" w:rsidRPr="00E11FFB" w:rsidRDefault="00BD0E0F"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540</w:t>
            </w:r>
          </w:p>
        </w:tc>
        <w:tc>
          <w:tcPr>
            <w:tcW w:w="959" w:type="dxa"/>
          </w:tcPr>
          <w:p w14:paraId="165579DF" w14:textId="77777777" w:rsidR="00B4682A" w:rsidRPr="00E11FFB" w:rsidRDefault="00B4682A" w:rsidP="00B4682A">
            <w:pPr>
              <w:rPr>
                <w:rFonts w:ascii="Avenir" w:eastAsia="Avenir" w:hAnsi="Avenir" w:cs="Avenir"/>
                <w:color w:val="000000"/>
                <w:sz w:val="16"/>
                <w:szCs w:val="16"/>
              </w:rPr>
            </w:pPr>
          </w:p>
        </w:tc>
        <w:tc>
          <w:tcPr>
            <w:tcW w:w="1067" w:type="dxa"/>
          </w:tcPr>
          <w:p w14:paraId="68311B81" w14:textId="3F5A53C9"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90 % de la population cible dans les zones d’intervention.</w:t>
            </w:r>
          </w:p>
        </w:tc>
        <w:tc>
          <w:tcPr>
            <w:tcW w:w="794" w:type="dxa"/>
          </w:tcPr>
          <w:p w14:paraId="3EF9063F" w14:textId="77777777" w:rsidR="00B4682A" w:rsidRPr="00E11FFB" w:rsidRDefault="00B4682A" w:rsidP="00B4682A">
            <w:pPr>
              <w:rPr>
                <w:rFonts w:ascii="Avenir" w:eastAsia="Avenir" w:hAnsi="Avenir" w:cs="Avenir"/>
                <w:color w:val="000000"/>
                <w:sz w:val="16"/>
                <w:szCs w:val="16"/>
              </w:rPr>
            </w:pPr>
          </w:p>
        </w:tc>
        <w:tc>
          <w:tcPr>
            <w:tcW w:w="1454" w:type="dxa"/>
          </w:tcPr>
          <w:p w14:paraId="72716551" w14:textId="77777777" w:rsidR="00B4682A" w:rsidRPr="00E11FFB" w:rsidRDefault="00B4682A" w:rsidP="00B4682A">
            <w:pPr>
              <w:spacing w:after="5"/>
              <w:rPr>
                <w:rFonts w:ascii="Avenir" w:eastAsia="Avenir" w:hAnsi="Avenir" w:cs="Avenir"/>
                <w:color w:val="000000"/>
                <w:sz w:val="16"/>
                <w:szCs w:val="16"/>
              </w:rPr>
            </w:pPr>
          </w:p>
        </w:tc>
        <w:tc>
          <w:tcPr>
            <w:tcW w:w="1440" w:type="dxa"/>
          </w:tcPr>
          <w:p w14:paraId="0348CABE" w14:textId="77777777" w:rsidR="00B4682A" w:rsidRPr="00E11FFB" w:rsidRDefault="00B4682A" w:rsidP="00B4682A">
            <w:pPr>
              <w:spacing w:after="5"/>
              <w:rPr>
                <w:rFonts w:ascii="Avenir" w:eastAsia="Avenir" w:hAnsi="Avenir" w:cs="Avenir"/>
                <w:color w:val="000000"/>
                <w:sz w:val="16"/>
                <w:szCs w:val="16"/>
              </w:rPr>
            </w:pPr>
          </w:p>
        </w:tc>
      </w:tr>
      <w:tr w:rsidR="00B4682A" w:rsidRPr="00E11FFB" w14:paraId="0F16D939" w14:textId="77777777" w:rsidTr="003A6DE1">
        <w:trPr>
          <w:trHeight w:val="318"/>
          <w:jc w:val="center"/>
        </w:trPr>
        <w:tc>
          <w:tcPr>
            <w:tcW w:w="3408" w:type="dxa"/>
          </w:tcPr>
          <w:p w14:paraId="477CF0DE" w14:textId="77777777" w:rsidR="00B4682A" w:rsidRPr="00E11FFB" w:rsidRDefault="00B4682A" w:rsidP="00B4682A">
            <w:pPr>
              <w:rPr>
                <w:rFonts w:ascii="Avenir" w:eastAsia="Avenir" w:hAnsi="Avenir" w:cs="Avenir"/>
                <w:color w:val="000000"/>
                <w:sz w:val="16"/>
                <w:szCs w:val="16"/>
              </w:rPr>
            </w:pPr>
          </w:p>
        </w:tc>
        <w:tc>
          <w:tcPr>
            <w:tcW w:w="1987" w:type="dxa"/>
          </w:tcPr>
          <w:p w14:paraId="1F314FFD" w14:textId="0C239D67"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modifier les attitudes et pratiques.</w:t>
            </w:r>
          </w:p>
        </w:tc>
        <w:tc>
          <w:tcPr>
            <w:tcW w:w="1374" w:type="dxa"/>
            <w:shd w:val="clear" w:color="auto" w:fill="FFFFFF" w:themeFill="background1"/>
          </w:tcPr>
          <w:p w14:paraId="41D6607F" w14:textId="4E48C505" w:rsidR="00B4682A"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840BBD5" w14:textId="2245DE9D"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25 % de la population cible.</w:t>
            </w:r>
          </w:p>
        </w:tc>
        <w:tc>
          <w:tcPr>
            <w:tcW w:w="1084" w:type="dxa"/>
          </w:tcPr>
          <w:p w14:paraId="4672B019" w14:textId="2CECAF53" w:rsidR="00B4682A" w:rsidRPr="00E11FFB" w:rsidRDefault="00BD0E0F"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417</w:t>
            </w:r>
          </w:p>
        </w:tc>
        <w:tc>
          <w:tcPr>
            <w:tcW w:w="959" w:type="dxa"/>
          </w:tcPr>
          <w:p w14:paraId="38DA8121" w14:textId="77777777" w:rsidR="00B4682A" w:rsidRPr="00E11FFB" w:rsidRDefault="00B4682A" w:rsidP="00B4682A">
            <w:pPr>
              <w:rPr>
                <w:rFonts w:ascii="Avenir" w:eastAsia="Avenir" w:hAnsi="Avenir" w:cs="Avenir"/>
                <w:color w:val="000000"/>
                <w:sz w:val="16"/>
                <w:szCs w:val="16"/>
              </w:rPr>
            </w:pPr>
          </w:p>
        </w:tc>
        <w:tc>
          <w:tcPr>
            <w:tcW w:w="1067" w:type="dxa"/>
          </w:tcPr>
          <w:p w14:paraId="3198A4DB" w14:textId="04C82CBF"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75 % de la population cible.</w:t>
            </w:r>
          </w:p>
        </w:tc>
        <w:tc>
          <w:tcPr>
            <w:tcW w:w="794" w:type="dxa"/>
          </w:tcPr>
          <w:p w14:paraId="47F9458B" w14:textId="77777777" w:rsidR="00B4682A" w:rsidRPr="00E11FFB" w:rsidRDefault="00B4682A" w:rsidP="00B4682A">
            <w:pPr>
              <w:rPr>
                <w:rFonts w:ascii="Avenir" w:eastAsia="Avenir" w:hAnsi="Avenir" w:cs="Avenir"/>
                <w:color w:val="000000"/>
                <w:sz w:val="16"/>
                <w:szCs w:val="16"/>
              </w:rPr>
            </w:pPr>
          </w:p>
        </w:tc>
        <w:tc>
          <w:tcPr>
            <w:tcW w:w="1454" w:type="dxa"/>
          </w:tcPr>
          <w:p w14:paraId="40EDB31F" w14:textId="77777777" w:rsidR="00B4682A" w:rsidRPr="00E11FFB" w:rsidRDefault="00B4682A" w:rsidP="00B4682A">
            <w:pPr>
              <w:spacing w:after="5"/>
              <w:rPr>
                <w:rFonts w:ascii="Avenir" w:eastAsia="Avenir" w:hAnsi="Avenir" w:cs="Avenir"/>
                <w:color w:val="000000"/>
                <w:sz w:val="16"/>
                <w:szCs w:val="16"/>
              </w:rPr>
            </w:pPr>
          </w:p>
        </w:tc>
        <w:tc>
          <w:tcPr>
            <w:tcW w:w="1440" w:type="dxa"/>
          </w:tcPr>
          <w:p w14:paraId="79FD8CFE" w14:textId="77777777" w:rsidR="00B4682A" w:rsidRPr="00E11FFB" w:rsidRDefault="00B4682A" w:rsidP="00B4682A">
            <w:pPr>
              <w:spacing w:after="5"/>
              <w:rPr>
                <w:rFonts w:ascii="Avenir" w:eastAsia="Avenir" w:hAnsi="Avenir" w:cs="Avenir"/>
                <w:color w:val="000000"/>
                <w:sz w:val="16"/>
                <w:szCs w:val="16"/>
              </w:rPr>
            </w:pPr>
          </w:p>
        </w:tc>
      </w:tr>
      <w:tr w:rsidR="00B4682A" w:rsidRPr="00E11FFB" w14:paraId="16D47178" w14:textId="77777777" w:rsidTr="003A6DE1">
        <w:trPr>
          <w:trHeight w:val="318"/>
          <w:jc w:val="center"/>
        </w:trPr>
        <w:tc>
          <w:tcPr>
            <w:tcW w:w="3408" w:type="dxa"/>
          </w:tcPr>
          <w:p w14:paraId="236EF3BF" w14:textId="77777777" w:rsidR="00B4682A" w:rsidRPr="00E11FFB" w:rsidRDefault="00B4682A" w:rsidP="00B4682A">
            <w:pPr>
              <w:rPr>
                <w:rFonts w:ascii="Avenir" w:eastAsia="Avenir" w:hAnsi="Avenir" w:cs="Avenir"/>
                <w:color w:val="000000"/>
                <w:sz w:val="16"/>
                <w:szCs w:val="16"/>
              </w:rPr>
            </w:pPr>
          </w:p>
        </w:tc>
        <w:tc>
          <w:tcPr>
            <w:tcW w:w="1987" w:type="dxa"/>
          </w:tcPr>
          <w:p w14:paraId="7289AEFD" w14:textId="3E8235B7"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Pourcentage de campagnes utilisant des outils pour cibler spécifiquement les minorités et groupes vulnérables.</w:t>
            </w:r>
          </w:p>
        </w:tc>
        <w:tc>
          <w:tcPr>
            <w:tcW w:w="1374" w:type="dxa"/>
            <w:shd w:val="clear" w:color="auto" w:fill="FFFFFF" w:themeFill="background1"/>
          </w:tcPr>
          <w:p w14:paraId="270B207D" w14:textId="00441A43" w:rsidR="00B4682A" w:rsidRPr="00E11FFB" w:rsidRDefault="00623CAE" w:rsidP="00B4682A">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70EA298F" w14:textId="77777777"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50 % des campagnes.</w:t>
            </w:r>
          </w:p>
        </w:tc>
        <w:tc>
          <w:tcPr>
            <w:tcW w:w="1084" w:type="dxa"/>
          </w:tcPr>
          <w:p w14:paraId="62493E18" w14:textId="4F498E5E" w:rsidR="00B4682A" w:rsidRPr="00E11FFB" w:rsidRDefault="00BD0E0F"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50% des campagnes</w:t>
            </w:r>
          </w:p>
        </w:tc>
        <w:tc>
          <w:tcPr>
            <w:tcW w:w="959" w:type="dxa"/>
          </w:tcPr>
          <w:p w14:paraId="2EE01555" w14:textId="77777777" w:rsidR="00B4682A" w:rsidRPr="00E11FFB" w:rsidRDefault="00B4682A" w:rsidP="00B4682A">
            <w:pPr>
              <w:rPr>
                <w:rFonts w:ascii="Avenir" w:eastAsia="Avenir" w:hAnsi="Avenir" w:cs="Avenir"/>
                <w:color w:val="000000"/>
                <w:sz w:val="16"/>
                <w:szCs w:val="16"/>
              </w:rPr>
            </w:pPr>
          </w:p>
        </w:tc>
        <w:tc>
          <w:tcPr>
            <w:tcW w:w="1067" w:type="dxa"/>
          </w:tcPr>
          <w:p w14:paraId="659F25F5" w14:textId="22D0A08C" w:rsidR="00B4682A" w:rsidRPr="00E11FFB" w:rsidRDefault="00B4682A" w:rsidP="00B4682A">
            <w:pPr>
              <w:rPr>
                <w:rFonts w:ascii="Avenir" w:eastAsia="Avenir" w:hAnsi="Avenir" w:cs="Avenir"/>
                <w:color w:val="000000"/>
                <w:sz w:val="16"/>
                <w:szCs w:val="16"/>
              </w:rPr>
            </w:pPr>
            <w:r w:rsidRPr="00E11FFB">
              <w:rPr>
                <w:rFonts w:ascii="Avenir" w:eastAsia="Avenir" w:hAnsi="Avenir" w:cs="Avenir"/>
                <w:color w:val="000000"/>
                <w:sz w:val="16"/>
                <w:szCs w:val="16"/>
              </w:rPr>
              <w:t>100 % des campagnes.</w:t>
            </w:r>
          </w:p>
        </w:tc>
        <w:tc>
          <w:tcPr>
            <w:tcW w:w="794" w:type="dxa"/>
          </w:tcPr>
          <w:p w14:paraId="25801E2B" w14:textId="77777777" w:rsidR="00B4682A" w:rsidRPr="00E11FFB" w:rsidRDefault="00B4682A" w:rsidP="00B4682A">
            <w:pPr>
              <w:rPr>
                <w:rFonts w:ascii="Avenir" w:eastAsia="Avenir" w:hAnsi="Avenir" w:cs="Avenir"/>
                <w:color w:val="000000"/>
                <w:sz w:val="16"/>
                <w:szCs w:val="16"/>
              </w:rPr>
            </w:pPr>
          </w:p>
        </w:tc>
        <w:tc>
          <w:tcPr>
            <w:tcW w:w="1454" w:type="dxa"/>
          </w:tcPr>
          <w:p w14:paraId="3F121C41" w14:textId="77777777" w:rsidR="00B4682A" w:rsidRPr="00E11FFB" w:rsidRDefault="00B4682A" w:rsidP="00B4682A">
            <w:pPr>
              <w:spacing w:after="5"/>
              <w:rPr>
                <w:rFonts w:ascii="Avenir" w:eastAsia="Avenir" w:hAnsi="Avenir" w:cs="Avenir"/>
                <w:color w:val="000000"/>
                <w:sz w:val="16"/>
                <w:szCs w:val="16"/>
              </w:rPr>
            </w:pPr>
          </w:p>
        </w:tc>
        <w:tc>
          <w:tcPr>
            <w:tcW w:w="1440" w:type="dxa"/>
          </w:tcPr>
          <w:p w14:paraId="34D2D224" w14:textId="77777777" w:rsidR="00B4682A" w:rsidRPr="00E11FFB" w:rsidRDefault="00B4682A" w:rsidP="00B4682A">
            <w:pPr>
              <w:spacing w:after="5"/>
              <w:rPr>
                <w:rFonts w:ascii="Avenir" w:eastAsia="Avenir" w:hAnsi="Avenir" w:cs="Avenir"/>
                <w:color w:val="000000"/>
                <w:sz w:val="16"/>
                <w:szCs w:val="16"/>
              </w:rPr>
            </w:pPr>
          </w:p>
        </w:tc>
      </w:tr>
    </w:tbl>
    <w:p w14:paraId="1D8A026B" w14:textId="77777777" w:rsidR="008D2FF7" w:rsidRPr="00E11FFB" w:rsidRDefault="008D2FF7" w:rsidP="00291F47">
      <w:pPr>
        <w:keepNext/>
        <w:spacing w:line="271" w:lineRule="auto"/>
        <w:ind w:left="-3" w:right="35" w:firstLine="10"/>
        <w:jc w:val="both"/>
        <w:rPr>
          <w:rFonts w:ascii="Avenir" w:eastAsia="Avenir" w:hAnsi="Avenir" w:cs="Avenir"/>
          <w:b/>
          <w:bCs/>
          <w:iCs/>
          <w:color w:val="000000"/>
          <w:sz w:val="20"/>
          <w:szCs w:val="20"/>
          <w:u w:val="single"/>
        </w:rPr>
      </w:pPr>
    </w:p>
    <w:p w14:paraId="7BF454EE" w14:textId="62F3FE07" w:rsidR="00291F47" w:rsidRPr="00E11FFB" w:rsidRDefault="00291F47" w:rsidP="00291F47">
      <w:pPr>
        <w:keepNext/>
        <w:spacing w:line="271" w:lineRule="auto"/>
        <w:ind w:left="-3" w:right="35" w:firstLine="10"/>
        <w:jc w:val="both"/>
        <w:rPr>
          <w:rFonts w:ascii="Avenir" w:eastAsia="Avenir" w:hAnsi="Avenir" w:cs="Avenir"/>
          <w:b/>
          <w:bCs/>
          <w:iCs/>
          <w:color w:val="000000"/>
          <w:sz w:val="20"/>
          <w:szCs w:val="20"/>
          <w:u w:val="single"/>
        </w:rPr>
      </w:pPr>
      <w:r w:rsidRPr="00E11FFB">
        <w:rPr>
          <w:rFonts w:ascii="Avenir" w:eastAsia="Avenir" w:hAnsi="Avenir" w:cs="Avenir"/>
          <w:b/>
          <w:bCs/>
          <w:iCs/>
          <w:color w:val="000000"/>
          <w:sz w:val="20"/>
          <w:szCs w:val="20"/>
          <w:u w:val="single"/>
        </w:rPr>
        <w:t xml:space="preserve">Tableau évaluation de la performance secteur Forêt </w:t>
      </w:r>
      <w:r w:rsidR="0048260B">
        <w:rPr>
          <w:rFonts w:ascii="Avenir" w:eastAsia="Avenir" w:hAnsi="Avenir" w:cs="Avenir"/>
          <w:b/>
          <w:bCs/>
          <w:iCs/>
          <w:color w:val="000000"/>
          <w:sz w:val="20"/>
          <w:szCs w:val="20"/>
          <w:u w:val="single"/>
        </w:rPr>
        <w:t>(Effet 3)</w:t>
      </w:r>
    </w:p>
    <w:p w14:paraId="676B2C57" w14:textId="4D050FD2" w:rsidR="00291F47" w:rsidRPr="00E11FFB" w:rsidRDefault="00291F47" w:rsidP="00291F47">
      <w:pPr>
        <w:tabs>
          <w:tab w:val="left" w:pos="5475"/>
        </w:tabs>
        <w:spacing w:after="5"/>
        <w:ind w:right="28"/>
        <w:jc w:val="both"/>
        <w:rPr>
          <w:rFonts w:ascii="Avenir" w:eastAsia="Avenir" w:hAnsi="Avenir" w:cs="Avenir"/>
          <w:color w:val="000000"/>
        </w:rPr>
      </w:pP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08"/>
        <w:gridCol w:w="1987"/>
        <w:gridCol w:w="1374"/>
        <w:gridCol w:w="1070"/>
        <w:gridCol w:w="1084"/>
        <w:gridCol w:w="959"/>
        <w:gridCol w:w="913"/>
        <w:gridCol w:w="948"/>
        <w:gridCol w:w="1454"/>
        <w:gridCol w:w="1648"/>
      </w:tblGrid>
      <w:tr w:rsidR="00291F47" w:rsidRPr="00E11FFB" w14:paraId="7F4E06FC" w14:textId="77777777" w:rsidTr="008D2FF7">
        <w:trPr>
          <w:trHeight w:val="966"/>
          <w:tblHeader/>
          <w:jc w:val="center"/>
        </w:trPr>
        <w:tc>
          <w:tcPr>
            <w:tcW w:w="3408" w:type="dxa"/>
            <w:shd w:val="clear" w:color="auto" w:fill="DDEBF7"/>
          </w:tcPr>
          <w:p w14:paraId="1590E571" w14:textId="77777777" w:rsidR="00291F47" w:rsidRPr="00E11FFB" w:rsidRDefault="00291F47" w:rsidP="003A6DE1">
            <w:pPr>
              <w:rPr>
                <w:rFonts w:ascii="Avenir" w:eastAsia="Avenir" w:hAnsi="Avenir" w:cs="Avenir"/>
                <w:b/>
                <w:bCs/>
                <w:color w:val="000000"/>
                <w:sz w:val="16"/>
                <w:szCs w:val="16"/>
              </w:rPr>
            </w:pPr>
            <w:r w:rsidRPr="00E11FFB">
              <w:rPr>
                <w:rFonts w:ascii="Avenir" w:eastAsia="Avenir" w:hAnsi="Avenir" w:cs="Avenir"/>
                <w:b/>
                <w:bCs/>
                <w:color w:val="000000" w:themeColor="text1"/>
                <w:sz w:val="16"/>
                <w:szCs w:val="16"/>
              </w:rPr>
              <w:t>Produits</w:t>
            </w:r>
          </w:p>
        </w:tc>
        <w:tc>
          <w:tcPr>
            <w:tcW w:w="1987" w:type="dxa"/>
            <w:shd w:val="clear" w:color="auto" w:fill="DDEBF7"/>
          </w:tcPr>
          <w:p w14:paraId="72BEDFBD" w14:textId="77777777" w:rsidR="00291F47" w:rsidRPr="00E11FFB" w:rsidRDefault="00291F47" w:rsidP="003A6DE1">
            <w:pPr>
              <w:rPr>
                <w:rFonts w:ascii="Avenir" w:eastAsia="Avenir" w:hAnsi="Avenir" w:cs="Avenir"/>
                <w:color w:val="000000"/>
                <w:sz w:val="16"/>
                <w:szCs w:val="16"/>
              </w:rPr>
            </w:pPr>
            <w:r w:rsidRPr="00E11FFB">
              <w:rPr>
                <w:rFonts w:ascii="Avenir" w:eastAsia="Avenir" w:hAnsi="Avenir" w:cs="Avenir"/>
                <w:color w:val="000000"/>
                <w:sz w:val="16"/>
                <w:szCs w:val="16"/>
              </w:rPr>
              <w:t>Indicateurs</w:t>
            </w:r>
          </w:p>
        </w:tc>
        <w:tc>
          <w:tcPr>
            <w:tcW w:w="1374" w:type="dxa"/>
            <w:shd w:val="clear" w:color="auto" w:fill="E3F1ED"/>
          </w:tcPr>
          <w:p w14:paraId="1F9A3EA3" w14:textId="77777777" w:rsidR="00291F47" w:rsidRPr="00E11FFB" w:rsidRDefault="00291F47"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Ligne de base </w:t>
            </w:r>
            <w:r w:rsidRPr="00E11FFB">
              <w:rPr>
                <w:rFonts w:ascii="Avenir" w:eastAsia="Avenir" w:hAnsi="Avenir" w:cs="Avenir"/>
                <w:i/>
                <w:color w:val="000000"/>
                <w:sz w:val="20"/>
                <w:szCs w:val="20"/>
                <w:vertAlign w:val="superscript"/>
              </w:rPr>
              <w:footnoteReference w:id="13"/>
            </w:r>
          </w:p>
          <w:p w14:paraId="7B61B91F" w14:textId="77777777" w:rsidR="00291F47" w:rsidRPr="00E11FFB" w:rsidRDefault="00291F47" w:rsidP="003A6DE1">
            <w:pPr>
              <w:rPr>
                <w:rFonts w:ascii="Avenir" w:eastAsia="Avenir" w:hAnsi="Avenir" w:cs="Avenir"/>
                <w:color w:val="000000"/>
                <w:sz w:val="16"/>
                <w:szCs w:val="16"/>
              </w:rPr>
            </w:pPr>
          </w:p>
        </w:tc>
        <w:tc>
          <w:tcPr>
            <w:tcW w:w="1070" w:type="dxa"/>
            <w:shd w:val="clear" w:color="auto" w:fill="E3F1ED"/>
          </w:tcPr>
          <w:p w14:paraId="6F07C628" w14:textId="2AD7D85D" w:rsidR="00291F47" w:rsidRPr="00E11FFB" w:rsidRDefault="00291F47" w:rsidP="003A6DE1">
            <w:pPr>
              <w:spacing w:after="5" w:line="271" w:lineRule="auto"/>
              <w:rPr>
                <w:rFonts w:ascii="Avenir" w:eastAsia="Avenir" w:hAnsi="Avenir" w:cs="Avenir"/>
                <w:color w:val="000000"/>
                <w:sz w:val="16"/>
                <w:szCs w:val="16"/>
              </w:rPr>
            </w:pPr>
            <w:r w:rsidRPr="00E11FFB">
              <w:rPr>
                <w:rFonts w:ascii="Avenir" w:eastAsia="Avenir" w:hAnsi="Avenir" w:cs="Avenir"/>
                <w:color w:val="000000" w:themeColor="text1"/>
                <w:sz w:val="16"/>
                <w:szCs w:val="16"/>
              </w:rPr>
              <w:t>Cible visée pour la période de rapportage (non cumulative)</w:t>
            </w:r>
          </w:p>
        </w:tc>
        <w:tc>
          <w:tcPr>
            <w:tcW w:w="1084" w:type="dxa"/>
            <w:shd w:val="clear" w:color="auto" w:fill="E3F1ED"/>
          </w:tcPr>
          <w:p w14:paraId="1849DBF4" w14:textId="0E77C97E" w:rsidR="00291F47" w:rsidRPr="00E11FFB" w:rsidRDefault="00291F47" w:rsidP="003A6DE1">
            <w:pPr>
              <w:rPr>
                <w:rFonts w:ascii="Avenir" w:eastAsia="Avenir" w:hAnsi="Avenir" w:cs="Avenir"/>
                <w:color w:val="000000"/>
                <w:sz w:val="16"/>
                <w:szCs w:val="16"/>
              </w:rPr>
            </w:pPr>
            <w:r w:rsidRPr="00E11FFB">
              <w:rPr>
                <w:rFonts w:ascii="Avenir" w:eastAsia="Avenir" w:hAnsi="Avenir" w:cs="Avenir"/>
                <w:color w:val="000000" w:themeColor="text1"/>
                <w:sz w:val="16"/>
                <w:szCs w:val="16"/>
              </w:rPr>
              <w:t xml:space="preserve">Valeur atteinte pour la période de rapportage (non </w:t>
            </w:r>
            <w:r w:rsidR="00225DAB" w:rsidRPr="00E11FFB">
              <w:rPr>
                <w:rFonts w:ascii="Avenir" w:eastAsia="Avenir" w:hAnsi="Avenir" w:cs="Avenir"/>
                <w:color w:val="000000" w:themeColor="text1"/>
                <w:sz w:val="16"/>
                <w:szCs w:val="16"/>
              </w:rPr>
              <w:t>cumulative</w:t>
            </w:r>
            <w:r w:rsidRPr="00E11FFB">
              <w:rPr>
                <w:rFonts w:ascii="Avenir" w:eastAsia="Avenir" w:hAnsi="Avenir" w:cs="Avenir"/>
                <w:color w:val="000000" w:themeColor="text1"/>
                <w:sz w:val="16"/>
                <w:szCs w:val="16"/>
              </w:rPr>
              <w:t>)</w:t>
            </w:r>
          </w:p>
        </w:tc>
        <w:tc>
          <w:tcPr>
            <w:tcW w:w="959" w:type="dxa"/>
            <w:shd w:val="clear" w:color="auto" w:fill="E3F1ED"/>
          </w:tcPr>
          <w:p w14:paraId="6487D703" w14:textId="77777777" w:rsidR="00291F47" w:rsidRPr="00E11FFB" w:rsidRDefault="00291F47"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Valeur actuelle (en cumulatif)</w:t>
            </w:r>
            <w:r w:rsidRPr="00E11FFB">
              <w:rPr>
                <w:rFonts w:ascii="Avenir" w:eastAsia="Avenir" w:hAnsi="Avenir" w:cs="Avenir"/>
                <w:i/>
                <w:color w:val="000000"/>
                <w:sz w:val="20"/>
                <w:szCs w:val="20"/>
                <w:vertAlign w:val="superscript"/>
              </w:rPr>
              <w:footnoteReference w:id="14"/>
            </w:r>
            <w:r w:rsidRPr="00E11FFB">
              <w:rPr>
                <w:rFonts w:ascii="Avenir" w:eastAsia="Avenir" w:hAnsi="Avenir" w:cs="Avenir"/>
                <w:color w:val="000000"/>
                <w:sz w:val="16"/>
                <w:szCs w:val="16"/>
              </w:rPr>
              <w:t xml:space="preserve"> </w:t>
            </w:r>
          </w:p>
        </w:tc>
        <w:tc>
          <w:tcPr>
            <w:tcW w:w="913" w:type="dxa"/>
            <w:shd w:val="clear" w:color="auto" w:fill="E3F1ED"/>
          </w:tcPr>
          <w:p w14:paraId="4A5070D8" w14:textId="77777777" w:rsidR="00291F47" w:rsidRPr="00E11FFB" w:rsidRDefault="00291F47"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Cible finale dans le prodoc</w:t>
            </w:r>
            <w:r w:rsidRPr="00E11FFB">
              <w:rPr>
                <w:rFonts w:ascii="Avenir" w:eastAsia="Avenir" w:hAnsi="Avenir" w:cs="Avenir"/>
                <w:i/>
                <w:color w:val="000000"/>
                <w:sz w:val="20"/>
                <w:szCs w:val="20"/>
                <w:vertAlign w:val="superscript"/>
              </w:rPr>
              <w:footnoteReference w:id="15"/>
            </w:r>
          </w:p>
        </w:tc>
        <w:tc>
          <w:tcPr>
            <w:tcW w:w="948" w:type="dxa"/>
            <w:shd w:val="clear" w:color="auto" w:fill="E3F1ED"/>
          </w:tcPr>
          <w:p w14:paraId="0B05F7BF" w14:textId="77777777" w:rsidR="00291F47" w:rsidRPr="00E11FFB" w:rsidRDefault="00291F47"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Cible finale révisée le cas échéant </w:t>
            </w:r>
          </w:p>
        </w:tc>
        <w:tc>
          <w:tcPr>
            <w:tcW w:w="1454" w:type="dxa"/>
            <w:shd w:val="clear" w:color="auto" w:fill="E7E6E6"/>
          </w:tcPr>
          <w:p w14:paraId="7EFE15BA" w14:textId="77777777" w:rsidR="00291F47" w:rsidRPr="00E11FFB" w:rsidRDefault="00291F47"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Hyperlien et numéro de la décision d’approbation de la révision de la cible le cas échéant</w:t>
            </w:r>
          </w:p>
        </w:tc>
        <w:tc>
          <w:tcPr>
            <w:tcW w:w="1648" w:type="dxa"/>
            <w:shd w:val="clear" w:color="auto" w:fill="E7E6E6"/>
          </w:tcPr>
          <w:p w14:paraId="74947B60" w14:textId="77777777" w:rsidR="00291F47" w:rsidRPr="00E11FFB" w:rsidRDefault="00291F47"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Commentaires</w:t>
            </w:r>
            <w:r w:rsidRPr="00E11FFB">
              <w:rPr>
                <w:rFonts w:ascii="Avenir" w:eastAsia="Avenir" w:hAnsi="Avenir" w:cs="Avenir"/>
                <w:i/>
                <w:color w:val="000000"/>
                <w:sz w:val="20"/>
                <w:szCs w:val="20"/>
                <w:vertAlign w:val="superscript"/>
              </w:rPr>
              <w:footnoteReference w:id="16"/>
            </w:r>
          </w:p>
        </w:tc>
      </w:tr>
      <w:tr w:rsidR="00291F47" w:rsidRPr="00E11FFB" w14:paraId="0D35B492" w14:textId="77777777" w:rsidTr="008D2FF7">
        <w:trPr>
          <w:trHeight w:val="859"/>
          <w:jc w:val="center"/>
        </w:trPr>
        <w:tc>
          <w:tcPr>
            <w:tcW w:w="3408" w:type="dxa"/>
          </w:tcPr>
          <w:p w14:paraId="6F6EEE26" w14:textId="3C3462D4" w:rsidR="00291F47" w:rsidRPr="00E11FFB" w:rsidRDefault="00291F47"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Produit 3.1 (jalons 4 f) : Définir d’ici 2025, au travers d’un processus participatif et multisectoriel les concepts de « forêts de grande valeur </w:t>
            </w:r>
            <w:r w:rsidRPr="0045268D">
              <w:rPr>
                <w:rFonts w:ascii="Avenir" w:eastAsia="Avenir" w:hAnsi="Avenir" w:cs="Avenir"/>
                <w:color w:val="000000"/>
                <w:sz w:val="16"/>
                <w:szCs w:val="16"/>
              </w:rPr>
              <w:t>» et de « tourbières »</w:t>
            </w:r>
          </w:p>
        </w:tc>
        <w:tc>
          <w:tcPr>
            <w:tcW w:w="1987" w:type="dxa"/>
          </w:tcPr>
          <w:p w14:paraId="0DB32AB5" w14:textId="04E64D3F" w:rsidR="00291F47" w:rsidRPr="00E11FFB" w:rsidRDefault="00741C46" w:rsidP="003A6DE1">
            <w:pPr>
              <w:rPr>
                <w:rFonts w:ascii="Avenir" w:eastAsia="Avenir" w:hAnsi="Avenir" w:cs="Avenir"/>
                <w:color w:val="000000"/>
                <w:sz w:val="16"/>
                <w:szCs w:val="16"/>
              </w:rPr>
            </w:pPr>
            <w:r w:rsidRPr="00E11FFB">
              <w:rPr>
                <w:rFonts w:ascii="Avenir" w:eastAsia="Avenir" w:hAnsi="Avenir" w:cs="Avenir"/>
                <w:color w:val="000000"/>
                <w:sz w:val="16"/>
                <w:szCs w:val="16"/>
              </w:rPr>
              <w:t>Nombre de concepts définis au travers d’un processus participatif et multisectoriel</w:t>
            </w:r>
          </w:p>
        </w:tc>
        <w:tc>
          <w:tcPr>
            <w:tcW w:w="1374" w:type="dxa"/>
            <w:shd w:val="clear" w:color="auto" w:fill="FFFFFF" w:themeFill="background1"/>
          </w:tcPr>
          <w:p w14:paraId="2D7A21D2" w14:textId="77777777" w:rsidR="00291F47" w:rsidRPr="00E11FFB" w:rsidRDefault="00291F47"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41703461" w14:textId="5D67B3D5" w:rsidR="00291F47" w:rsidRPr="00E11FFB" w:rsidRDefault="00961800" w:rsidP="003A6DE1">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1084" w:type="dxa"/>
          </w:tcPr>
          <w:p w14:paraId="089644D5" w14:textId="6E6AEBFC" w:rsidR="00291F47" w:rsidRPr="00E11FFB" w:rsidRDefault="00225DAB" w:rsidP="003A6DE1">
            <w:pP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959" w:type="dxa"/>
          </w:tcPr>
          <w:p w14:paraId="07DB5FD2" w14:textId="77777777" w:rsidR="00291F47" w:rsidRPr="00E11FFB" w:rsidRDefault="00291F47" w:rsidP="003A6DE1">
            <w:pPr>
              <w:rPr>
                <w:rFonts w:ascii="Avenir" w:eastAsia="Avenir" w:hAnsi="Avenir" w:cs="Avenir"/>
                <w:color w:val="000000"/>
                <w:sz w:val="16"/>
                <w:szCs w:val="16"/>
              </w:rPr>
            </w:pPr>
          </w:p>
        </w:tc>
        <w:tc>
          <w:tcPr>
            <w:tcW w:w="913" w:type="dxa"/>
          </w:tcPr>
          <w:p w14:paraId="05F7B6DC" w14:textId="202B573B" w:rsidR="00291F47" w:rsidRPr="00E11FFB" w:rsidRDefault="00961800" w:rsidP="003A6DE1">
            <w:pPr>
              <w:rPr>
                <w:rFonts w:ascii="Avenir" w:eastAsia="Avenir" w:hAnsi="Avenir" w:cs="Avenir"/>
                <w:color w:val="000000"/>
                <w:sz w:val="16"/>
                <w:szCs w:val="16"/>
              </w:rPr>
            </w:pPr>
            <w:r w:rsidRPr="00E11FFB">
              <w:rPr>
                <w:rFonts w:ascii="Avenir" w:eastAsia="Avenir" w:hAnsi="Avenir" w:cs="Avenir"/>
                <w:color w:val="000000"/>
                <w:sz w:val="16"/>
                <w:szCs w:val="16"/>
              </w:rPr>
              <w:t>2 concepts (forêts de grande valeur et tourbières) définis.</w:t>
            </w:r>
          </w:p>
        </w:tc>
        <w:tc>
          <w:tcPr>
            <w:tcW w:w="948" w:type="dxa"/>
          </w:tcPr>
          <w:p w14:paraId="0B2ED8E9" w14:textId="77777777" w:rsidR="00291F47" w:rsidRPr="00E11FFB" w:rsidRDefault="00291F47" w:rsidP="003A6DE1">
            <w:pPr>
              <w:rPr>
                <w:rFonts w:ascii="Avenir" w:eastAsia="Avenir" w:hAnsi="Avenir" w:cs="Avenir"/>
                <w:color w:val="000000"/>
                <w:sz w:val="16"/>
                <w:szCs w:val="16"/>
              </w:rPr>
            </w:pPr>
          </w:p>
        </w:tc>
        <w:tc>
          <w:tcPr>
            <w:tcW w:w="1454" w:type="dxa"/>
          </w:tcPr>
          <w:p w14:paraId="1F4424F5" w14:textId="77777777" w:rsidR="00291F47" w:rsidRPr="00E11FFB" w:rsidRDefault="00291F47" w:rsidP="003A6DE1">
            <w:pPr>
              <w:spacing w:after="5"/>
              <w:rPr>
                <w:rFonts w:ascii="Avenir" w:eastAsia="Avenir" w:hAnsi="Avenir" w:cs="Avenir"/>
                <w:color w:val="000000"/>
                <w:sz w:val="16"/>
                <w:szCs w:val="16"/>
              </w:rPr>
            </w:pPr>
          </w:p>
        </w:tc>
        <w:tc>
          <w:tcPr>
            <w:tcW w:w="1648" w:type="dxa"/>
          </w:tcPr>
          <w:p w14:paraId="144A9B54" w14:textId="76634AD3" w:rsidR="00291F47" w:rsidRPr="00E11FFB" w:rsidRDefault="0045268D" w:rsidP="003A6DE1">
            <w:pPr>
              <w:spacing w:after="5"/>
              <w:rPr>
                <w:rFonts w:ascii="Avenir" w:eastAsia="Avenir" w:hAnsi="Avenir" w:cs="Avenir"/>
                <w:color w:val="000000"/>
                <w:sz w:val="16"/>
                <w:szCs w:val="16"/>
              </w:rPr>
            </w:pPr>
            <w:r>
              <w:rPr>
                <w:rFonts w:ascii="Avenir" w:eastAsia="Avenir" w:hAnsi="Avenir" w:cs="Avenir"/>
                <w:color w:val="000000"/>
                <w:sz w:val="16"/>
                <w:szCs w:val="16"/>
              </w:rPr>
              <w:t>Concepts développés avec l’appui de PGDF et en cours de validation technique après consultations provinciales par PAAJ</w:t>
            </w:r>
          </w:p>
        </w:tc>
      </w:tr>
      <w:tr w:rsidR="00AA3AC2" w:rsidRPr="00E11FFB" w14:paraId="641EA314" w14:textId="77777777" w:rsidTr="008D2FF7">
        <w:trPr>
          <w:trHeight w:val="318"/>
          <w:jc w:val="center"/>
        </w:trPr>
        <w:tc>
          <w:tcPr>
            <w:tcW w:w="3408" w:type="dxa"/>
            <w:vMerge w:val="restart"/>
          </w:tcPr>
          <w:p w14:paraId="35B98FBD" w14:textId="5F232C73" w:rsidR="00AA3AC2" w:rsidRPr="00E11FFB" w:rsidRDefault="00AA3AC2" w:rsidP="003D6C76">
            <w:pPr>
              <w:rPr>
                <w:rFonts w:ascii="Avenir" w:eastAsia="Avenir" w:hAnsi="Avenir" w:cs="Avenir"/>
                <w:color w:val="000000"/>
                <w:sz w:val="16"/>
                <w:szCs w:val="16"/>
              </w:rPr>
            </w:pPr>
            <w:r w:rsidRPr="00E11FFB">
              <w:rPr>
                <w:rFonts w:ascii="Avenir" w:eastAsia="Avenir" w:hAnsi="Avenir" w:cs="Avenir"/>
                <w:color w:val="000000"/>
                <w:sz w:val="16"/>
                <w:szCs w:val="16"/>
              </w:rPr>
              <w:t>Produit 3.2 (jalon 4 i) : Une revue légale des titres de concessions forestières de conservation est finalisée d’ici [fin 2024].</w:t>
            </w:r>
          </w:p>
        </w:tc>
        <w:tc>
          <w:tcPr>
            <w:tcW w:w="1987" w:type="dxa"/>
          </w:tcPr>
          <w:p w14:paraId="2ACC0DD1" w14:textId="0E0F3A4B" w:rsidR="00AA3AC2" w:rsidRPr="00E11FFB" w:rsidRDefault="00AA3AC2" w:rsidP="003D6C76">
            <w:pPr>
              <w:rPr>
                <w:rFonts w:ascii="Avenir" w:eastAsia="Avenir" w:hAnsi="Avenir" w:cs="Avenir"/>
                <w:color w:val="000000"/>
                <w:sz w:val="16"/>
                <w:szCs w:val="16"/>
              </w:rPr>
            </w:pPr>
            <w:r w:rsidRPr="00E11FFB">
              <w:rPr>
                <w:rFonts w:ascii="Avenir" w:eastAsia="Avenir" w:hAnsi="Avenir" w:cs="Avenir"/>
                <w:color w:val="000000"/>
                <w:sz w:val="16"/>
                <w:szCs w:val="16"/>
              </w:rPr>
              <w:t xml:space="preserve">Nombre de concessions forestières de conservation légales publiées et illégales résiliés </w:t>
            </w:r>
          </w:p>
        </w:tc>
        <w:tc>
          <w:tcPr>
            <w:tcW w:w="1374" w:type="dxa"/>
            <w:shd w:val="clear" w:color="auto" w:fill="FFFFFF" w:themeFill="background1"/>
          </w:tcPr>
          <w:p w14:paraId="713AE1B1" w14:textId="6BE81C88" w:rsidR="00AA3AC2" w:rsidRPr="00E11FFB" w:rsidRDefault="00BD0E0F" w:rsidP="003D6C76">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7AF12A2D" w14:textId="64274BFC" w:rsidR="00AA3AC2" w:rsidRPr="00E11FFB" w:rsidRDefault="00AA3AC2" w:rsidP="003D6C76">
            <w:pPr>
              <w:rPr>
                <w:rFonts w:ascii="Avenir" w:eastAsia="Avenir" w:hAnsi="Avenir" w:cs="Avenir"/>
                <w:color w:val="000000"/>
                <w:sz w:val="16"/>
                <w:szCs w:val="16"/>
              </w:rPr>
            </w:pPr>
            <w:r w:rsidRPr="00E11FFB">
              <w:rPr>
                <w:rFonts w:ascii="Avenir" w:eastAsia="Avenir" w:hAnsi="Avenir" w:cs="Avenir"/>
                <w:color w:val="000000"/>
                <w:sz w:val="14"/>
                <w:szCs w:val="14"/>
              </w:rPr>
              <w:t>Au moins 20 concessions forestières de conservation légales publiées et 20 résiliées</w:t>
            </w:r>
          </w:p>
        </w:tc>
        <w:tc>
          <w:tcPr>
            <w:tcW w:w="1084" w:type="dxa"/>
          </w:tcPr>
          <w:p w14:paraId="10EBE953" w14:textId="6CC8FAF0" w:rsidR="00AA3AC2" w:rsidRPr="00E11FFB" w:rsidRDefault="002A43B2" w:rsidP="003D6C76">
            <w:pPr>
              <w:rPr>
                <w:rFonts w:ascii="Avenir" w:eastAsia="Avenir" w:hAnsi="Avenir" w:cs="Avenir"/>
                <w:color w:val="000000"/>
                <w:sz w:val="16"/>
                <w:szCs w:val="16"/>
              </w:rPr>
            </w:pPr>
            <w:r w:rsidRPr="00E11FFB">
              <w:rPr>
                <w:rFonts w:ascii="Avenir" w:eastAsia="Avenir" w:hAnsi="Avenir" w:cs="Avenir"/>
                <w:color w:val="000000"/>
                <w:sz w:val="16"/>
                <w:szCs w:val="16"/>
              </w:rPr>
              <w:t>Liste provisoire de 80 concessions en attente de la revue légale</w:t>
            </w:r>
          </w:p>
        </w:tc>
        <w:tc>
          <w:tcPr>
            <w:tcW w:w="959" w:type="dxa"/>
          </w:tcPr>
          <w:p w14:paraId="4562DB0F" w14:textId="77777777" w:rsidR="00AA3AC2" w:rsidRPr="00E11FFB" w:rsidRDefault="00AA3AC2" w:rsidP="003D6C76">
            <w:pPr>
              <w:rPr>
                <w:rFonts w:ascii="Avenir" w:eastAsia="Avenir" w:hAnsi="Avenir" w:cs="Avenir"/>
                <w:color w:val="000000"/>
                <w:sz w:val="16"/>
                <w:szCs w:val="16"/>
              </w:rPr>
            </w:pPr>
          </w:p>
        </w:tc>
        <w:tc>
          <w:tcPr>
            <w:tcW w:w="913" w:type="dxa"/>
          </w:tcPr>
          <w:p w14:paraId="7C7ABA58" w14:textId="516E13AC" w:rsidR="00AA3AC2" w:rsidRPr="00E11FFB" w:rsidRDefault="00AA3AC2" w:rsidP="003D6C76">
            <w:pPr>
              <w:rPr>
                <w:rFonts w:ascii="Avenir" w:eastAsia="Avenir" w:hAnsi="Avenir" w:cs="Avenir"/>
                <w:color w:val="000000"/>
                <w:sz w:val="16"/>
                <w:szCs w:val="16"/>
              </w:rPr>
            </w:pPr>
            <w:r w:rsidRPr="00E11FFB">
              <w:rPr>
                <w:rFonts w:ascii="Avenir" w:eastAsia="Avenir" w:hAnsi="Avenir" w:cs="Avenir"/>
                <w:color w:val="000000"/>
                <w:sz w:val="14"/>
                <w:szCs w:val="14"/>
              </w:rPr>
              <w:t>Au moins 20 concessions forestières de conservation légales publiées et 20 résiliées</w:t>
            </w:r>
          </w:p>
        </w:tc>
        <w:tc>
          <w:tcPr>
            <w:tcW w:w="948" w:type="dxa"/>
          </w:tcPr>
          <w:p w14:paraId="0B4BB164" w14:textId="77777777" w:rsidR="00AA3AC2" w:rsidRPr="00E11FFB" w:rsidRDefault="00AA3AC2" w:rsidP="003D6C76">
            <w:pPr>
              <w:rPr>
                <w:rFonts w:ascii="Avenir" w:eastAsia="Avenir" w:hAnsi="Avenir" w:cs="Avenir"/>
                <w:color w:val="000000"/>
                <w:sz w:val="16"/>
                <w:szCs w:val="16"/>
              </w:rPr>
            </w:pPr>
          </w:p>
        </w:tc>
        <w:tc>
          <w:tcPr>
            <w:tcW w:w="1454" w:type="dxa"/>
          </w:tcPr>
          <w:p w14:paraId="71E100B3" w14:textId="77777777" w:rsidR="00AA3AC2" w:rsidRPr="00E11FFB" w:rsidRDefault="00AA3AC2" w:rsidP="003D6C76">
            <w:pPr>
              <w:spacing w:after="5"/>
              <w:rPr>
                <w:rFonts w:ascii="Avenir" w:eastAsia="Avenir" w:hAnsi="Avenir" w:cs="Avenir"/>
                <w:color w:val="000000"/>
                <w:sz w:val="16"/>
                <w:szCs w:val="16"/>
              </w:rPr>
            </w:pPr>
          </w:p>
        </w:tc>
        <w:tc>
          <w:tcPr>
            <w:tcW w:w="1648" w:type="dxa"/>
          </w:tcPr>
          <w:p w14:paraId="5FE4B5C8" w14:textId="77777777" w:rsidR="00AA3AC2" w:rsidRPr="00E11FFB" w:rsidRDefault="00AA3AC2" w:rsidP="003D6C76">
            <w:pPr>
              <w:spacing w:after="5"/>
              <w:rPr>
                <w:rFonts w:ascii="Avenir" w:eastAsia="Avenir" w:hAnsi="Avenir" w:cs="Avenir"/>
                <w:color w:val="000000"/>
                <w:sz w:val="16"/>
                <w:szCs w:val="16"/>
              </w:rPr>
            </w:pPr>
          </w:p>
        </w:tc>
      </w:tr>
      <w:tr w:rsidR="00AA3AC2" w:rsidRPr="00E11FFB" w14:paraId="27BA6D5D" w14:textId="77777777" w:rsidTr="008D2FF7">
        <w:trPr>
          <w:trHeight w:val="318"/>
          <w:jc w:val="center"/>
        </w:trPr>
        <w:tc>
          <w:tcPr>
            <w:tcW w:w="3408" w:type="dxa"/>
            <w:vMerge/>
          </w:tcPr>
          <w:p w14:paraId="57237626" w14:textId="77777777" w:rsidR="00AA3AC2" w:rsidRPr="00E11FFB" w:rsidRDefault="00AA3AC2" w:rsidP="003A6DE1">
            <w:pPr>
              <w:rPr>
                <w:rFonts w:ascii="Avenir" w:eastAsia="Avenir" w:hAnsi="Avenir" w:cs="Avenir"/>
                <w:color w:val="000000"/>
                <w:sz w:val="16"/>
                <w:szCs w:val="16"/>
              </w:rPr>
            </w:pPr>
          </w:p>
        </w:tc>
        <w:tc>
          <w:tcPr>
            <w:tcW w:w="1987" w:type="dxa"/>
          </w:tcPr>
          <w:p w14:paraId="0678709E" w14:textId="4D71143A" w:rsidR="00AA3AC2" w:rsidRPr="00E11FFB" w:rsidRDefault="00AA3AC2" w:rsidP="003A6DE1">
            <w:pPr>
              <w:rPr>
                <w:rFonts w:ascii="Avenir" w:eastAsia="Avenir" w:hAnsi="Avenir" w:cs="Avenir"/>
                <w:color w:val="000000"/>
                <w:sz w:val="16"/>
                <w:szCs w:val="16"/>
              </w:rPr>
            </w:pPr>
            <w:r w:rsidRPr="00E11FFB">
              <w:rPr>
                <w:rFonts w:ascii="Avenir" w:hAnsi="Avenir"/>
                <w:sz w:val="16"/>
                <w:szCs w:val="16"/>
              </w:rPr>
              <w:t>Revue l</w:t>
            </w:r>
            <w:r w:rsidRPr="00E11FFB">
              <w:rPr>
                <w:rFonts w:ascii="Avenir" w:hAnsi="Avenir" w:hint="eastAsia"/>
                <w:sz w:val="16"/>
                <w:szCs w:val="16"/>
              </w:rPr>
              <w:t>é</w:t>
            </w:r>
            <w:r w:rsidRPr="00E11FFB">
              <w:rPr>
                <w:rFonts w:ascii="Avenir" w:hAnsi="Avenir"/>
                <w:sz w:val="16"/>
                <w:szCs w:val="16"/>
              </w:rPr>
              <w:t>gale des titres de concessions foresti</w:t>
            </w:r>
            <w:r w:rsidRPr="00E11FFB">
              <w:rPr>
                <w:rFonts w:ascii="Avenir" w:hAnsi="Avenir" w:hint="eastAsia"/>
                <w:sz w:val="16"/>
                <w:szCs w:val="16"/>
              </w:rPr>
              <w:t>è</w:t>
            </w:r>
            <w:r w:rsidRPr="00E11FFB">
              <w:rPr>
                <w:rFonts w:ascii="Avenir" w:hAnsi="Avenir"/>
                <w:sz w:val="16"/>
                <w:szCs w:val="16"/>
              </w:rPr>
              <w:t>res de conservation</w:t>
            </w:r>
          </w:p>
        </w:tc>
        <w:tc>
          <w:tcPr>
            <w:tcW w:w="1374" w:type="dxa"/>
            <w:shd w:val="clear" w:color="auto" w:fill="FFFFFF" w:themeFill="background1"/>
          </w:tcPr>
          <w:p w14:paraId="20395E8C" w14:textId="77777777" w:rsidR="00AA3AC2" w:rsidRPr="00E11FFB" w:rsidRDefault="00AA3AC2" w:rsidP="003A6DE1">
            <w:pPr>
              <w:jc w:val="center"/>
              <w:rPr>
                <w:rFonts w:ascii="Avenir" w:eastAsia="Avenir" w:hAnsi="Avenir" w:cs="Avenir"/>
                <w:color w:val="000000"/>
                <w:sz w:val="16"/>
                <w:szCs w:val="16"/>
              </w:rPr>
            </w:pPr>
          </w:p>
          <w:p w14:paraId="4258195C" w14:textId="77777777" w:rsidR="00BD0E0F" w:rsidRPr="00E11FFB" w:rsidRDefault="00BD0E0F" w:rsidP="00BD0E0F">
            <w:pPr>
              <w:rPr>
                <w:rFonts w:ascii="Avenir" w:eastAsia="Avenir" w:hAnsi="Avenir" w:cs="Avenir"/>
                <w:color w:val="000000"/>
                <w:sz w:val="16"/>
                <w:szCs w:val="16"/>
              </w:rPr>
            </w:pPr>
          </w:p>
          <w:p w14:paraId="55850496" w14:textId="222055BF" w:rsidR="00BD0E0F" w:rsidRPr="002142A2" w:rsidRDefault="00BD0E0F" w:rsidP="00BD0E0F">
            <w:pPr>
              <w:jc w:val="center"/>
              <w:rPr>
                <w:rFonts w:ascii="Avenir" w:eastAsia="Avenir" w:hAnsi="Avenir" w:cs="Avenir"/>
                <w:sz w:val="16"/>
                <w:szCs w:val="16"/>
              </w:rPr>
            </w:pPr>
            <w:r w:rsidRPr="00E11FFB">
              <w:rPr>
                <w:rFonts w:ascii="Avenir" w:eastAsia="Avenir" w:hAnsi="Avenir" w:cs="Avenir"/>
                <w:sz w:val="16"/>
                <w:szCs w:val="16"/>
              </w:rPr>
              <w:t>0</w:t>
            </w:r>
          </w:p>
        </w:tc>
        <w:tc>
          <w:tcPr>
            <w:tcW w:w="1070" w:type="dxa"/>
          </w:tcPr>
          <w:p w14:paraId="6B0DC841" w14:textId="5B93E598"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1 </w:t>
            </w:r>
          </w:p>
        </w:tc>
        <w:tc>
          <w:tcPr>
            <w:tcW w:w="1084" w:type="dxa"/>
          </w:tcPr>
          <w:p w14:paraId="0AC856AF" w14:textId="06721CB5"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42B22ECC" w14:textId="77777777" w:rsidR="00AA3AC2" w:rsidRPr="00E11FFB" w:rsidRDefault="00AA3AC2" w:rsidP="003A6DE1">
            <w:pPr>
              <w:rPr>
                <w:rFonts w:ascii="Avenir" w:eastAsia="Avenir" w:hAnsi="Avenir" w:cs="Avenir"/>
                <w:color w:val="000000"/>
                <w:sz w:val="16"/>
                <w:szCs w:val="16"/>
              </w:rPr>
            </w:pPr>
          </w:p>
        </w:tc>
        <w:tc>
          <w:tcPr>
            <w:tcW w:w="913" w:type="dxa"/>
          </w:tcPr>
          <w:p w14:paraId="48BA1CEE" w14:textId="730F3F85"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1 revue légale des titres de concessions</w:t>
            </w:r>
          </w:p>
        </w:tc>
        <w:tc>
          <w:tcPr>
            <w:tcW w:w="948" w:type="dxa"/>
          </w:tcPr>
          <w:p w14:paraId="26F4A19E" w14:textId="77777777" w:rsidR="00AA3AC2" w:rsidRPr="00E11FFB" w:rsidRDefault="00AA3AC2" w:rsidP="003A6DE1">
            <w:pPr>
              <w:rPr>
                <w:rFonts w:ascii="Avenir" w:eastAsia="Avenir" w:hAnsi="Avenir" w:cs="Avenir"/>
                <w:color w:val="000000"/>
                <w:sz w:val="16"/>
                <w:szCs w:val="16"/>
              </w:rPr>
            </w:pPr>
          </w:p>
        </w:tc>
        <w:tc>
          <w:tcPr>
            <w:tcW w:w="1454" w:type="dxa"/>
          </w:tcPr>
          <w:p w14:paraId="11E8E4FF" w14:textId="77777777" w:rsidR="00AA3AC2" w:rsidRPr="00E11FFB" w:rsidRDefault="00AA3AC2" w:rsidP="003A6DE1">
            <w:pPr>
              <w:spacing w:after="5"/>
              <w:rPr>
                <w:rFonts w:ascii="Avenir" w:eastAsia="Avenir" w:hAnsi="Avenir" w:cs="Avenir"/>
                <w:color w:val="000000"/>
                <w:sz w:val="16"/>
                <w:szCs w:val="16"/>
              </w:rPr>
            </w:pPr>
          </w:p>
        </w:tc>
        <w:tc>
          <w:tcPr>
            <w:tcW w:w="1648" w:type="dxa"/>
          </w:tcPr>
          <w:p w14:paraId="2EA5BFC3" w14:textId="19D7EF84" w:rsidR="00AA3AC2" w:rsidRPr="00E11FFB" w:rsidRDefault="00AA3AC2" w:rsidP="003A6DE1">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Une feuille de route a été produite pour la mise en œuvre à l’année 2 du projet. </w:t>
            </w:r>
          </w:p>
        </w:tc>
      </w:tr>
      <w:tr w:rsidR="00AA3AC2" w:rsidRPr="00E11FFB" w14:paraId="4C8975BD" w14:textId="77777777" w:rsidTr="008D2FF7">
        <w:trPr>
          <w:trHeight w:val="318"/>
          <w:jc w:val="center"/>
        </w:trPr>
        <w:tc>
          <w:tcPr>
            <w:tcW w:w="3408" w:type="dxa"/>
            <w:vMerge w:val="restart"/>
          </w:tcPr>
          <w:p w14:paraId="7882D615" w14:textId="233D5A17"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Produit 3.3 (Jalon 4 j) : Le concept de forêt dégradée sera défini et identifié pour les divers types de forêts de la RDC.</w:t>
            </w:r>
          </w:p>
        </w:tc>
        <w:tc>
          <w:tcPr>
            <w:tcW w:w="1987" w:type="dxa"/>
          </w:tcPr>
          <w:p w14:paraId="00708E37" w14:textId="77777777" w:rsidR="00AA3AC2" w:rsidRPr="00E11FFB" w:rsidRDefault="00AA3AC2" w:rsidP="0039789E">
            <w:pPr>
              <w:rPr>
                <w:rFonts w:ascii="Avenir" w:eastAsia="Avenir" w:hAnsi="Avenir" w:cs="Avenir"/>
                <w:color w:val="000000"/>
                <w:sz w:val="16"/>
                <w:szCs w:val="16"/>
              </w:rPr>
            </w:pPr>
            <w:r w:rsidRPr="00E11FFB">
              <w:rPr>
                <w:rFonts w:ascii="Avenir" w:eastAsia="Avenir" w:hAnsi="Avenir" w:cs="Avenir"/>
                <w:color w:val="000000"/>
                <w:sz w:val="16"/>
                <w:szCs w:val="16"/>
              </w:rPr>
              <w:t>Définition nationale du concept de « forêt dégradée » est validée par les parties prenantes ;</w:t>
            </w:r>
          </w:p>
          <w:p w14:paraId="4E5BDCF0" w14:textId="77777777" w:rsidR="00AA3AC2" w:rsidRPr="00E11FFB" w:rsidRDefault="00AA3AC2" w:rsidP="003A6DE1">
            <w:pPr>
              <w:rPr>
                <w:rFonts w:ascii="Avenir" w:eastAsia="Avenir" w:hAnsi="Avenir" w:cs="Avenir"/>
                <w:color w:val="000000"/>
                <w:sz w:val="16"/>
                <w:szCs w:val="16"/>
              </w:rPr>
            </w:pPr>
          </w:p>
        </w:tc>
        <w:tc>
          <w:tcPr>
            <w:tcW w:w="1374" w:type="dxa"/>
            <w:shd w:val="clear" w:color="auto" w:fill="FFFFFF" w:themeFill="background1"/>
          </w:tcPr>
          <w:p w14:paraId="3537C006" w14:textId="2A6E43BF" w:rsidR="00AA3AC2" w:rsidRPr="00E11FFB" w:rsidRDefault="00BD0E0F" w:rsidP="00680085">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36CE820B" w14:textId="49B8322B"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2B5FADFF" w14:textId="0C0C57E0"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10A2ECDA" w14:textId="77777777" w:rsidR="00AA3AC2" w:rsidRPr="00E11FFB" w:rsidRDefault="00AA3AC2" w:rsidP="003A6DE1">
            <w:pPr>
              <w:rPr>
                <w:rFonts w:ascii="Avenir" w:eastAsia="Avenir" w:hAnsi="Avenir" w:cs="Avenir"/>
                <w:color w:val="000000"/>
                <w:sz w:val="16"/>
                <w:szCs w:val="16"/>
              </w:rPr>
            </w:pPr>
          </w:p>
        </w:tc>
        <w:tc>
          <w:tcPr>
            <w:tcW w:w="913" w:type="dxa"/>
          </w:tcPr>
          <w:p w14:paraId="5565192C" w14:textId="7E3B111E"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1 rapport d’harmonisation</w:t>
            </w:r>
          </w:p>
        </w:tc>
        <w:tc>
          <w:tcPr>
            <w:tcW w:w="948" w:type="dxa"/>
          </w:tcPr>
          <w:p w14:paraId="22838CBF" w14:textId="77777777" w:rsidR="00AA3AC2" w:rsidRPr="00E11FFB" w:rsidRDefault="00AA3AC2" w:rsidP="003A6DE1">
            <w:pPr>
              <w:rPr>
                <w:rFonts w:ascii="Avenir" w:eastAsia="Avenir" w:hAnsi="Avenir" w:cs="Avenir"/>
                <w:color w:val="000000"/>
                <w:sz w:val="16"/>
                <w:szCs w:val="16"/>
              </w:rPr>
            </w:pPr>
          </w:p>
        </w:tc>
        <w:tc>
          <w:tcPr>
            <w:tcW w:w="1454" w:type="dxa"/>
          </w:tcPr>
          <w:p w14:paraId="2BBB341C" w14:textId="77777777" w:rsidR="00AA3AC2" w:rsidRPr="00E11FFB" w:rsidRDefault="00AA3AC2" w:rsidP="003A6DE1">
            <w:pPr>
              <w:spacing w:after="5"/>
              <w:rPr>
                <w:rFonts w:ascii="Avenir" w:eastAsia="Avenir" w:hAnsi="Avenir" w:cs="Avenir"/>
                <w:color w:val="000000"/>
                <w:sz w:val="16"/>
                <w:szCs w:val="16"/>
              </w:rPr>
            </w:pPr>
          </w:p>
        </w:tc>
        <w:tc>
          <w:tcPr>
            <w:tcW w:w="1648" w:type="dxa"/>
          </w:tcPr>
          <w:p w14:paraId="47CADCE7" w14:textId="7BEAA12C" w:rsidR="00AA3AC2" w:rsidRPr="00E11FFB" w:rsidRDefault="00AA3AC2" w:rsidP="003A6DE1">
            <w:pPr>
              <w:spacing w:after="5"/>
              <w:rPr>
                <w:rFonts w:ascii="Avenir" w:eastAsia="Avenir" w:hAnsi="Avenir" w:cs="Avenir"/>
                <w:color w:val="000000"/>
                <w:sz w:val="16"/>
                <w:szCs w:val="16"/>
              </w:rPr>
            </w:pPr>
            <w:r w:rsidRPr="00E11FFB">
              <w:rPr>
                <w:rFonts w:ascii="Avenir" w:eastAsia="Avenir" w:hAnsi="Avenir" w:cs="Avenir"/>
                <w:color w:val="000000"/>
                <w:sz w:val="16"/>
                <w:szCs w:val="16"/>
              </w:rPr>
              <w:t>Rapport de validation nationale</w:t>
            </w:r>
          </w:p>
        </w:tc>
      </w:tr>
      <w:tr w:rsidR="00AA3AC2" w:rsidRPr="00E11FFB" w14:paraId="184BADF2" w14:textId="77777777" w:rsidTr="008D2FF7">
        <w:trPr>
          <w:trHeight w:val="318"/>
          <w:jc w:val="center"/>
        </w:trPr>
        <w:tc>
          <w:tcPr>
            <w:tcW w:w="3408" w:type="dxa"/>
            <w:vMerge/>
          </w:tcPr>
          <w:p w14:paraId="4ABC0E55" w14:textId="62E5C181" w:rsidR="00AA3AC2" w:rsidRPr="00E11FFB" w:rsidRDefault="00AA3AC2" w:rsidP="003A6DE1">
            <w:pPr>
              <w:rPr>
                <w:rFonts w:ascii="Avenir" w:eastAsia="Avenir" w:hAnsi="Avenir" w:cs="Avenir"/>
                <w:color w:val="000000"/>
                <w:sz w:val="16"/>
                <w:szCs w:val="16"/>
              </w:rPr>
            </w:pPr>
          </w:p>
        </w:tc>
        <w:tc>
          <w:tcPr>
            <w:tcW w:w="1987" w:type="dxa"/>
          </w:tcPr>
          <w:p w14:paraId="2B7EAE5E" w14:textId="5871D98F"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Cartographie des « forêt dégradées » est produite (Nombre d’espaces de forêts dégradées identifiées).</w:t>
            </w:r>
          </w:p>
        </w:tc>
        <w:tc>
          <w:tcPr>
            <w:tcW w:w="1374" w:type="dxa"/>
            <w:shd w:val="clear" w:color="auto" w:fill="FFFFFF" w:themeFill="background1"/>
          </w:tcPr>
          <w:p w14:paraId="35F41DAC" w14:textId="338886F0" w:rsidR="00AA3AC2" w:rsidRPr="00E11FFB" w:rsidRDefault="00BD0E0F"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71231AEF" w14:textId="5FB37957"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Au moins 50</w:t>
            </w:r>
          </w:p>
        </w:tc>
        <w:tc>
          <w:tcPr>
            <w:tcW w:w="1084" w:type="dxa"/>
          </w:tcPr>
          <w:p w14:paraId="6ACD3FA7" w14:textId="73361EED"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5F0FDB2F" w14:textId="77777777" w:rsidR="00AA3AC2" w:rsidRPr="00E11FFB" w:rsidRDefault="00AA3AC2" w:rsidP="003A6DE1">
            <w:pPr>
              <w:rPr>
                <w:rFonts w:ascii="Avenir" w:eastAsia="Avenir" w:hAnsi="Avenir" w:cs="Avenir"/>
                <w:color w:val="000000"/>
                <w:sz w:val="16"/>
                <w:szCs w:val="16"/>
              </w:rPr>
            </w:pPr>
          </w:p>
        </w:tc>
        <w:tc>
          <w:tcPr>
            <w:tcW w:w="913" w:type="dxa"/>
          </w:tcPr>
          <w:p w14:paraId="7E587B1A" w14:textId="69E78440" w:rsidR="00AA3AC2"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100</w:t>
            </w:r>
          </w:p>
        </w:tc>
        <w:tc>
          <w:tcPr>
            <w:tcW w:w="948" w:type="dxa"/>
          </w:tcPr>
          <w:p w14:paraId="23779D44" w14:textId="77777777" w:rsidR="00AA3AC2" w:rsidRPr="00E11FFB" w:rsidRDefault="00AA3AC2" w:rsidP="003A6DE1">
            <w:pPr>
              <w:rPr>
                <w:rFonts w:ascii="Avenir" w:eastAsia="Avenir" w:hAnsi="Avenir" w:cs="Avenir"/>
                <w:color w:val="000000"/>
                <w:sz w:val="16"/>
                <w:szCs w:val="16"/>
              </w:rPr>
            </w:pPr>
          </w:p>
        </w:tc>
        <w:tc>
          <w:tcPr>
            <w:tcW w:w="1454" w:type="dxa"/>
          </w:tcPr>
          <w:p w14:paraId="3ED90741" w14:textId="77777777" w:rsidR="00AA3AC2" w:rsidRPr="00E11FFB" w:rsidRDefault="00AA3AC2" w:rsidP="003A6DE1">
            <w:pPr>
              <w:spacing w:after="5"/>
              <w:rPr>
                <w:rFonts w:ascii="Avenir" w:eastAsia="Avenir" w:hAnsi="Avenir" w:cs="Avenir"/>
                <w:color w:val="000000"/>
                <w:sz w:val="16"/>
                <w:szCs w:val="16"/>
              </w:rPr>
            </w:pPr>
          </w:p>
        </w:tc>
        <w:tc>
          <w:tcPr>
            <w:tcW w:w="1648" w:type="dxa"/>
          </w:tcPr>
          <w:p w14:paraId="26F82261" w14:textId="6C0FF40C" w:rsidR="00AA3AC2" w:rsidRPr="00E11FFB" w:rsidRDefault="00CB76B4" w:rsidP="003A6DE1">
            <w:pPr>
              <w:spacing w:after="5"/>
              <w:rPr>
                <w:rFonts w:ascii="Avenir" w:eastAsia="Avenir" w:hAnsi="Avenir" w:cs="Avenir"/>
                <w:color w:val="000000"/>
                <w:sz w:val="16"/>
                <w:szCs w:val="16"/>
              </w:rPr>
            </w:pPr>
            <w:r w:rsidRPr="00E11FFB">
              <w:rPr>
                <w:rFonts w:ascii="Avenir" w:eastAsia="Avenir" w:hAnsi="Avenir" w:cs="Avenir"/>
                <w:color w:val="000000"/>
                <w:sz w:val="16"/>
                <w:szCs w:val="16"/>
              </w:rPr>
              <w:t>En attente de la validation du concept par le CCNF</w:t>
            </w:r>
          </w:p>
        </w:tc>
      </w:tr>
      <w:tr w:rsidR="007D2A1C" w:rsidRPr="00E11FFB" w14:paraId="6BDA040F" w14:textId="77777777" w:rsidTr="008D2FF7">
        <w:trPr>
          <w:trHeight w:val="318"/>
          <w:jc w:val="center"/>
        </w:trPr>
        <w:tc>
          <w:tcPr>
            <w:tcW w:w="3408" w:type="dxa"/>
          </w:tcPr>
          <w:p w14:paraId="2CDA8B84" w14:textId="6D68BD9F" w:rsidR="007D2A1C" w:rsidRPr="00E11FFB" w:rsidRDefault="007D2A1C" w:rsidP="003A6DE1">
            <w:pPr>
              <w:rPr>
                <w:rFonts w:ascii="Avenir" w:eastAsia="Avenir" w:hAnsi="Avenir" w:cs="Avenir"/>
                <w:color w:val="000000"/>
                <w:sz w:val="16"/>
                <w:szCs w:val="16"/>
              </w:rPr>
            </w:pPr>
            <w:r w:rsidRPr="00E11FFB">
              <w:rPr>
                <w:rFonts w:ascii="Avenir" w:eastAsia="Avenir" w:hAnsi="Avenir" w:cs="Avenir"/>
                <w:color w:val="000000"/>
                <w:sz w:val="16"/>
                <w:szCs w:val="16"/>
              </w:rPr>
              <w:t>Produit 3.4 (Jalon 4 m) - Evaluer l’efficacité du contrôle forestier et développer sur cette base des stratégies provinciales de priorisation des contrôles basées sur le risque d’illégalité. Jalon pris en charge totalement par le PGDF.</w:t>
            </w:r>
          </w:p>
        </w:tc>
        <w:tc>
          <w:tcPr>
            <w:tcW w:w="1987" w:type="dxa"/>
          </w:tcPr>
          <w:p w14:paraId="57271ACC" w14:textId="71863436" w:rsidR="007D2A1C" w:rsidRPr="00E11FFB" w:rsidRDefault="007D2A1C" w:rsidP="003A6DE1">
            <w:pPr>
              <w:rPr>
                <w:rFonts w:ascii="Avenir" w:eastAsia="Avenir" w:hAnsi="Avenir" w:cs="Avenir"/>
                <w:color w:val="000000"/>
                <w:sz w:val="16"/>
                <w:szCs w:val="16"/>
              </w:rPr>
            </w:pPr>
            <w:r w:rsidRPr="00E11FFB">
              <w:rPr>
                <w:rFonts w:ascii="Avenir" w:eastAsia="Avenir" w:hAnsi="Avenir" w:cs="Avenir"/>
                <w:color w:val="000000"/>
                <w:sz w:val="16"/>
                <w:szCs w:val="16"/>
              </w:rPr>
              <w:t>Nombre des stratégies de contrôle forestier développées.</w:t>
            </w:r>
          </w:p>
        </w:tc>
        <w:tc>
          <w:tcPr>
            <w:tcW w:w="1374" w:type="dxa"/>
            <w:shd w:val="clear" w:color="auto" w:fill="FFFFFF" w:themeFill="background1"/>
          </w:tcPr>
          <w:p w14:paraId="123BE7C4" w14:textId="25EC2BD7" w:rsidR="007D2A1C" w:rsidRPr="00E11FFB" w:rsidRDefault="00BD0E0F"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1F371403" w14:textId="72F2BF5D" w:rsidR="007D2A1C" w:rsidRPr="00E11FFB" w:rsidRDefault="00741C46" w:rsidP="003A6DE1">
            <w:pPr>
              <w:rPr>
                <w:rFonts w:ascii="Avenir" w:eastAsia="Avenir" w:hAnsi="Avenir" w:cs="Avenir"/>
                <w:color w:val="000000"/>
                <w:sz w:val="16"/>
                <w:szCs w:val="16"/>
              </w:rPr>
            </w:pPr>
            <w:r w:rsidRPr="00E11FFB">
              <w:rPr>
                <w:rFonts w:ascii="Avenir" w:eastAsia="Avenir" w:hAnsi="Avenir" w:cs="Avenir"/>
                <w:color w:val="000000"/>
                <w:sz w:val="16"/>
                <w:szCs w:val="16"/>
              </w:rPr>
              <w:t>Stratégies efficaces de contrôle forestier mises en place.</w:t>
            </w:r>
          </w:p>
        </w:tc>
        <w:tc>
          <w:tcPr>
            <w:tcW w:w="1084" w:type="dxa"/>
          </w:tcPr>
          <w:p w14:paraId="1F076759" w14:textId="12E6134E" w:rsidR="007D2A1C" w:rsidRPr="00E11FFB" w:rsidRDefault="00AA3AC2" w:rsidP="003A6DE1">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7A1473E8" w14:textId="77777777" w:rsidR="007D2A1C" w:rsidRPr="00E11FFB" w:rsidRDefault="007D2A1C" w:rsidP="003A6DE1">
            <w:pPr>
              <w:rPr>
                <w:rFonts w:ascii="Avenir" w:eastAsia="Avenir" w:hAnsi="Avenir" w:cs="Avenir"/>
                <w:color w:val="000000"/>
                <w:sz w:val="16"/>
                <w:szCs w:val="16"/>
              </w:rPr>
            </w:pPr>
          </w:p>
        </w:tc>
        <w:tc>
          <w:tcPr>
            <w:tcW w:w="913" w:type="dxa"/>
          </w:tcPr>
          <w:p w14:paraId="7DAF7C6B" w14:textId="3D79D3BD" w:rsidR="007D2A1C" w:rsidRPr="00E11FFB" w:rsidRDefault="00741C46" w:rsidP="003A6DE1">
            <w:pPr>
              <w:rPr>
                <w:rFonts w:ascii="Avenir" w:eastAsia="Avenir" w:hAnsi="Avenir" w:cs="Avenir"/>
                <w:color w:val="000000"/>
                <w:sz w:val="16"/>
                <w:szCs w:val="16"/>
              </w:rPr>
            </w:pPr>
            <w:r w:rsidRPr="00E11FFB">
              <w:rPr>
                <w:rFonts w:ascii="Avenir" w:eastAsia="Avenir" w:hAnsi="Avenir" w:cs="Avenir"/>
                <w:color w:val="000000"/>
                <w:sz w:val="16"/>
                <w:szCs w:val="16"/>
              </w:rPr>
              <w:t>Stratégies efficaces de contrôle forestier</w:t>
            </w:r>
          </w:p>
        </w:tc>
        <w:tc>
          <w:tcPr>
            <w:tcW w:w="948" w:type="dxa"/>
          </w:tcPr>
          <w:p w14:paraId="50451FDD" w14:textId="77777777" w:rsidR="007D2A1C" w:rsidRPr="00E11FFB" w:rsidRDefault="007D2A1C" w:rsidP="003A6DE1">
            <w:pPr>
              <w:rPr>
                <w:rFonts w:ascii="Avenir" w:eastAsia="Avenir" w:hAnsi="Avenir" w:cs="Avenir"/>
                <w:color w:val="000000"/>
                <w:sz w:val="16"/>
                <w:szCs w:val="16"/>
              </w:rPr>
            </w:pPr>
          </w:p>
        </w:tc>
        <w:tc>
          <w:tcPr>
            <w:tcW w:w="1454" w:type="dxa"/>
          </w:tcPr>
          <w:p w14:paraId="06E43908" w14:textId="77777777" w:rsidR="007D2A1C" w:rsidRPr="00E11FFB" w:rsidRDefault="007D2A1C" w:rsidP="003A6DE1">
            <w:pPr>
              <w:spacing w:after="5"/>
              <w:rPr>
                <w:rFonts w:ascii="Avenir" w:eastAsia="Avenir" w:hAnsi="Avenir" w:cs="Avenir"/>
                <w:color w:val="000000"/>
                <w:sz w:val="16"/>
                <w:szCs w:val="16"/>
              </w:rPr>
            </w:pPr>
          </w:p>
        </w:tc>
        <w:tc>
          <w:tcPr>
            <w:tcW w:w="1648" w:type="dxa"/>
          </w:tcPr>
          <w:p w14:paraId="7C6C8FEA" w14:textId="15182DFF" w:rsidR="007D2A1C" w:rsidRPr="00E11FFB" w:rsidRDefault="00AA3AC2" w:rsidP="003A6DE1">
            <w:pPr>
              <w:spacing w:after="5"/>
              <w:rPr>
                <w:rFonts w:ascii="Avenir" w:eastAsia="Avenir" w:hAnsi="Avenir" w:cs="Avenir"/>
                <w:color w:val="000000"/>
                <w:sz w:val="16"/>
                <w:szCs w:val="16"/>
              </w:rPr>
            </w:pPr>
            <w:r w:rsidRPr="00E11FFB">
              <w:rPr>
                <w:rFonts w:ascii="Avenir" w:eastAsia="Avenir" w:hAnsi="Avenir" w:cs="Avenir"/>
                <w:color w:val="000000"/>
                <w:sz w:val="16"/>
                <w:szCs w:val="16"/>
              </w:rPr>
              <w:t>Activité portée par PGDF</w:t>
            </w:r>
          </w:p>
        </w:tc>
      </w:tr>
      <w:tr w:rsidR="00D87BD2" w:rsidRPr="00E11FFB" w14:paraId="31EA3C8A" w14:textId="77777777" w:rsidTr="008D2FF7">
        <w:trPr>
          <w:trHeight w:val="318"/>
          <w:jc w:val="center"/>
        </w:trPr>
        <w:tc>
          <w:tcPr>
            <w:tcW w:w="3408" w:type="dxa"/>
            <w:vMerge w:val="restart"/>
          </w:tcPr>
          <w:p w14:paraId="3FA7F18F" w14:textId="1C170346"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Produit 3.5 (jalon 4 n) : La politique forestière est élaborée et adoptée d’ici [fin 2024].</w:t>
            </w:r>
          </w:p>
        </w:tc>
        <w:tc>
          <w:tcPr>
            <w:tcW w:w="1987" w:type="dxa"/>
          </w:tcPr>
          <w:p w14:paraId="28EAC0B6" w14:textId="06C6513D"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Un Document de politique forestière nationale élaboré et validé</w:t>
            </w:r>
          </w:p>
        </w:tc>
        <w:tc>
          <w:tcPr>
            <w:tcW w:w="1374" w:type="dxa"/>
            <w:shd w:val="clear" w:color="auto" w:fill="FFFFFF" w:themeFill="background1"/>
          </w:tcPr>
          <w:p w14:paraId="50EFBDB7" w14:textId="16B19605" w:rsidR="00D87BD2" w:rsidRPr="00E11FFB" w:rsidRDefault="00BD0E0F"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Feuille de route du processus d’élaboration de la politique forestière nationale.</w:t>
            </w:r>
          </w:p>
        </w:tc>
        <w:tc>
          <w:tcPr>
            <w:tcW w:w="1070" w:type="dxa"/>
          </w:tcPr>
          <w:p w14:paraId="184DE6C8" w14:textId="2166CB94"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Draft du document de politique forestière nationale élaborée.</w:t>
            </w:r>
          </w:p>
        </w:tc>
        <w:tc>
          <w:tcPr>
            <w:tcW w:w="1084" w:type="dxa"/>
          </w:tcPr>
          <w:p w14:paraId="7F9B3D33" w14:textId="5BA94775"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0187D6BA" w14:textId="77777777" w:rsidR="00D87BD2" w:rsidRPr="00E11FFB" w:rsidRDefault="00D87BD2" w:rsidP="003A6DE1">
            <w:pPr>
              <w:rPr>
                <w:rFonts w:ascii="Avenir" w:eastAsia="Avenir" w:hAnsi="Avenir" w:cs="Avenir"/>
                <w:color w:val="000000"/>
                <w:sz w:val="16"/>
                <w:szCs w:val="16"/>
              </w:rPr>
            </w:pPr>
          </w:p>
        </w:tc>
        <w:tc>
          <w:tcPr>
            <w:tcW w:w="913" w:type="dxa"/>
          </w:tcPr>
          <w:p w14:paraId="53454129" w14:textId="0C596EE4"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Document de politique forestière nationale élaboré et validé.</w:t>
            </w:r>
          </w:p>
        </w:tc>
        <w:tc>
          <w:tcPr>
            <w:tcW w:w="948" w:type="dxa"/>
          </w:tcPr>
          <w:p w14:paraId="22E1A674" w14:textId="77777777" w:rsidR="00D87BD2" w:rsidRPr="00E11FFB" w:rsidRDefault="00D87BD2" w:rsidP="003A6DE1">
            <w:pPr>
              <w:rPr>
                <w:rFonts w:ascii="Avenir" w:eastAsia="Avenir" w:hAnsi="Avenir" w:cs="Avenir"/>
                <w:color w:val="000000"/>
                <w:sz w:val="16"/>
                <w:szCs w:val="16"/>
              </w:rPr>
            </w:pPr>
          </w:p>
        </w:tc>
        <w:tc>
          <w:tcPr>
            <w:tcW w:w="1454" w:type="dxa"/>
          </w:tcPr>
          <w:p w14:paraId="45BB65F0" w14:textId="77777777" w:rsidR="00D87BD2" w:rsidRPr="00E11FFB" w:rsidRDefault="00D87BD2" w:rsidP="003A6DE1">
            <w:pPr>
              <w:spacing w:after="5"/>
              <w:rPr>
                <w:rFonts w:ascii="Avenir" w:eastAsia="Avenir" w:hAnsi="Avenir" w:cs="Avenir"/>
                <w:color w:val="000000"/>
                <w:sz w:val="16"/>
                <w:szCs w:val="16"/>
              </w:rPr>
            </w:pPr>
          </w:p>
        </w:tc>
        <w:tc>
          <w:tcPr>
            <w:tcW w:w="1648" w:type="dxa"/>
          </w:tcPr>
          <w:p w14:paraId="41429210" w14:textId="3632698B" w:rsidR="00D87BD2" w:rsidRPr="00E11FFB" w:rsidRDefault="00D87BD2" w:rsidP="003A6DE1">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Politique </w:t>
            </w:r>
            <w:r w:rsidR="00CD612D" w:rsidRPr="00E11FFB">
              <w:rPr>
                <w:rFonts w:ascii="Avenir" w:eastAsia="Avenir" w:hAnsi="Avenir" w:cs="Avenir"/>
                <w:color w:val="000000"/>
                <w:sz w:val="16"/>
                <w:szCs w:val="16"/>
              </w:rPr>
              <w:t xml:space="preserve">en attente de </w:t>
            </w:r>
            <w:r w:rsidRPr="00E11FFB">
              <w:rPr>
                <w:rFonts w:ascii="Avenir" w:eastAsia="Avenir" w:hAnsi="Avenir" w:cs="Avenir"/>
                <w:color w:val="000000"/>
                <w:sz w:val="16"/>
                <w:szCs w:val="16"/>
              </w:rPr>
              <w:t>valid</w:t>
            </w:r>
            <w:r w:rsidR="00CD612D" w:rsidRPr="00E11FFB">
              <w:rPr>
                <w:rFonts w:ascii="Avenir" w:eastAsia="Avenir" w:hAnsi="Avenir" w:cs="Avenir"/>
                <w:color w:val="000000"/>
                <w:sz w:val="16"/>
                <w:szCs w:val="16"/>
              </w:rPr>
              <w:t>ation</w:t>
            </w:r>
            <w:r w:rsidRPr="00E11FFB">
              <w:rPr>
                <w:rFonts w:ascii="Avenir" w:eastAsia="Avenir" w:hAnsi="Avenir" w:cs="Avenir"/>
                <w:color w:val="000000"/>
                <w:sz w:val="16"/>
                <w:szCs w:val="16"/>
              </w:rPr>
              <w:t xml:space="preserve"> techniquement par les parties. </w:t>
            </w:r>
          </w:p>
        </w:tc>
      </w:tr>
      <w:tr w:rsidR="00D87BD2" w:rsidRPr="00E11FFB" w14:paraId="4A24A301" w14:textId="77777777" w:rsidTr="008D2FF7">
        <w:trPr>
          <w:trHeight w:val="318"/>
          <w:jc w:val="center"/>
        </w:trPr>
        <w:tc>
          <w:tcPr>
            <w:tcW w:w="3408" w:type="dxa"/>
            <w:vMerge/>
          </w:tcPr>
          <w:p w14:paraId="6F6AD129" w14:textId="77777777" w:rsidR="00D87BD2" w:rsidRPr="00E11FFB" w:rsidRDefault="00D87BD2" w:rsidP="003A6DE1">
            <w:pPr>
              <w:rPr>
                <w:rFonts w:ascii="Avenir" w:eastAsia="Avenir" w:hAnsi="Avenir" w:cs="Avenir"/>
                <w:color w:val="000000"/>
                <w:sz w:val="16"/>
                <w:szCs w:val="16"/>
              </w:rPr>
            </w:pPr>
          </w:p>
        </w:tc>
        <w:tc>
          <w:tcPr>
            <w:tcW w:w="1987" w:type="dxa"/>
          </w:tcPr>
          <w:p w14:paraId="6FE6F82B" w14:textId="4C1E6D09"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Nombre d'actes des états généraux des forêts publiés</w:t>
            </w:r>
          </w:p>
        </w:tc>
        <w:tc>
          <w:tcPr>
            <w:tcW w:w="1374" w:type="dxa"/>
            <w:shd w:val="clear" w:color="auto" w:fill="FFFFFF" w:themeFill="background1"/>
          </w:tcPr>
          <w:p w14:paraId="0ACB8794" w14:textId="13B5A3EA" w:rsidR="00D87BD2" w:rsidRPr="00E11FFB" w:rsidRDefault="00BD0E0F"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3D1CF948" w14:textId="4649D852"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1B9401B2" w14:textId="4D0F65B5"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1811C888" w14:textId="77777777" w:rsidR="00D87BD2" w:rsidRPr="00E11FFB" w:rsidRDefault="00D87BD2" w:rsidP="003A6DE1">
            <w:pPr>
              <w:rPr>
                <w:rFonts w:ascii="Avenir" w:eastAsia="Avenir" w:hAnsi="Avenir" w:cs="Avenir"/>
                <w:color w:val="000000"/>
                <w:sz w:val="16"/>
                <w:szCs w:val="16"/>
              </w:rPr>
            </w:pPr>
          </w:p>
        </w:tc>
        <w:tc>
          <w:tcPr>
            <w:tcW w:w="913" w:type="dxa"/>
          </w:tcPr>
          <w:p w14:paraId="7D46CC17" w14:textId="19FCAAC4" w:rsidR="00D87BD2" w:rsidRPr="00E11FFB" w:rsidRDefault="00D87BD2" w:rsidP="003A6DE1">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20108186" w14:textId="77777777" w:rsidR="00D87BD2" w:rsidRPr="00E11FFB" w:rsidRDefault="00D87BD2" w:rsidP="003A6DE1">
            <w:pPr>
              <w:rPr>
                <w:rFonts w:ascii="Avenir" w:eastAsia="Avenir" w:hAnsi="Avenir" w:cs="Avenir"/>
                <w:color w:val="000000"/>
                <w:sz w:val="16"/>
                <w:szCs w:val="16"/>
              </w:rPr>
            </w:pPr>
          </w:p>
        </w:tc>
        <w:tc>
          <w:tcPr>
            <w:tcW w:w="1454" w:type="dxa"/>
          </w:tcPr>
          <w:p w14:paraId="3445AC33" w14:textId="77777777" w:rsidR="00D87BD2" w:rsidRPr="00E11FFB" w:rsidRDefault="00D87BD2" w:rsidP="003A6DE1">
            <w:pPr>
              <w:spacing w:after="5"/>
              <w:rPr>
                <w:rFonts w:ascii="Avenir" w:eastAsia="Avenir" w:hAnsi="Avenir" w:cs="Avenir"/>
                <w:color w:val="000000"/>
                <w:sz w:val="16"/>
                <w:szCs w:val="16"/>
              </w:rPr>
            </w:pPr>
          </w:p>
        </w:tc>
        <w:tc>
          <w:tcPr>
            <w:tcW w:w="1648" w:type="dxa"/>
          </w:tcPr>
          <w:p w14:paraId="6FEBF50B" w14:textId="672E68D3" w:rsidR="00D87BD2" w:rsidRPr="00E11FFB" w:rsidRDefault="00D87BD2" w:rsidP="003A6DE1">
            <w:pPr>
              <w:spacing w:after="5"/>
              <w:rPr>
                <w:rFonts w:ascii="Avenir" w:eastAsia="Avenir" w:hAnsi="Avenir" w:cs="Avenir"/>
                <w:color w:val="000000"/>
                <w:sz w:val="16"/>
                <w:szCs w:val="16"/>
              </w:rPr>
            </w:pPr>
            <w:r w:rsidRPr="00E11FFB">
              <w:rPr>
                <w:rFonts w:ascii="Avenir" w:eastAsia="Avenir" w:hAnsi="Avenir" w:cs="Avenir"/>
                <w:color w:val="000000"/>
                <w:sz w:val="16"/>
                <w:szCs w:val="16"/>
              </w:rPr>
              <w:t>Rapport d’acte produit</w:t>
            </w:r>
          </w:p>
        </w:tc>
      </w:tr>
      <w:tr w:rsidR="00C92DD2" w:rsidRPr="00E11FFB" w14:paraId="1D44C8A4" w14:textId="77777777" w:rsidTr="008D2FF7">
        <w:trPr>
          <w:trHeight w:val="318"/>
          <w:jc w:val="center"/>
        </w:trPr>
        <w:tc>
          <w:tcPr>
            <w:tcW w:w="3408" w:type="dxa"/>
          </w:tcPr>
          <w:p w14:paraId="532C2F78" w14:textId="37A37AEF"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3.6 (Jalon 4 o) : Le Code forestier est révisé d’ici [fin 2023] (cfr PGDF).</w:t>
            </w:r>
          </w:p>
        </w:tc>
        <w:tc>
          <w:tcPr>
            <w:tcW w:w="1987" w:type="dxa"/>
          </w:tcPr>
          <w:p w14:paraId="6125DDDE" w14:textId="5EB54C0A"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 Code forestier révisé, validé et promulgué</w:t>
            </w:r>
          </w:p>
        </w:tc>
        <w:tc>
          <w:tcPr>
            <w:tcW w:w="1374" w:type="dxa"/>
            <w:shd w:val="clear" w:color="auto" w:fill="FFFFFF" w:themeFill="background1"/>
          </w:tcPr>
          <w:p w14:paraId="04BD6E3C" w14:textId="2B24CEF2" w:rsidR="00C92DD2" w:rsidRPr="00E11FFB" w:rsidRDefault="00BD0E0F"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Feuille de route du processus</w:t>
            </w:r>
          </w:p>
        </w:tc>
        <w:tc>
          <w:tcPr>
            <w:tcW w:w="1070" w:type="dxa"/>
          </w:tcPr>
          <w:p w14:paraId="723AAC71" w14:textId="22FD0824" w:rsidR="00C92DD2" w:rsidRPr="00E11FFB" w:rsidRDefault="0048260B" w:rsidP="00C92DD2">
            <w:pPr>
              <w:rPr>
                <w:rFonts w:ascii="Avenir" w:eastAsia="Avenir" w:hAnsi="Avenir" w:cs="Avenir"/>
                <w:color w:val="000000"/>
                <w:sz w:val="16"/>
                <w:szCs w:val="16"/>
              </w:rPr>
            </w:pPr>
            <w:r w:rsidRPr="0048260B">
              <w:rPr>
                <w:rFonts w:ascii="Avenir" w:eastAsia="Avenir" w:hAnsi="Avenir" w:cs="Avenir"/>
                <w:color w:val="000000"/>
                <w:sz w:val="16"/>
                <w:szCs w:val="16"/>
              </w:rPr>
              <w:t>Draft du Code en appréciation</w:t>
            </w:r>
          </w:p>
        </w:tc>
        <w:tc>
          <w:tcPr>
            <w:tcW w:w="1084" w:type="dxa"/>
          </w:tcPr>
          <w:p w14:paraId="4FF6512D" w14:textId="1394676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Feuille de route validée par le CCNF</w:t>
            </w:r>
            <w:r w:rsidR="000B5F0D" w:rsidRPr="00E11FFB">
              <w:rPr>
                <w:rFonts w:ascii="Avenir" w:eastAsia="Avenir" w:hAnsi="Avenir" w:cs="Avenir"/>
                <w:color w:val="000000"/>
                <w:sz w:val="16"/>
                <w:szCs w:val="16"/>
              </w:rPr>
              <w:t> ; atelier de proposition des recommandations</w:t>
            </w:r>
            <w:r w:rsidR="0048260B">
              <w:rPr>
                <w:rFonts w:ascii="Avenir" w:eastAsia="Avenir" w:hAnsi="Avenir" w:cs="Avenir"/>
                <w:color w:val="000000"/>
                <w:sz w:val="16"/>
                <w:szCs w:val="16"/>
              </w:rPr>
              <w:t>, retraite d’élaboration du draft0</w:t>
            </w:r>
          </w:p>
        </w:tc>
        <w:tc>
          <w:tcPr>
            <w:tcW w:w="959" w:type="dxa"/>
          </w:tcPr>
          <w:p w14:paraId="37951B5E" w14:textId="77777777" w:rsidR="00C92DD2" w:rsidRPr="00E11FFB" w:rsidRDefault="00C92DD2" w:rsidP="00C92DD2">
            <w:pPr>
              <w:rPr>
                <w:rFonts w:ascii="Avenir" w:eastAsia="Avenir" w:hAnsi="Avenir" w:cs="Avenir"/>
                <w:color w:val="000000"/>
                <w:sz w:val="16"/>
                <w:szCs w:val="16"/>
              </w:rPr>
            </w:pPr>
          </w:p>
        </w:tc>
        <w:tc>
          <w:tcPr>
            <w:tcW w:w="913" w:type="dxa"/>
          </w:tcPr>
          <w:p w14:paraId="6E47ADD4" w14:textId="2635314B"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 Code forestier révisé, validé et promulgué.</w:t>
            </w:r>
          </w:p>
        </w:tc>
        <w:tc>
          <w:tcPr>
            <w:tcW w:w="948" w:type="dxa"/>
          </w:tcPr>
          <w:p w14:paraId="4EE47F32" w14:textId="77777777" w:rsidR="00C92DD2" w:rsidRPr="00E11FFB" w:rsidRDefault="00C92DD2" w:rsidP="00C92DD2">
            <w:pPr>
              <w:rPr>
                <w:rFonts w:ascii="Avenir" w:eastAsia="Avenir" w:hAnsi="Avenir" w:cs="Avenir"/>
                <w:color w:val="000000"/>
                <w:sz w:val="16"/>
                <w:szCs w:val="16"/>
              </w:rPr>
            </w:pPr>
          </w:p>
        </w:tc>
        <w:tc>
          <w:tcPr>
            <w:tcW w:w="1454" w:type="dxa"/>
          </w:tcPr>
          <w:p w14:paraId="2EF091A2"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5E0FBFFA" w14:textId="4707CEFD" w:rsidR="00C92DD2" w:rsidRPr="00E11FFB" w:rsidRDefault="00C92DD2" w:rsidP="00C92DD2">
            <w:pPr>
              <w:spacing w:after="5"/>
              <w:rPr>
                <w:rFonts w:ascii="Avenir" w:eastAsia="Avenir" w:hAnsi="Avenir" w:cs="Avenir"/>
                <w:color w:val="000000"/>
                <w:sz w:val="16"/>
                <w:szCs w:val="16"/>
                <w:highlight w:val="yellow"/>
              </w:rPr>
            </w:pPr>
          </w:p>
        </w:tc>
      </w:tr>
      <w:tr w:rsidR="00C92DD2" w:rsidRPr="00E11FFB" w14:paraId="4C2F76F0" w14:textId="77777777" w:rsidTr="008D2FF7">
        <w:trPr>
          <w:trHeight w:val="1219"/>
          <w:jc w:val="center"/>
        </w:trPr>
        <w:tc>
          <w:tcPr>
            <w:tcW w:w="3408" w:type="dxa"/>
            <w:vMerge w:val="restart"/>
          </w:tcPr>
          <w:p w14:paraId="7BC3E755" w14:textId="0242E78C"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3.7 (Jalon 4 p) : Dans le cadre de l’allocation de nouvelles concessions forestières industrielles, les mesures efficaces d’évaluation, les standards de qualité et les procédures prévues par le Code forestier (...) sont respectés comme prévu dans le cadre réglementaire. Pris en charge par le PGDF</w:t>
            </w:r>
          </w:p>
        </w:tc>
        <w:tc>
          <w:tcPr>
            <w:tcW w:w="1987" w:type="dxa"/>
          </w:tcPr>
          <w:p w14:paraId="258EA862" w14:textId="70D29FEB"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Nombre de nouvelles concessions forestières concédées par adjudication.</w:t>
            </w:r>
          </w:p>
        </w:tc>
        <w:tc>
          <w:tcPr>
            <w:tcW w:w="1374" w:type="dxa"/>
            <w:shd w:val="clear" w:color="auto" w:fill="FFFFFF" w:themeFill="background1"/>
          </w:tcPr>
          <w:p w14:paraId="6CDE7EDB" w14:textId="74066DFE" w:rsidR="00C92DD2" w:rsidRPr="00E11FFB" w:rsidRDefault="00BD0E0F"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EB58DCC" w14:textId="02E5EE41"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Des nouvelles concessions forestières concédées par adjudication</w:t>
            </w:r>
          </w:p>
        </w:tc>
        <w:tc>
          <w:tcPr>
            <w:tcW w:w="1084" w:type="dxa"/>
          </w:tcPr>
          <w:p w14:paraId="060D96DE" w14:textId="13A4C40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52616843" w14:textId="77777777" w:rsidR="00C92DD2" w:rsidRPr="00E11FFB" w:rsidRDefault="00C92DD2" w:rsidP="00C92DD2">
            <w:pPr>
              <w:rPr>
                <w:rFonts w:ascii="Avenir" w:eastAsia="Avenir" w:hAnsi="Avenir" w:cs="Avenir"/>
                <w:color w:val="000000"/>
                <w:sz w:val="16"/>
                <w:szCs w:val="16"/>
              </w:rPr>
            </w:pPr>
          </w:p>
        </w:tc>
        <w:tc>
          <w:tcPr>
            <w:tcW w:w="913" w:type="dxa"/>
          </w:tcPr>
          <w:p w14:paraId="7DE9B338" w14:textId="1E822C30"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Des nouvelles concessions forestières concédées par adjudication</w:t>
            </w:r>
          </w:p>
        </w:tc>
        <w:tc>
          <w:tcPr>
            <w:tcW w:w="948" w:type="dxa"/>
          </w:tcPr>
          <w:p w14:paraId="098D663B" w14:textId="77777777" w:rsidR="00C92DD2" w:rsidRPr="00E11FFB" w:rsidRDefault="00C92DD2" w:rsidP="00C92DD2">
            <w:pPr>
              <w:rPr>
                <w:rFonts w:ascii="Avenir" w:eastAsia="Avenir" w:hAnsi="Avenir" w:cs="Avenir"/>
                <w:color w:val="000000"/>
                <w:sz w:val="16"/>
                <w:szCs w:val="16"/>
              </w:rPr>
            </w:pPr>
          </w:p>
        </w:tc>
        <w:tc>
          <w:tcPr>
            <w:tcW w:w="1454" w:type="dxa"/>
          </w:tcPr>
          <w:p w14:paraId="109794B7"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2230FB90" w14:textId="6E96360F"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Activité portée par PGDF</w:t>
            </w:r>
          </w:p>
        </w:tc>
      </w:tr>
      <w:tr w:rsidR="00C92DD2" w:rsidRPr="00E11FFB" w14:paraId="08A9C1A5" w14:textId="77777777" w:rsidTr="008D2FF7">
        <w:trPr>
          <w:trHeight w:val="318"/>
          <w:jc w:val="center"/>
        </w:trPr>
        <w:tc>
          <w:tcPr>
            <w:tcW w:w="3408" w:type="dxa"/>
            <w:vMerge/>
          </w:tcPr>
          <w:p w14:paraId="1C6B97F7" w14:textId="77777777" w:rsidR="00C92DD2" w:rsidRPr="00E11FFB" w:rsidRDefault="00C92DD2" w:rsidP="00C92DD2">
            <w:pPr>
              <w:rPr>
                <w:rFonts w:ascii="Avenir" w:eastAsia="Avenir" w:hAnsi="Avenir" w:cs="Avenir"/>
                <w:color w:val="000000"/>
                <w:sz w:val="16"/>
                <w:szCs w:val="16"/>
              </w:rPr>
            </w:pPr>
          </w:p>
        </w:tc>
        <w:tc>
          <w:tcPr>
            <w:tcW w:w="1987" w:type="dxa"/>
          </w:tcPr>
          <w:p w14:paraId="66B19128" w14:textId="59A48291"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Rapport annuel de suivi des mesures validé (Elaboration d’une grille d’évaluation et de suivi)</w:t>
            </w:r>
          </w:p>
        </w:tc>
        <w:tc>
          <w:tcPr>
            <w:tcW w:w="1374" w:type="dxa"/>
          </w:tcPr>
          <w:p w14:paraId="451A8EBC" w14:textId="1731DA82"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26E2AF05" w14:textId="3DF90B95"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02</w:t>
            </w:r>
          </w:p>
        </w:tc>
        <w:tc>
          <w:tcPr>
            <w:tcW w:w="1084" w:type="dxa"/>
          </w:tcPr>
          <w:p w14:paraId="61611BCB" w14:textId="6E2CAB9F"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657437CD" w14:textId="77777777" w:rsidR="00C92DD2" w:rsidRPr="00E11FFB" w:rsidRDefault="00C92DD2" w:rsidP="00C92DD2">
            <w:pPr>
              <w:rPr>
                <w:rFonts w:ascii="Avenir" w:eastAsia="Avenir" w:hAnsi="Avenir" w:cs="Avenir"/>
                <w:color w:val="000000"/>
                <w:sz w:val="16"/>
                <w:szCs w:val="16"/>
              </w:rPr>
            </w:pPr>
          </w:p>
        </w:tc>
        <w:tc>
          <w:tcPr>
            <w:tcW w:w="913" w:type="dxa"/>
          </w:tcPr>
          <w:p w14:paraId="368D9362" w14:textId="69D17D74"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03</w:t>
            </w:r>
          </w:p>
        </w:tc>
        <w:tc>
          <w:tcPr>
            <w:tcW w:w="948" w:type="dxa"/>
          </w:tcPr>
          <w:p w14:paraId="705BDD42" w14:textId="77777777" w:rsidR="00C92DD2" w:rsidRPr="00E11FFB" w:rsidRDefault="00C92DD2" w:rsidP="00C92DD2">
            <w:pPr>
              <w:rPr>
                <w:rFonts w:ascii="Avenir" w:eastAsia="Avenir" w:hAnsi="Avenir" w:cs="Avenir"/>
                <w:color w:val="000000"/>
                <w:sz w:val="16"/>
                <w:szCs w:val="16"/>
              </w:rPr>
            </w:pPr>
          </w:p>
        </w:tc>
        <w:tc>
          <w:tcPr>
            <w:tcW w:w="1454" w:type="dxa"/>
          </w:tcPr>
          <w:p w14:paraId="0F4411D5"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416CDEBD" w14:textId="7DE695C5"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Activité portée par PGDF</w:t>
            </w:r>
          </w:p>
        </w:tc>
      </w:tr>
      <w:tr w:rsidR="00C92DD2" w:rsidRPr="00E11FFB" w14:paraId="799CEDB4" w14:textId="77777777" w:rsidTr="008D2FF7">
        <w:trPr>
          <w:trHeight w:val="868"/>
          <w:jc w:val="center"/>
        </w:trPr>
        <w:tc>
          <w:tcPr>
            <w:tcW w:w="3408" w:type="dxa"/>
          </w:tcPr>
          <w:p w14:paraId="0E5B1669" w14:textId="4C642DB0"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3.8 (Jalon 4 q) : Le décret formalisant la levée du moratoire sera adopté seulement après la réalisation, sur base d’un processus consultatif, d’une programmation géographique des futures allocations en adéquation avec le Décret Présidentiel n° 05/116 du 24 octobre 2005.</w:t>
            </w:r>
          </w:p>
        </w:tc>
        <w:tc>
          <w:tcPr>
            <w:tcW w:w="1987" w:type="dxa"/>
          </w:tcPr>
          <w:p w14:paraId="57777590" w14:textId="4E04CFD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Décret publié.</w:t>
            </w:r>
          </w:p>
        </w:tc>
        <w:tc>
          <w:tcPr>
            <w:tcW w:w="1374" w:type="dxa"/>
            <w:shd w:val="clear" w:color="auto" w:fill="FFFFFF" w:themeFill="background1"/>
          </w:tcPr>
          <w:p w14:paraId="1CE5F0BA" w14:textId="713A12D7" w:rsidR="00C92DD2" w:rsidRPr="00E11FFB" w:rsidRDefault="00B778DD"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3C50DA20" w14:textId="6D198FB3"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84" w:type="dxa"/>
          </w:tcPr>
          <w:p w14:paraId="04CCCD34" w14:textId="1117E4A5" w:rsidR="00C92DD2" w:rsidRPr="00E11FFB" w:rsidRDefault="00970BB2"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3FE8F39F" w14:textId="77777777" w:rsidR="00C92DD2" w:rsidRPr="00E11FFB" w:rsidRDefault="00C92DD2" w:rsidP="00C92DD2">
            <w:pPr>
              <w:rPr>
                <w:rFonts w:ascii="Avenir" w:eastAsia="Avenir" w:hAnsi="Avenir" w:cs="Avenir"/>
                <w:color w:val="000000"/>
                <w:sz w:val="16"/>
                <w:szCs w:val="16"/>
              </w:rPr>
            </w:pPr>
          </w:p>
        </w:tc>
        <w:tc>
          <w:tcPr>
            <w:tcW w:w="913" w:type="dxa"/>
          </w:tcPr>
          <w:p w14:paraId="66D6E949" w14:textId="4F75B14F"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5DC07D25" w14:textId="77777777" w:rsidR="00C92DD2" w:rsidRPr="00E11FFB" w:rsidRDefault="00C92DD2" w:rsidP="00C92DD2">
            <w:pPr>
              <w:rPr>
                <w:rFonts w:ascii="Avenir" w:eastAsia="Avenir" w:hAnsi="Avenir" w:cs="Avenir"/>
                <w:color w:val="000000"/>
                <w:sz w:val="16"/>
                <w:szCs w:val="16"/>
              </w:rPr>
            </w:pPr>
          </w:p>
        </w:tc>
        <w:tc>
          <w:tcPr>
            <w:tcW w:w="1454" w:type="dxa"/>
          </w:tcPr>
          <w:p w14:paraId="3C8DD64C"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286303FE" w14:textId="7D526710"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Un draft du décret</w:t>
            </w:r>
            <w:r w:rsidR="00970BB2" w:rsidRPr="00E11FFB">
              <w:rPr>
                <w:rFonts w:ascii="Avenir" w:eastAsia="Avenir" w:hAnsi="Avenir" w:cs="Avenir"/>
                <w:color w:val="000000"/>
                <w:sz w:val="16"/>
                <w:szCs w:val="16"/>
              </w:rPr>
              <w:t>, cartes de programmations géographiques</w:t>
            </w:r>
            <w:r w:rsidR="00651F6E" w:rsidRPr="00E11FFB">
              <w:rPr>
                <w:rFonts w:ascii="Avenir" w:eastAsia="Avenir" w:hAnsi="Avenir" w:cs="Avenir"/>
                <w:color w:val="000000"/>
                <w:sz w:val="16"/>
                <w:szCs w:val="16"/>
              </w:rPr>
              <w:t xml:space="preserve"> ont été élaborés en attente de validation</w:t>
            </w:r>
          </w:p>
        </w:tc>
      </w:tr>
      <w:tr w:rsidR="00C92DD2" w:rsidRPr="00E11FFB" w14:paraId="02F8F5A5" w14:textId="77777777" w:rsidTr="008D2FF7">
        <w:trPr>
          <w:trHeight w:val="318"/>
          <w:jc w:val="center"/>
        </w:trPr>
        <w:tc>
          <w:tcPr>
            <w:tcW w:w="3408" w:type="dxa"/>
            <w:vMerge w:val="restart"/>
          </w:tcPr>
          <w:p w14:paraId="1792FC2C" w14:textId="6A49562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3.9 (Jalon 4 r) : Élaborer de manière participative et adopter un Plan d’ici [fin 2025] pour assurer la protection effective des aires protégées existantes et étendre les espaces sous statut de protection à 30%, au minimum du territoire national d’ici à 2030.</w:t>
            </w:r>
          </w:p>
        </w:tc>
        <w:tc>
          <w:tcPr>
            <w:tcW w:w="1987" w:type="dxa"/>
          </w:tcPr>
          <w:p w14:paraId="7C78EB66"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Un Plan de protection des aires protégées ;</w:t>
            </w:r>
          </w:p>
          <w:p w14:paraId="7CE0EE89" w14:textId="00620D83" w:rsidR="00C92DD2" w:rsidRPr="00E11FFB" w:rsidRDefault="00C92DD2" w:rsidP="00C92DD2">
            <w:pPr>
              <w:rPr>
                <w:rFonts w:ascii="Avenir" w:eastAsia="Avenir" w:hAnsi="Avenir" w:cs="Avenir"/>
                <w:color w:val="000000"/>
                <w:sz w:val="16"/>
                <w:szCs w:val="16"/>
              </w:rPr>
            </w:pPr>
          </w:p>
        </w:tc>
        <w:tc>
          <w:tcPr>
            <w:tcW w:w="1374" w:type="dxa"/>
            <w:shd w:val="clear" w:color="auto" w:fill="FFFFFF" w:themeFill="background1"/>
          </w:tcPr>
          <w:p w14:paraId="5C2BF3B5" w14:textId="0D4DA5FC" w:rsidR="00C92DD2" w:rsidRPr="00E11FFB" w:rsidRDefault="00BD0E0F"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1D313D00" w14:textId="3B8CC561"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Un draft du Plan de protection des aires protégées.</w:t>
            </w:r>
          </w:p>
        </w:tc>
        <w:tc>
          <w:tcPr>
            <w:tcW w:w="1084" w:type="dxa"/>
          </w:tcPr>
          <w:p w14:paraId="04FDDF1A" w14:textId="4447E9E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1A64A178" w14:textId="30E9B11B"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Un Plan de protection et extension des aires protégée promulgué</w:t>
            </w:r>
          </w:p>
        </w:tc>
        <w:tc>
          <w:tcPr>
            <w:tcW w:w="913" w:type="dxa"/>
          </w:tcPr>
          <w:p w14:paraId="219334D7" w14:textId="77777777" w:rsidR="00C92DD2" w:rsidRPr="00E11FFB" w:rsidRDefault="00C92DD2" w:rsidP="00C92DD2">
            <w:pPr>
              <w:rPr>
                <w:rFonts w:ascii="Avenir" w:eastAsia="Avenir" w:hAnsi="Avenir" w:cs="Avenir"/>
                <w:color w:val="000000"/>
                <w:sz w:val="16"/>
                <w:szCs w:val="16"/>
              </w:rPr>
            </w:pPr>
          </w:p>
        </w:tc>
        <w:tc>
          <w:tcPr>
            <w:tcW w:w="948" w:type="dxa"/>
          </w:tcPr>
          <w:p w14:paraId="275ED115" w14:textId="77777777" w:rsidR="00C92DD2" w:rsidRPr="00E11FFB" w:rsidRDefault="00C92DD2" w:rsidP="00C92DD2">
            <w:pPr>
              <w:rPr>
                <w:rFonts w:ascii="Avenir" w:eastAsia="Avenir" w:hAnsi="Avenir" w:cs="Avenir"/>
                <w:color w:val="000000"/>
                <w:sz w:val="16"/>
                <w:szCs w:val="16"/>
              </w:rPr>
            </w:pPr>
          </w:p>
        </w:tc>
        <w:tc>
          <w:tcPr>
            <w:tcW w:w="1454" w:type="dxa"/>
          </w:tcPr>
          <w:p w14:paraId="7B87D636"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2531CFAD" w14:textId="5BB0C156"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Rapport de diagnostic et SPANB</w:t>
            </w:r>
          </w:p>
        </w:tc>
      </w:tr>
      <w:tr w:rsidR="00C92DD2" w:rsidRPr="00E11FFB" w14:paraId="4AEDDD4C" w14:textId="77777777" w:rsidTr="008D2FF7">
        <w:trPr>
          <w:trHeight w:val="318"/>
          <w:jc w:val="center"/>
        </w:trPr>
        <w:tc>
          <w:tcPr>
            <w:tcW w:w="3408" w:type="dxa"/>
            <w:vMerge/>
          </w:tcPr>
          <w:p w14:paraId="0893F2FE" w14:textId="77777777" w:rsidR="00C92DD2" w:rsidRPr="00E11FFB" w:rsidRDefault="00C92DD2" w:rsidP="00C92DD2">
            <w:pPr>
              <w:rPr>
                <w:rFonts w:ascii="Avenir" w:eastAsia="Avenir" w:hAnsi="Avenir" w:cs="Avenir"/>
                <w:color w:val="000000"/>
                <w:sz w:val="16"/>
                <w:szCs w:val="16"/>
              </w:rPr>
            </w:pPr>
          </w:p>
        </w:tc>
        <w:tc>
          <w:tcPr>
            <w:tcW w:w="1987" w:type="dxa"/>
          </w:tcPr>
          <w:p w14:paraId="2EDDB47E" w14:textId="4CACF976"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Une ordonnance portant extension des espaces sous statut de conservation publié.</w:t>
            </w:r>
          </w:p>
        </w:tc>
        <w:tc>
          <w:tcPr>
            <w:tcW w:w="1374" w:type="dxa"/>
            <w:shd w:val="clear" w:color="auto" w:fill="FFFFFF" w:themeFill="background1"/>
          </w:tcPr>
          <w:p w14:paraId="0A6224C9" w14:textId="14C2DB45" w:rsidR="00C92DD2" w:rsidRPr="00E11FFB" w:rsidRDefault="00BD0E0F"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7229F2C8" w14:textId="786CB232"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4E53D299" w14:textId="7C65B789"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00C31FD0" w14:textId="77777777" w:rsidR="00C92DD2" w:rsidRPr="00E11FFB" w:rsidRDefault="00C92DD2" w:rsidP="00C92DD2">
            <w:pPr>
              <w:rPr>
                <w:rFonts w:ascii="Avenir" w:eastAsia="Avenir" w:hAnsi="Avenir" w:cs="Avenir"/>
                <w:color w:val="000000"/>
                <w:sz w:val="16"/>
                <w:szCs w:val="16"/>
              </w:rPr>
            </w:pPr>
          </w:p>
        </w:tc>
        <w:tc>
          <w:tcPr>
            <w:tcW w:w="913" w:type="dxa"/>
          </w:tcPr>
          <w:p w14:paraId="58A81513" w14:textId="6AC54BA3"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433D61AE" w14:textId="77777777" w:rsidR="00C92DD2" w:rsidRPr="00E11FFB" w:rsidRDefault="00C92DD2" w:rsidP="00C92DD2">
            <w:pPr>
              <w:rPr>
                <w:rFonts w:ascii="Avenir" w:eastAsia="Avenir" w:hAnsi="Avenir" w:cs="Avenir"/>
                <w:color w:val="000000"/>
                <w:sz w:val="16"/>
                <w:szCs w:val="16"/>
              </w:rPr>
            </w:pPr>
          </w:p>
        </w:tc>
        <w:tc>
          <w:tcPr>
            <w:tcW w:w="1454" w:type="dxa"/>
          </w:tcPr>
          <w:p w14:paraId="24D9251B"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39714EEE" w14:textId="1C49A9B3"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La RDC a décidé de créer le couloir vert pour renforcer l’extension des espaces conservés en RDC (</w:t>
            </w:r>
            <w:hyperlink r:id="rId21" w:history="1">
              <w:r w:rsidRPr="00E11FFB">
                <w:rPr>
                  <w:rStyle w:val="Lienhypertexte"/>
                  <w:rFonts w:ascii="Avenir" w:eastAsia="Avenir" w:hAnsi="Avenir" w:cs="Avenir"/>
                  <w:sz w:val="16"/>
                  <w:szCs w:val="16"/>
                </w:rPr>
                <w:t>Décision création du couloir vert</w:t>
              </w:r>
            </w:hyperlink>
            <w:r w:rsidRPr="00E11FFB">
              <w:rPr>
                <w:rFonts w:ascii="Avenir" w:eastAsia="Avenir" w:hAnsi="Avenir" w:cs="Avenir"/>
                <w:color w:val="000000"/>
                <w:sz w:val="16"/>
                <w:szCs w:val="16"/>
              </w:rPr>
              <w:t xml:space="preserve">) </w:t>
            </w:r>
          </w:p>
        </w:tc>
      </w:tr>
      <w:tr w:rsidR="00C92DD2" w:rsidRPr="00E11FFB" w14:paraId="6F0ED91D" w14:textId="77777777" w:rsidTr="008D2FF7">
        <w:trPr>
          <w:trHeight w:val="318"/>
          <w:jc w:val="center"/>
        </w:trPr>
        <w:tc>
          <w:tcPr>
            <w:tcW w:w="3408" w:type="dxa"/>
            <w:vMerge w:val="restart"/>
          </w:tcPr>
          <w:p w14:paraId="5DFF1065" w14:textId="34161AD9"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3.10 (jalon 4 s) : Élaboration et adoption d'un guide de bonne pratique d’ici fin 2023, en vue d’atteindre 5 millions d’hectares au total de Concessions Forestières des Forêts des Communautés Locales (CFCL) d’ici à fin 2031. Jalon pris en charge totalement par le PGDF.</w:t>
            </w:r>
          </w:p>
        </w:tc>
        <w:tc>
          <w:tcPr>
            <w:tcW w:w="1987" w:type="dxa"/>
          </w:tcPr>
          <w:p w14:paraId="1B36883E"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Guide des bonnes pratiques d’octroi des concessions forestières des communautés locales (CFCL) validé et publié.</w:t>
            </w:r>
          </w:p>
          <w:p w14:paraId="1D24D287" w14:textId="22436D96" w:rsidR="00C92DD2" w:rsidRPr="00E11FFB" w:rsidRDefault="00C92DD2" w:rsidP="00C92DD2">
            <w:pPr>
              <w:rPr>
                <w:rFonts w:ascii="Avenir" w:eastAsia="Avenir" w:hAnsi="Avenir" w:cs="Avenir"/>
                <w:color w:val="000000"/>
                <w:sz w:val="16"/>
                <w:szCs w:val="16"/>
              </w:rPr>
            </w:pPr>
          </w:p>
        </w:tc>
        <w:tc>
          <w:tcPr>
            <w:tcW w:w="1374" w:type="dxa"/>
            <w:shd w:val="clear" w:color="auto" w:fill="FFFFFF" w:themeFill="background1"/>
          </w:tcPr>
          <w:p w14:paraId="28AD44BC" w14:textId="1D80AFF9" w:rsidR="00C92DD2" w:rsidRPr="00E11FFB" w:rsidRDefault="00B0581B"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1A32A2E9" w14:textId="3BF2445C" w:rsidR="00C92DD2" w:rsidRPr="00E11FFB" w:rsidRDefault="00C92DD2" w:rsidP="00C92DD2">
            <w:pPr>
              <w:rPr>
                <w:rFonts w:ascii="Avenir" w:eastAsia="Avenir" w:hAnsi="Avenir" w:cs="Avenir"/>
                <w:color w:val="000000"/>
                <w:sz w:val="16"/>
                <w:szCs w:val="16"/>
              </w:rPr>
            </w:pPr>
            <w:r w:rsidRPr="0048260B">
              <w:rPr>
                <w:rFonts w:ascii="Avenir" w:eastAsia="Avenir" w:hAnsi="Avenir" w:cs="Avenir"/>
                <w:color w:val="000000"/>
                <w:sz w:val="16"/>
                <w:szCs w:val="16"/>
              </w:rPr>
              <w:t>Un draft du Guide des bonnes pratiques d’octroi des CFCL.</w:t>
            </w:r>
          </w:p>
        </w:tc>
        <w:tc>
          <w:tcPr>
            <w:tcW w:w="1084" w:type="dxa"/>
          </w:tcPr>
          <w:p w14:paraId="23A08A7B" w14:textId="64157A9A"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60ED4F3F" w14:textId="39A888FF"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Guide des bonnes pratiques d’octroi des CFCL.</w:t>
            </w:r>
          </w:p>
        </w:tc>
        <w:tc>
          <w:tcPr>
            <w:tcW w:w="913" w:type="dxa"/>
          </w:tcPr>
          <w:p w14:paraId="0B06176E" w14:textId="77777777" w:rsidR="00C92DD2" w:rsidRPr="00E11FFB" w:rsidRDefault="00C92DD2" w:rsidP="00C92DD2">
            <w:pPr>
              <w:rPr>
                <w:rFonts w:ascii="Avenir" w:eastAsia="Avenir" w:hAnsi="Avenir" w:cs="Avenir"/>
                <w:color w:val="000000"/>
                <w:sz w:val="16"/>
                <w:szCs w:val="16"/>
              </w:rPr>
            </w:pPr>
          </w:p>
        </w:tc>
        <w:tc>
          <w:tcPr>
            <w:tcW w:w="948" w:type="dxa"/>
          </w:tcPr>
          <w:p w14:paraId="03BD8DE3" w14:textId="77777777" w:rsidR="00C92DD2" w:rsidRPr="00E11FFB" w:rsidRDefault="00C92DD2" w:rsidP="00C92DD2">
            <w:pPr>
              <w:rPr>
                <w:rFonts w:ascii="Avenir" w:eastAsia="Avenir" w:hAnsi="Avenir" w:cs="Avenir"/>
                <w:color w:val="000000"/>
                <w:sz w:val="16"/>
                <w:szCs w:val="16"/>
              </w:rPr>
            </w:pPr>
          </w:p>
        </w:tc>
        <w:tc>
          <w:tcPr>
            <w:tcW w:w="1454" w:type="dxa"/>
          </w:tcPr>
          <w:p w14:paraId="19F8F66A"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7F11F5C7" w14:textId="46D57FD5"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Activité portée par PGDF</w:t>
            </w:r>
          </w:p>
        </w:tc>
      </w:tr>
      <w:tr w:rsidR="00C92DD2" w:rsidRPr="00E11FFB" w14:paraId="4709E27D" w14:textId="77777777" w:rsidTr="008D2FF7">
        <w:trPr>
          <w:trHeight w:val="318"/>
          <w:jc w:val="center"/>
        </w:trPr>
        <w:tc>
          <w:tcPr>
            <w:tcW w:w="3408" w:type="dxa"/>
            <w:vMerge/>
          </w:tcPr>
          <w:p w14:paraId="3FD48110" w14:textId="77777777" w:rsidR="00C92DD2" w:rsidRPr="00E11FFB" w:rsidRDefault="00C92DD2" w:rsidP="00C92DD2">
            <w:pPr>
              <w:rPr>
                <w:rFonts w:ascii="Avenir" w:eastAsia="Avenir" w:hAnsi="Avenir" w:cs="Avenir"/>
                <w:color w:val="000000"/>
                <w:sz w:val="16"/>
                <w:szCs w:val="16"/>
              </w:rPr>
            </w:pPr>
          </w:p>
        </w:tc>
        <w:tc>
          <w:tcPr>
            <w:tcW w:w="1987" w:type="dxa"/>
          </w:tcPr>
          <w:p w14:paraId="56680D84" w14:textId="0FCFC8EB"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Données des CFCL publiées annuellement</w:t>
            </w:r>
          </w:p>
        </w:tc>
        <w:tc>
          <w:tcPr>
            <w:tcW w:w="1374" w:type="dxa"/>
            <w:shd w:val="clear" w:color="auto" w:fill="FFFFFF" w:themeFill="background1"/>
          </w:tcPr>
          <w:p w14:paraId="70DB5E76" w14:textId="5984CBA4" w:rsidR="00C92DD2" w:rsidRPr="00E11FFB" w:rsidRDefault="00B0581B"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AC3C915" w14:textId="315BA66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3405F9FB" w14:textId="4798A925" w:rsidR="00C92DD2" w:rsidRPr="00E11FFB" w:rsidRDefault="001E4937"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6453D35F" w14:textId="240B9EC0"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13" w:type="dxa"/>
          </w:tcPr>
          <w:p w14:paraId="7EE0BE65" w14:textId="77777777" w:rsidR="00C92DD2" w:rsidRPr="00E11FFB" w:rsidRDefault="00C92DD2" w:rsidP="00C92DD2">
            <w:pPr>
              <w:rPr>
                <w:rFonts w:ascii="Avenir" w:eastAsia="Avenir" w:hAnsi="Avenir" w:cs="Avenir"/>
                <w:color w:val="000000"/>
                <w:sz w:val="16"/>
                <w:szCs w:val="16"/>
              </w:rPr>
            </w:pPr>
          </w:p>
        </w:tc>
        <w:tc>
          <w:tcPr>
            <w:tcW w:w="948" w:type="dxa"/>
          </w:tcPr>
          <w:p w14:paraId="0EF5358F" w14:textId="77777777" w:rsidR="00C92DD2" w:rsidRPr="00E11FFB" w:rsidRDefault="00C92DD2" w:rsidP="00C92DD2">
            <w:pPr>
              <w:rPr>
                <w:rFonts w:ascii="Avenir" w:eastAsia="Avenir" w:hAnsi="Avenir" w:cs="Avenir"/>
                <w:color w:val="000000"/>
                <w:sz w:val="16"/>
                <w:szCs w:val="16"/>
              </w:rPr>
            </w:pPr>
          </w:p>
        </w:tc>
        <w:tc>
          <w:tcPr>
            <w:tcW w:w="1454" w:type="dxa"/>
          </w:tcPr>
          <w:p w14:paraId="70147501"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5BD9A132" w14:textId="33CD6D02" w:rsidR="00C92DD2" w:rsidRPr="00E11FFB" w:rsidRDefault="00AD09D7"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Voir site CFCL</w:t>
            </w:r>
          </w:p>
        </w:tc>
      </w:tr>
      <w:tr w:rsidR="00C92DD2" w:rsidRPr="00E11FFB" w14:paraId="6CB96C2A" w14:textId="77777777" w:rsidTr="008D2FF7">
        <w:trPr>
          <w:trHeight w:val="337"/>
          <w:jc w:val="center"/>
        </w:trPr>
        <w:tc>
          <w:tcPr>
            <w:tcW w:w="3408" w:type="dxa"/>
            <w:vMerge w:val="restart"/>
          </w:tcPr>
          <w:p w14:paraId="5DAA5AE5" w14:textId="71D479B9"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3.11 (Jalon 4 t) : Les données de déforestation et de dégradation des forêts générées à l’échelle nationale et provinciale par le SNSF, ainsi que les données [clés] de l’inventaire forestier national, sont mises à jour annuellement et améliorées graduellement.</w:t>
            </w:r>
          </w:p>
        </w:tc>
        <w:tc>
          <w:tcPr>
            <w:tcW w:w="1987" w:type="dxa"/>
          </w:tcPr>
          <w:p w14:paraId="6B6DF023" w14:textId="5346E98D"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Banque des données de déforestation 2000-2020</w:t>
            </w:r>
          </w:p>
        </w:tc>
        <w:tc>
          <w:tcPr>
            <w:tcW w:w="1374" w:type="dxa"/>
            <w:shd w:val="clear" w:color="auto" w:fill="FFFFFF" w:themeFill="background1"/>
          </w:tcPr>
          <w:p w14:paraId="73A24C99" w14:textId="04838813" w:rsidR="00C92DD2" w:rsidRPr="00E11FFB" w:rsidRDefault="00B0581B"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58983D9" w14:textId="5F651AC5"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p w14:paraId="34617A5A" w14:textId="544CD430" w:rsidR="00C92DD2" w:rsidRPr="00E11FFB" w:rsidRDefault="00C92DD2" w:rsidP="00C92DD2">
            <w:pPr>
              <w:rPr>
                <w:rFonts w:ascii="Avenir" w:eastAsia="Avenir" w:hAnsi="Avenir" w:cs="Avenir"/>
                <w:color w:val="000000"/>
                <w:sz w:val="16"/>
                <w:szCs w:val="16"/>
              </w:rPr>
            </w:pPr>
          </w:p>
        </w:tc>
        <w:tc>
          <w:tcPr>
            <w:tcW w:w="1084" w:type="dxa"/>
          </w:tcPr>
          <w:p w14:paraId="1A9F9069" w14:textId="6F1B36B5" w:rsidR="00C92DD2" w:rsidRPr="00E11FFB" w:rsidRDefault="00B932DB"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7673CB15" w14:textId="77777777" w:rsidR="00C92DD2" w:rsidRPr="00E11FFB" w:rsidRDefault="00C92DD2" w:rsidP="00C92DD2">
            <w:pPr>
              <w:rPr>
                <w:rFonts w:ascii="Avenir" w:eastAsia="Avenir" w:hAnsi="Avenir" w:cs="Avenir"/>
                <w:color w:val="000000"/>
                <w:sz w:val="16"/>
                <w:szCs w:val="16"/>
              </w:rPr>
            </w:pPr>
          </w:p>
        </w:tc>
        <w:tc>
          <w:tcPr>
            <w:tcW w:w="913" w:type="dxa"/>
          </w:tcPr>
          <w:p w14:paraId="209A1879" w14:textId="34D7ECD3"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p w14:paraId="5342D4A5" w14:textId="67977A09" w:rsidR="00C92DD2" w:rsidRPr="00E11FFB" w:rsidRDefault="00C92DD2" w:rsidP="00C92DD2">
            <w:pPr>
              <w:rPr>
                <w:rFonts w:ascii="Avenir" w:eastAsia="Avenir" w:hAnsi="Avenir" w:cs="Avenir"/>
                <w:color w:val="000000"/>
                <w:sz w:val="16"/>
                <w:szCs w:val="16"/>
              </w:rPr>
            </w:pPr>
          </w:p>
        </w:tc>
        <w:tc>
          <w:tcPr>
            <w:tcW w:w="948" w:type="dxa"/>
          </w:tcPr>
          <w:p w14:paraId="45E4AD0F" w14:textId="77777777" w:rsidR="00C92DD2" w:rsidRPr="00E11FFB" w:rsidRDefault="00C92DD2" w:rsidP="00C92DD2">
            <w:pPr>
              <w:rPr>
                <w:rFonts w:ascii="Avenir" w:eastAsia="Avenir" w:hAnsi="Avenir" w:cs="Avenir"/>
                <w:color w:val="000000"/>
                <w:sz w:val="16"/>
                <w:szCs w:val="16"/>
              </w:rPr>
            </w:pPr>
          </w:p>
        </w:tc>
        <w:tc>
          <w:tcPr>
            <w:tcW w:w="1454" w:type="dxa"/>
          </w:tcPr>
          <w:p w14:paraId="70D00099"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76B3D9DA" w14:textId="77777777" w:rsidR="00C92DD2" w:rsidRPr="00E11FFB" w:rsidRDefault="00C92DD2" w:rsidP="00C92DD2">
            <w:pPr>
              <w:spacing w:after="5"/>
              <w:rPr>
                <w:rFonts w:ascii="Avenir" w:eastAsia="Avenir" w:hAnsi="Avenir" w:cs="Avenir"/>
                <w:color w:val="000000"/>
                <w:sz w:val="16"/>
                <w:szCs w:val="16"/>
              </w:rPr>
            </w:pPr>
          </w:p>
        </w:tc>
      </w:tr>
      <w:tr w:rsidR="00C92DD2" w:rsidRPr="00E11FFB" w14:paraId="1E3BE34C" w14:textId="77777777" w:rsidTr="008D2FF7">
        <w:trPr>
          <w:trHeight w:val="318"/>
          <w:jc w:val="center"/>
        </w:trPr>
        <w:tc>
          <w:tcPr>
            <w:tcW w:w="3408" w:type="dxa"/>
            <w:vMerge/>
          </w:tcPr>
          <w:p w14:paraId="0D4A50DA" w14:textId="77777777" w:rsidR="00C92DD2" w:rsidRPr="00E11FFB" w:rsidRDefault="00C92DD2" w:rsidP="00C92DD2">
            <w:pPr>
              <w:rPr>
                <w:rFonts w:ascii="Avenir" w:eastAsia="Avenir" w:hAnsi="Avenir" w:cs="Avenir"/>
                <w:color w:val="000000"/>
                <w:sz w:val="16"/>
                <w:szCs w:val="16"/>
              </w:rPr>
            </w:pPr>
          </w:p>
        </w:tc>
        <w:tc>
          <w:tcPr>
            <w:tcW w:w="1987" w:type="dxa"/>
          </w:tcPr>
          <w:p w14:paraId="770C611B" w14:textId="0780D573"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Etat des lieux du couvert forestier de la RDC rendu</w:t>
            </w:r>
          </w:p>
        </w:tc>
        <w:tc>
          <w:tcPr>
            <w:tcW w:w="1374" w:type="dxa"/>
            <w:shd w:val="clear" w:color="auto" w:fill="FFFFFF" w:themeFill="background1"/>
          </w:tcPr>
          <w:p w14:paraId="30F64591" w14:textId="01031A6B" w:rsidR="00C92DD2" w:rsidRPr="00E11FFB" w:rsidRDefault="00B0581B"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27514AC" w14:textId="0CD90E99"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p w14:paraId="72D78FC8" w14:textId="7AFE6BFF" w:rsidR="00C92DD2" w:rsidRPr="00E11FFB" w:rsidRDefault="00C92DD2" w:rsidP="00C92DD2">
            <w:pPr>
              <w:rPr>
                <w:rFonts w:ascii="Avenir" w:eastAsia="Avenir" w:hAnsi="Avenir" w:cs="Avenir"/>
                <w:color w:val="000000"/>
                <w:sz w:val="16"/>
                <w:szCs w:val="16"/>
              </w:rPr>
            </w:pPr>
          </w:p>
        </w:tc>
        <w:tc>
          <w:tcPr>
            <w:tcW w:w="1084" w:type="dxa"/>
          </w:tcPr>
          <w:p w14:paraId="52B3F021" w14:textId="020EA948" w:rsidR="00C92DD2" w:rsidRPr="00E11FFB" w:rsidRDefault="00B932DB" w:rsidP="00C92DD2">
            <w:pP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5C100139" w14:textId="77777777" w:rsidR="00C92DD2" w:rsidRPr="00E11FFB" w:rsidRDefault="00C92DD2" w:rsidP="00C92DD2">
            <w:pPr>
              <w:rPr>
                <w:rFonts w:ascii="Avenir" w:eastAsia="Avenir" w:hAnsi="Avenir" w:cs="Avenir"/>
                <w:color w:val="000000"/>
                <w:sz w:val="16"/>
                <w:szCs w:val="16"/>
              </w:rPr>
            </w:pPr>
          </w:p>
        </w:tc>
        <w:tc>
          <w:tcPr>
            <w:tcW w:w="913" w:type="dxa"/>
          </w:tcPr>
          <w:p w14:paraId="39319BBD" w14:textId="09E79DC5"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p w14:paraId="6D0BBC60" w14:textId="06A26E42" w:rsidR="00C92DD2" w:rsidRPr="00E11FFB" w:rsidRDefault="00C92DD2" w:rsidP="00C92DD2">
            <w:pPr>
              <w:rPr>
                <w:rFonts w:ascii="Avenir" w:eastAsia="Avenir" w:hAnsi="Avenir" w:cs="Avenir"/>
                <w:color w:val="000000"/>
                <w:sz w:val="16"/>
                <w:szCs w:val="16"/>
              </w:rPr>
            </w:pPr>
          </w:p>
        </w:tc>
        <w:tc>
          <w:tcPr>
            <w:tcW w:w="948" w:type="dxa"/>
          </w:tcPr>
          <w:p w14:paraId="76469274" w14:textId="77777777" w:rsidR="00C92DD2" w:rsidRPr="00E11FFB" w:rsidRDefault="00C92DD2" w:rsidP="00C92DD2">
            <w:pPr>
              <w:rPr>
                <w:rFonts w:ascii="Avenir" w:eastAsia="Avenir" w:hAnsi="Avenir" w:cs="Avenir"/>
                <w:color w:val="000000"/>
                <w:sz w:val="16"/>
                <w:szCs w:val="16"/>
              </w:rPr>
            </w:pPr>
          </w:p>
        </w:tc>
        <w:tc>
          <w:tcPr>
            <w:tcW w:w="1454" w:type="dxa"/>
          </w:tcPr>
          <w:p w14:paraId="0C6D556B"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5972A54A" w14:textId="77777777" w:rsidR="00C92DD2" w:rsidRPr="00E11FFB" w:rsidRDefault="00C92DD2" w:rsidP="00C92DD2">
            <w:pPr>
              <w:spacing w:after="5"/>
              <w:rPr>
                <w:rFonts w:ascii="Avenir" w:eastAsia="Avenir" w:hAnsi="Avenir" w:cs="Avenir"/>
                <w:color w:val="000000"/>
                <w:sz w:val="16"/>
                <w:szCs w:val="16"/>
              </w:rPr>
            </w:pPr>
          </w:p>
        </w:tc>
      </w:tr>
      <w:tr w:rsidR="00C92DD2" w:rsidRPr="00E11FFB" w14:paraId="0D79896E" w14:textId="77777777" w:rsidTr="008D2FF7">
        <w:trPr>
          <w:trHeight w:val="318"/>
          <w:jc w:val="center"/>
        </w:trPr>
        <w:tc>
          <w:tcPr>
            <w:tcW w:w="3408" w:type="dxa"/>
            <w:vMerge/>
          </w:tcPr>
          <w:p w14:paraId="34446CFC" w14:textId="77777777" w:rsidR="00C92DD2" w:rsidRPr="00E11FFB" w:rsidRDefault="00C92DD2" w:rsidP="00C92DD2">
            <w:pPr>
              <w:rPr>
                <w:rFonts w:ascii="Avenir" w:eastAsia="Avenir" w:hAnsi="Avenir" w:cs="Avenir"/>
                <w:color w:val="000000"/>
                <w:sz w:val="16"/>
                <w:szCs w:val="16"/>
              </w:rPr>
            </w:pPr>
          </w:p>
        </w:tc>
        <w:tc>
          <w:tcPr>
            <w:tcW w:w="1987" w:type="dxa"/>
          </w:tcPr>
          <w:p w14:paraId="03B97A45" w14:textId="77777777" w:rsidR="00B778DD" w:rsidRPr="002142A2" w:rsidRDefault="00B778DD" w:rsidP="00B778DD">
            <w:pPr>
              <w:pStyle w:val="Default"/>
              <w:rPr>
                <w:sz w:val="16"/>
                <w:szCs w:val="16"/>
                <w:lang w:val="fr-CD"/>
              </w:rPr>
            </w:pPr>
            <w:r w:rsidRPr="002142A2">
              <w:rPr>
                <w:sz w:val="16"/>
                <w:szCs w:val="16"/>
                <w:lang w:val="fr-CD"/>
              </w:rPr>
              <w:t xml:space="preserve">Rapport de l’IFN actualisé ; </w:t>
            </w:r>
          </w:p>
          <w:p w14:paraId="14BD3297"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Banque des données de déforestation et de dégradation des forêts</w:t>
            </w:r>
          </w:p>
          <w:p w14:paraId="4015C8E7" w14:textId="18B7F4C5"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Données nationales des EMD actualisées et publiées.</w:t>
            </w:r>
          </w:p>
        </w:tc>
        <w:tc>
          <w:tcPr>
            <w:tcW w:w="1374" w:type="dxa"/>
            <w:shd w:val="clear" w:color="auto" w:fill="FFFFFF" w:themeFill="background1"/>
          </w:tcPr>
          <w:p w14:paraId="1EC91917" w14:textId="596D5D68" w:rsidR="00C92DD2" w:rsidRPr="00E11FFB" w:rsidRDefault="00B778DD"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23D452A9" w14:textId="0471961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2373E5ED" w14:textId="77777777" w:rsidR="00C92DD2" w:rsidRPr="00E11FFB" w:rsidRDefault="00C92DD2" w:rsidP="00C92DD2">
            <w:pPr>
              <w:rPr>
                <w:rFonts w:ascii="Avenir" w:eastAsia="Avenir" w:hAnsi="Avenir" w:cs="Avenir"/>
                <w:color w:val="000000"/>
                <w:sz w:val="16"/>
                <w:szCs w:val="16"/>
              </w:rPr>
            </w:pPr>
          </w:p>
        </w:tc>
        <w:tc>
          <w:tcPr>
            <w:tcW w:w="959" w:type="dxa"/>
          </w:tcPr>
          <w:p w14:paraId="30488858" w14:textId="77777777" w:rsidR="00C92DD2" w:rsidRPr="00E11FFB" w:rsidRDefault="00C92DD2" w:rsidP="00C92DD2">
            <w:pPr>
              <w:rPr>
                <w:rFonts w:ascii="Avenir" w:eastAsia="Avenir" w:hAnsi="Avenir" w:cs="Avenir"/>
                <w:color w:val="000000"/>
                <w:sz w:val="16"/>
                <w:szCs w:val="16"/>
              </w:rPr>
            </w:pPr>
          </w:p>
        </w:tc>
        <w:tc>
          <w:tcPr>
            <w:tcW w:w="913" w:type="dxa"/>
          </w:tcPr>
          <w:p w14:paraId="69A36A3D" w14:textId="1497C4CD"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3D2F90EF" w14:textId="77777777" w:rsidR="00C92DD2" w:rsidRPr="00E11FFB" w:rsidRDefault="00C92DD2" w:rsidP="00C92DD2">
            <w:pPr>
              <w:rPr>
                <w:rFonts w:ascii="Avenir" w:eastAsia="Avenir" w:hAnsi="Avenir" w:cs="Avenir"/>
                <w:color w:val="000000"/>
                <w:sz w:val="16"/>
                <w:szCs w:val="16"/>
              </w:rPr>
            </w:pPr>
          </w:p>
        </w:tc>
        <w:tc>
          <w:tcPr>
            <w:tcW w:w="1454" w:type="dxa"/>
          </w:tcPr>
          <w:p w14:paraId="64D7F471"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4BC9882A" w14:textId="77777777" w:rsidR="00C92DD2" w:rsidRPr="00E11FFB" w:rsidRDefault="00C92DD2" w:rsidP="00C92DD2">
            <w:pPr>
              <w:spacing w:after="5"/>
              <w:rPr>
                <w:rFonts w:ascii="Avenir" w:eastAsia="Avenir" w:hAnsi="Avenir" w:cs="Avenir"/>
                <w:color w:val="000000"/>
                <w:sz w:val="16"/>
                <w:szCs w:val="16"/>
              </w:rPr>
            </w:pPr>
          </w:p>
        </w:tc>
      </w:tr>
      <w:tr w:rsidR="00C92DD2" w:rsidRPr="00E11FFB" w14:paraId="5686B99A" w14:textId="77777777" w:rsidTr="008D2FF7">
        <w:trPr>
          <w:trHeight w:val="318"/>
          <w:jc w:val="center"/>
        </w:trPr>
        <w:tc>
          <w:tcPr>
            <w:tcW w:w="3408" w:type="dxa"/>
            <w:vMerge/>
          </w:tcPr>
          <w:p w14:paraId="74B0BA25" w14:textId="77777777" w:rsidR="00C92DD2" w:rsidRPr="00E11FFB" w:rsidRDefault="00C92DD2" w:rsidP="00C92DD2">
            <w:pPr>
              <w:rPr>
                <w:rFonts w:ascii="Avenir" w:eastAsia="Avenir" w:hAnsi="Avenir" w:cs="Avenir"/>
                <w:color w:val="000000"/>
                <w:sz w:val="16"/>
                <w:szCs w:val="16"/>
              </w:rPr>
            </w:pPr>
          </w:p>
        </w:tc>
        <w:tc>
          <w:tcPr>
            <w:tcW w:w="1987" w:type="dxa"/>
          </w:tcPr>
          <w:p w14:paraId="3AE21614" w14:textId="1FF5A55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Banque des données sur l’inventaire forestier national (IFN) Parcelles permanentes des forêts de la RDC</w:t>
            </w:r>
          </w:p>
        </w:tc>
        <w:tc>
          <w:tcPr>
            <w:tcW w:w="1374" w:type="dxa"/>
            <w:shd w:val="clear" w:color="auto" w:fill="FFFFFF" w:themeFill="background1"/>
          </w:tcPr>
          <w:p w14:paraId="0E75C1D4" w14:textId="274070FE" w:rsidR="00C92DD2" w:rsidRPr="00E11FFB" w:rsidRDefault="00B778DD"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1DC97603"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Rapport de l’IFN actualisé ;</w:t>
            </w:r>
          </w:p>
          <w:p w14:paraId="54C10A1C"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Données provinciales des EMD actualisées et publiées ;</w:t>
            </w:r>
          </w:p>
          <w:p w14:paraId="56999D35" w14:textId="1D9C6AD3"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 xml:space="preserve">Données nationales des EMD actualisées et publiées. </w:t>
            </w:r>
          </w:p>
        </w:tc>
        <w:tc>
          <w:tcPr>
            <w:tcW w:w="1084" w:type="dxa"/>
          </w:tcPr>
          <w:p w14:paraId="5E30E720" w14:textId="77777777" w:rsidR="00C92DD2" w:rsidRPr="00E11FFB" w:rsidRDefault="00C92DD2" w:rsidP="00C92DD2">
            <w:pPr>
              <w:rPr>
                <w:rFonts w:ascii="Avenir" w:eastAsia="Avenir" w:hAnsi="Avenir" w:cs="Avenir"/>
                <w:color w:val="000000"/>
                <w:sz w:val="16"/>
                <w:szCs w:val="16"/>
              </w:rPr>
            </w:pPr>
          </w:p>
        </w:tc>
        <w:tc>
          <w:tcPr>
            <w:tcW w:w="959" w:type="dxa"/>
          </w:tcPr>
          <w:p w14:paraId="151F8D8B" w14:textId="77777777" w:rsidR="00C92DD2" w:rsidRPr="00E11FFB" w:rsidRDefault="00C92DD2" w:rsidP="00C92DD2">
            <w:pPr>
              <w:rPr>
                <w:rFonts w:ascii="Avenir" w:eastAsia="Avenir" w:hAnsi="Avenir" w:cs="Avenir"/>
                <w:color w:val="000000"/>
                <w:sz w:val="16"/>
                <w:szCs w:val="16"/>
              </w:rPr>
            </w:pPr>
          </w:p>
        </w:tc>
        <w:tc>
          <w:tcPr>
            <w:tcW w:w="913" w:type="dxa"/>
          </w:tcPr>
          <w:p w14:paraId="437A5623"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Rapport de l’IFN actualisé ;</w:t>
            </w:r>
          </w:p>
          <w:p w14:paraId="47475BE0"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Données provinciales des EMD actualisées et publiées ;</w:t>
            </w:r>
          </w:p>
          <w:p w14:paraId="7685DBF1" w14:textId="14BAE25E"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 xml:space="preserve">Données nationales des EMD actualisées et publiées. </w:t>
            </w:r>
          </w:p>
        </w:tc>
        <w:tc>
          <w:tcPr>
            <w:tcW w:w="948" w:type="dxa"/>
          </w:tcPr>
          <w:p w14:paraId="0853B393" w14:textId="77777777" w:rsidR="00C92DD2" w:rsidRPr="00E11FFB" w:rsidRDefault="00C92DD2" w:rsidP="00C92DD2">
            <w:pPr>
              <w:rPr>
                <w:rFonts w:ascii="Avenir" w:eastAsia="Avenir" w:hAnsi="Avenir" w:cs="Avenir"/>
                <w:color w:val="000000"/>
                <w:sz w:val="16"/>
                <w:szCs w:val="16"/>
              </w:rPr>
            </w:pPr>
          </w:p>
        </w:tc>
        <w:tc>
          <w:tcPr>
            <w:tcW w:w="1454" w:type="dxa"/>
          </w:tcPr>
          <w:p w14:paraId="0E1CCE2B"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021E1134" w14:textId="77777777" w:rsidR="00C92DD2" w:rsidRPr="00E11FFB" w:rsidRDefault="00C92DD2" w:rsidP="00C92DD2">
            <w:pPr>
              <w:spacing w:after="5"/>
              <w:rPr>
                <w:rFonts w:ascii="Avenir" w:eastAsia="Avenir" w:hAnsi="Avenir" w:cs="Avenir"/>
                <w:color w:val="000000"/>
                <w:sz w:val="16"/>
                <w:szCs w:val="16"/>
              </w:rPr>
            </w:pPr>
          </w:p>
        </w:tc>
      </w:tr>
      <w:tr w:rsidR="00C92DD2" w:rsidRPr="00E11FFB" w14:paraId="708F2ADC" w14:textId="77777777" w:rsidTr="008D2FF7">
        <w:trPr>
          <w:trHeight w:val="318"/>
          <w:jc w:val="center"/>
        </w:trPr>
        <w:tc>
          <w:tcPr>
            <w:tcW w:w="3408" w:type="dxa"/>
            <w:vMerge w:val="restart"/>
            <w:vAlign w:val="center"/>
          </w:tcPr>
          <w:p w14:paraId="127C9FBA" w14:textId="00BD4A26" w:rsidR="00C92DD2" w:rsidRPr="00E11FFB" w:rsidRDefault="00C92DD2" w:rsidP="00C92DD2">
            <w:pPr>
              <w:rPr>
                <w:rFonts w:ascii="Avenir" w:eastAsia="Avenir" w:hAnsi="Avenir" w:cs="Avenir"/>
                <w:color w:val="000000"/>
                <w:sz w:val="16"/>
                <w:szCs w:val="16"/>
              </w:rPr>
            </w:pPr>
            <w:r w:rsidRPr="00E11FFB">
              <w:rPr>
                <w:rFonts w:ascii="Avenir" w:hAnsi="Avenir"/>
                <w:sz w:val="16"/>
                <w:szCs w:val="16"/>
              </w:rPr>
              <w:t>Produit 3.12 (Jalon 4 u) : Les Rapports biennaux actualis</w:t>
            </w:r>
            <w:r w:rsidRPr="00E11FFB">
              <w:rPr>
                <w:rFonts w:ascii="Avenir" w:hAnsi="Avenir" w:hint="eastAsia"/>
                <w:sz w:val="16"/>
                <w:szCs w:val="16"/>
              </w:rPr>
              <w:t>é</w:t>
            </w:r>
            <w:r w:rsidRPr="00E11FFB">
              <w:rPr>
                <w:rFonts w:ascii="Avenir" w:hAnsi="Avenir"/>
                <w:sz w:val="16"/>
                <w:szCs w:val="16"/>
              </w:rPr>
              <w:t xml:space="preserve">s (BUR) sont soumis </w:t>
            </w:r>
            <w:r w:rsidRPr="00E11FFB">
              <w:rPr>
                <w:rFonts w:ascii="Avenir" w:hAnsi="Avenir" w:hint="eastAsia"/>
                <w:sz w:val="16"/>
                <w:szCs w:val="16"/>
              </w:rPr>
              <w:t>à</w:t>
            </w:r>
            <w:r w:rsidRPr="00E11FFB">
              <w:rPr>
                <w:rFonts w:ascii="Avenir" w:hAnsi="Avenir"/>
                <w:sz w:val="16"/>
                <w:szCs w:val="16"/>
              </w:rPr>
              <w:t xml:space="preserve"> la CCNUCC.</w:t>
            </w:r>
          </w:p>
        </w:tc>
        <w:tc>
          <w:tcPr>
            <w:tcW w:w="1987" w:type="dxa"/>
          </w:tcPr>
          <w:p w14:paraId="3BCCE5D3" w14:textId="7777777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Rapport BUR actualisé</w:t>
            </w:r>
          </w:p>
          <w:p w14:paraId="52084DA7" w14:textId="6A8FD25D" w:rsidR="00C92DD2" w:rsidRPr="00E11FFB" w:rsidRDefault="00C92DD2" w:rsidP="00C92DD2">
            <w:pPr>
              <w:rPr>
                <w:rFonts w:ascii="Avenir" w:eastAsia="Avenir" w:hAnsi="Avenir" w:cs="Avenir"/>
                <w:color w:val="000000"/>
                <w:sz w:val="16"/>
                <w:szCs w:val="16"/>
              </w:rPr>
            </w:pPr>
          </w:p>
        </w:tc>
        <w:tc>
          <w:tcPr>
            <w:tcW w:w="1374" w:type="dxa"/>
            <w:shd w:val="clear" w:color="auto" w:fill="FFFFFF" w:themeFill="background1"/>
          </w:tcPr>
          <w:p w14:paraId="2397EA85" w14:textId="731D0C3C" w:rsidR="00C92DD2" w:rsidRPr="00E11FFB" w:rsidRDefault="00B778DD"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160CA48B" w14:textId="26DD25E6"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7E11331F" w14:textId="2679DB36" w:rsidR="00C92DD2" w:rsidRPr="00E11FFB" w:rsidRDefault="00240183"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74E3292A" w14:textId="77777777" w:rsidR="00C92DD2" w:rsidRPr="00E11FFB" w:rsidRDefault="00C92DD2" w:rsidP="00C92DD2">
            <w:pPr>
              <w:rPr>
                <w:rFonts w:ascii="Avenir" w:eastAsia="Avenir" w:hAnsi="Avenir" w:cs="Avenir"/>
                <w:color w:val="000000"/>
                <w:sz w:val="16"/>
                <w:szCs w:val="16"/>
              </w:rPr>
            </w:pPr>
          </w:p>
        </w:tc>
        <w:tc>
          <w:tcPr>
            <w:tcW w:w="913" w:type="dxa"/>
          </w:tcPr>
          <w:p w14:paraId="49AF28AB" w14:textId="740D0D04"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5FB7FE10" w14:textId="77777777" w:rsidR="00C92DD2" w:rsidRPr="00E11FFB" w:rsidRDefault="00C92DD2" w:rsidP="00C92DD2">
            <w:pPr>
              <w:rPr>
                <w:rFonts w:ascii="Avenir" w:eastAsia="Avenir" w:hAnsi="Avenir" w:cs="Avenir"/>
                <w:color w:val="000000"/>
                <w:sz w:val="16"/>
                <w:szCs w:val="16"/>
              </w:rPr>
            </w:pPr>
          </w:p>
        </w:tc>
        <w:tc>
          <w:tcPr>
            <w:tcW w:w="1454" w:type="dxa"/>
          </w:tcPr>
          <w:p w14:paraId="309A92C4"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34FD32B5" w14:textId="0854C233" w:rsidR="00C92DD2" w:rsidRPr="00E11FFB" w:rsidRDefault="00240183"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Un draft en attente de validation</w:t>
            </w:r>
          </w:p>
        </w:tc>
      </w:tr>
      <w:tr w:rsidR="00C92DD2" w:rsidRPr="00E11FFB" w14:paraId="1F8A70CD" w14:textId="77777777" w:rsidTr="008D2FF7">
        <w:trPr>
          <w:trHeight w:val="318"/>
          <w:jc w:val="center"/>
        </w:trPr>
        <w:tc>
          <w:tcPr>
            <w:tcW w:w="3408" w:type="dxa"/>
            <w:vMerge/>
            <w:vAlign w:val="center"/>
          </w:tcPr>
          <w:p w14:paraId="7753A066" w14:textId="77777777" w:rsidR="00C92DD2" w:rsidRPr="00E11FFB" w:rsidRDefault="00C92DD2" w:rsidP="00C92DD2">
            <w:pPr>
              <w:rPr>
                <w:rFonts w:ascii="Avenir" w:hAnsi="Avenir"/>
                <w:b/>
                <w:bCs/>
                <w:sz w:val="16"/>
                <w:szCs w:val="16"/>
              </w:rPr>
            </w:pPr>
          </w:p>
        </w:tc>
        <w:tc>
          <w:tcPr>
            <w:tcW w:w="1987" w:type="dxa"/>
          </w:tcPr>
          <w:p w14:paraId="5E3D5B65" w14:textId="2A863066"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Rapport BUR soumis à la CCNUC tous les 2 ans</w:t>
            </w:r>
          </w:p>
        </w:tc>
        <w:tc>
          <w:tcPr>
            <w:tcW w:w="1374" w:type="dxa"/>
            <w:shd w:val="clear" w:color="auto" w:fill="FFFFFF" w:themeFill="background1"/>
          </w:tcPr>
          <w:p w14:paraId="72E812B9" w14:textId="284DD2BA" w:rsidR="00C92DD2" w:rsidRPr="00E11FFB" w:rsidRDefault="00B778DD"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4C2325AA" w14:textId="7EF5A1E2"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84" w:type="dxa"/>
          </w:tcPr>
          <w:p w14:paraId="7B68B84E" w14:textId="36AAC44B" w:rsidR="00C92DD2" w:rsidRPr="00E11FFB" w:rsidRDefault="00240183"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7B738876" w14:textId="77777777" w:rsidR="00C92DD2" w:rsidRPr="00E11FFB" w:rsidRDefault="00C92DD2" w:rsidP="00C92DD2">
            <w:pPr>
              <w:rPr>
                <w:rFonts w:ascii="Avenir" w:eastAsia="Avenir" w:hAnsi="Avenir" w:cs="Avenir"/>
                <w:color w:val="000000"/>
                <w:sz w:val="16"/>
                <w:szCs w:val="16"/>
              </w:rPr>
            </w:pPr>
          </w:p>
        </w:tc>
        <w:tc>
          <w:tcPr>
            <w:tcW w:w="913" w:type="dxa"/>
          </w:tcPr>
          <w:p w14:paraId="1A470816" w14:textId="6395EB83"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320DF927" w14:textId="77777777" w:rsidR="00C92DD2" w:rsidRPr="00E11FFB" w:rsidRDefault="00C92DD2" w:rsidP="00C92DD2">
            <w:pPr>
              <w:rPr>
                <w:rFonts w:ascii="Avenir" w:eastAsia="Avenir" w:hAnsi="Avenir" w:cs="Avenir"/>
                <w:color w:val="000000"/>
                <w:sz w:val="16"/>
                <w:szCs w:val="16"/>
              </w:rPr>
            </w:pPr>
          </w:p>
        </w:tc>
        <w:tc>
          <w:tcPr>
            <w:tcW w:w="1454" w:type="dxa"/>
          </w:tcPr>
          <w:p w14:paraId="5D1C19BE"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1A14804B" w14:textId="77777777" w:rsidR="00C92DD2" w:rsidRPr="00E11FFB" w:rsidRDefault="00C92DD2" w:rsidP="00C92DD2">
            <w:pPr>
              <w:spacing w:after="5"/>
              <w:rPr>
                <w:rFonts w:ascii="Avenir" w:eastAsia="Avenir" w:hAnsi="Avenir" w:cs="Avenir"/>
                <w:color w:val="000000"/>
                <w:sz w:val="16"/>
                <w:szCs w:val="16"/>
              </w:rPr>
            </w:pPr>
          </w:p>
        </w:tc>
      </w:tr>
      <w:tr w:rsidR="00C92DD2" w:rsidRPr="00E11FFB" w14:paraId="50D9ECAD" w14:textId="77777777" w:rsidTr="008D2FF7">
        <w:trPr>
          <w:trHeight w:val="318"/>
          <w:jc w:val="center"/>
        </w:trPr>
        <w:tc>
          <w:tcPr>
            <w:tcW w:w="3408" w:type="dxa"/>
            <w:vMerge w:val="restart"/>
          </w:tcPr>
          <w:p w14:paraId="32056BE1" w14:textId="1BE79DB6"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3.13 (jalon 4 v) : Le Conseil Consultatif National des Forêts (CCNF) est opérationnel et fonctionnel et des Conseils Consultatifs Provinciaux des Forêts (CCPF) sont fonctionnels dans les provinces PIREDD d’ici [fin 2024], avec au moins deux sessions par an.</w:t>
            </w:r>
          </w:p>
        </w:tc>
        <w:tc>
          <w:tcPr>
            <w:tcW w:w="1987" w:type="dxa"/>
          </w:tcPr>
          <w:p w14:paraId="15087155" w14:textId="37D4860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CCNF installé et rendu opérationnel ;</w:t>
            </w:r>
          </w:p>
        </w:tc>
        <w:tc>
          <w:tcPr>
            <w:tcW w:w="1374" w:type="dxa"/>
            <w:shd w:val="clear" w:color="auto" w:fill="FFFFFF" w:themeFill="background1"/>
          </w:tcPr>
          <w:p w14:paraId="7FF08525" w14:textId="09993664" w:rsidR="00C92DD2" w:rsidRPr="00E11FFB" w:rsidRDefault="00C92DD2" w:rsidP="008554B6">
            <w:pPr>
              <w:jc w:val="center"/>
              <w:rPr>
                <w:rFonts w:ascii="Avenir" w:eastAsia="Avenir" w:hAnsi="Avenir" w:cs="Avenir"/>
                <w:color w:val="000000"/>
                <w:sz w:val="16"/>
                <w:szCs w:val="16"/>
              </w:rPr>
            </w:pPr>
            <w:r w:rsidRPr="00E11FFB">
              <w:rPr>
                <w:rFonts w:ascii="Avenir" w:eastAsia="Avenir" w:hAnsi="Avenir" w:cs="Avenir"/>
                <w:color w:val="000000"/>
                <w:sz w:val="16"/>
                <w:szCs w:val="16"/>
              </w:rPr>
              <w:t>01 CCNF,</w:t>
            </w:r>
          </w:p>
        </w:tc>
        <w:tc>
          <w:tcPr>
            <w:tcW w:w="1070" w:type="dxa"/>
          </w:tcPr>
          <w:p w14:paraId="32D913DE" w14:textId="77777777"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01 CCNF,</w:t>
            </w:r>
          </w:p>
          <w:p w14:paraId="4930D048" w14:textId="251CE49A" w:rsidR="00C92DD2" w:rsidRPr="00E11FFB" w:rsidRDefault="00C92DD2" w:rsidP="00C92DD2">
            <w:pPr>
              <w:jc w:val="center"/>
              <w:rPr>
                <w:rFonts w:ascii="Avenir" w:eastAsia="Avenir" w:hAnsi="Avenir" w:cs="Avenir"/>
                <w:color w:val="000000"/>
                <w:sz w:val="16"/>
                <w:szCs w:val="16"/>
              </w:rPr>
            </w:pPr>
          </w:p>
        </w:tc>
        <w:tc>
          <w:tcPr>
            <w:tcW w:w="1084" w:type="dxa"/>
          </w:tcPr>
          <w:p w14:paraId="70B32D19" w14:textId="3337CDBF" w:rsidR="00C92DD2" w:rsidRPr="00E11FFB" w:rsidRDefault="00C92DD2"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r w:rsidR="00B932DB" w:rsidRPr="00E11FFB">
              <w:rPr>
                <w:rFonts w:ascii="Avenir" w:eastAsia="Avenir" w:hAnsi="Avenir" w:cs="Avenir"/>
                <w:color w:val="000000"/>
                <w:sz w:val="16"/>
                <w:szCs w:val="16"/>
              </w:rPr>
              <w:t xml:space="preserve"> CCNF</w:t>
            </w:r>
          </w:p>
        </w:tc>
        <w:tc>
          <w:tcPr>
            <w:tcW w:w="959" w:type="dxa"/>
          </w:tcPr>
          <w:p w14:paraId="24D61B35" w14:textId="77777777" w:rsidR="00C92DD2" w:rsidRPr="00E11FFB" w:rsidRDefault="00C92DD2" w:rsidP="00C92DD2">
            <w:pPr>
              <w:rPr>
                <w:rFonts w:ascii="Avenir" w:eastAsia="Avenir" w:hAnsi="Avenir" w:cs="Avenir"/>
                <w:color w:val="000000"/>
                <w:sz w:val="16"/>
                <w:szCs w:val="16"/>
              </w:rPr>
            </w:pPr>
          </w:p>
        </w:tc>
        <w:tc>
          <w:tcPr>
            <w:tcW w:w="913" w:type="dxa"/>
          </w:tcPr>
          <w:p w14:paraId="4C61D68B" w14:textId="77777777"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01 CCNF,</w:t>
            </w:r>
          </w:p>
          <w:p w14:paraId="44DE954C" w14:textId="3E511B62" w:rsidR="00C92DD2" w:rsidRPr="00E11FFB" w:rsidRDefault="00C92DD2" w:rsidP="00C92DD2">
            <w:pPr>
              <w:jc w:val="center"/>
              <w:rPr>
                <w:rFonts w:ascii="Avenir" w:eastAsia="Avenir" w:hAnsi="Avenir" w:cs="Avenir"/>
                <w:color w:val="000000"/>
                <w:sz w:val="16"/>
                <w:szCs w:val="16"/>
              </w:rPr>
            </w:pPr>
          </w:p>
        </w:tc>
        <w:tc>
          <w:tcPr>
            <w:tcW w:w="948" w:type="dxa"/>
          </w:tcPr>
          <w:p w14:paraId="2A1264AB" w14:textId="77777777" w:rsidR="00C92DD2" w:rsidRPr="00E11FFB" w:rsidRDefault="00C92DD2" w:rsidP="00C92DD2">
            <w:pPr>
              <w:rPr>
                <w:rFonts w:ascii="Avenir" w:eastAsia="Avenir" w:hAnsi="Avenir" w:cs="Avenir"/>
                <w:color w:val="000000"/>
                <w:sz w:val="16"/>
                <w:szCs w:val="16"/>
              </w:rPr>
            </w:pPr>
          </w:p>
        </w:tc>
        <w:tc>
          <w:tcPr>
            <w:tcW w:w="1454" w:type="dxa"/>
          </w:tcPr>
          <w:p w14:paraId="1EACC8B8"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659CF117" w14:textId="728E3948"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1CCNF organisé sur</w:t>
            </w:r>
            <w:r w:rsidR="00240183" w:rsidRPr="00E11FFB">
              <w:rPr>
                <w:rFonts w:ascii="Avenir" w:eastAsia="Avenir" w:hAnsi="Avenir" w:cs="Avenir"/>
                <w:color w:val="000000"/>
                <w:sz w:val="16"/>
                <w:szCs w:val="16"/>
              </w:rPr>
              <w:t xml:space="preserve"> le code forestier avec le fonds PGDF</w:t>
            </w:r>
          </w:p>
        </w:tc>
      </w:tr>
      <w:tr w:rsidR="00C92DD2" w:rsidRPr="00E11FFB" w14:paraId="510FB30C" w14:textId="77777777" w:rsidTr="008D2FF7">
        <w:trPr>
          <w:trHeight w:val="318"/>
          <w:jc w:val="center"/>
        </w:trPr>
        <w:tc>
          <w:tcPr>
            <w:tcW w:w="3408" w:type="dxa"/>
            <w:vMerge/>
          </w:tcPr>
          <w:p w14:paraId="1D51A531" w14:textId="77777777" w:rsidR="00C92DD2" w:rsidRPr="00E11FFB" w:rsidRDefault="00C92DD2" w:rsidP="00C92DD2">
            <w:pPr>
              <w:rPr>
                <w:rFonts w:ascii="Avenir" w:eastAsia="Avenir" w:hAnsi="Avenir" w:cs="Avenir"/>
                <w:color w:val="000000"/>
                <w:sz w:val="16"/>
                <w:szCs w:val="16"/>
              </w:rPr>
            </w:pPr>
          </w:p>
        </w:tc>
        <w:tc>
          <w:tcPr>
            <w:tcW w:w="1987" w:type="dxa"/>
          </w:tcPr>
          <w:p w14:paraId="603B0651" w14:textId="225B1919"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Nombre de CCPF installés et fonctionnels.</w:t>
            </w:r>
          </w:p>
        </w:tc>
        <w:tc>
          <w:tcPr>
            <w:tcW w:w="1374" w:type="dxa"/>
          </w:tcPr>
          <w:p w14:paraId="536E3022" w14:textId="710DDB9B"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05 CCPF</w:t>
            </w:r>
          </w:p>
        </w:tc>
        <w:tc>
          <w:tcPr>
            <w:tcW w:w="1070" w:type="dxa"/>
          </w:tcPr>
          <w:p w14:paraId="453978F8" w14:textId="607AC17C"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08 CCPF.</w:t>
            </w:r>
          </w:p>
        </w:tc>
        <w:tc>
          <w:tcPr>
            <w:tcW w:w="1084" w:type="dxa"/>
          </w:tcPr>
          <w:p w14:paraId="48E29C28" w14:textId="41985CF4" w:rsidR="00C92DD2" w:rsidRPr="00E11FFB" w:rsidRDefault="00914195"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388D911C" w14:textId="77777777" w:rsidR="00C92DD2" w:rsidRPr="00E11FFB" w:rsidRDefault="00C92DD2" w:rsidP="00C92DD2">
            <w:pPr>
              <w:rPr>
                <w:rFonts w:ascii="Avenir" w:eastAsia="Avenir" w:hAnsi="Avenir" w:cs="Avenir"/>
                <w:color w:val="000000"/>
                <w:sz w:val="16"/>
                <w:szCs w:val="16"/>
              </w:rPr>
            </w:pPr>
          </w:p>
        </w:tc>
        <w:tc>
          <w:tcPr>
            <w:tcW w:w="913" w:type="dxa"/>
          </w:tcPr>
          <w:p w14:paraId="2A04AC33" w14:textId="48944C27"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15 CCPF.</w:t>
            </w:r>
          </w:p>
        </w:tc>
        <w:tc>
          <w:tcPr>
            <w:tcW w:w="948" w:type="dxa"/>
          </w:tcPr>
          <w:p w14:paraId="104EEFE1" w14:textId="77777777" w:rsidR="00C92DD2" w:rsidRPr="00E11FFB" w:rsidRDefault="00C92DD2" w:rsidP="00C92DD2">
            <w:pPr>
              <w:rPr>
                <w:rFonts w:ascii="Avenir" w:eastAsia="Avenir" w:hAnsi="Avenir" w:cs="Avenir"/>
                <w:color w:val="000000"/>
                <w:sz w:val="16"/>
                <w:szCs w:val="16"/>
              </w:rPr>
            </w:pPr>
          </w:p>
        </w:tc>
        <w:tc>
          <w:tcPr>
            <w:tcW w:w="1454" w:type="dxa"/>
          </w:tcPr>
          <w:p w14:paraId="3F554BED" w14:textId="6422E893" w:rsidR="00C92DD2" w:rsidRPr="00E11FFB" w:rsidRDefault="00C92DD2" w:rsidP="00C92DD2">
            <w:pPr>
              <w:spacing w:after="5"/>
              <w:rPr>
                <w:rFonts w:ascii="Avenir" w:eastAsia="Avenir" w:hAnsi="Avenir" w:cs="Avenir"/>
                <w:color w:val="000000"/>
                <w:sz w:val="16"/>
                <w:szCs w:val="16"/>
              </w:rPr>
            </w:pPr>
          </w:p>
        </w:tc>
        <w:tc>
          <w:tcPr>
            <w:tcW w:w="1648" w:type="dxa"/>
          </w:tcPr>
          <w:p w14:paraId="464E9DFC" w14:textId="3835FB6B" w:rsidR="00C92DD2" w:rsidRPr="00E11FFB" w:rsidRDefault="00C92DD2" w:rsidP="00C92DD2">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Activité portée par PGDF (Lisala, Ituri, </w:t>
            </w:r>
          </w:p>
        </w:tc>
      </w:tr>
      <w:tr w:rsidR="00C92DD2" w:rsidRPr="00E11FFB" w14:paraId="2B2C095F" w14:textId="77777777" w:rsidTr="008D2FF7">
        <w:trPr>
          <w:trHeight w:val="318"/>
          <w:jc w:val="center"/>
        </w:trPr>
        <w:tc>
          <w:tcPr>
            <w:tcW w:w="3408" w:type="dxa"/>
          </w:tcPr>
          <w:p w14:paraId="47E1F984" w14:textId="51E3D2C2"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Produit 3.14 (jalon 4 x) : Le Niveau d’émissions de référence des forêts pour la réduction des émissions dues à la déforestation en RDC (NERF) est mis à jour d’ici fin 2022 et soumis à la CCNUCC.</w:t>
            </w:r>
          </w:p>
        </w:tc>
        <w:tc>
          <w:tcPr>
            <w:tcW w:w="1987" w:type="dxa"/>
          </w:tcPr>
          <w:p w14:paraId="432E25C7" w14:textId="0F8803E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NERF révisé et transmis à la CNUCC</w:t>
            </w:r>
          </w:p>
        </w:tc>
        <w:tc>
          <w:tcPr>
            <w:tcW w:w="1374" w:type="dxa"/>
            <w:shd w:val="clear" w:color="auto" w:fill="FFFFFF" w:themeFill="background1"/>
          </w:tcPr>
          <w:p w14:paraId="5C6C218D" w14:textId="24D8AE30" w:rsidR="00C92DD2" w:rsidRPr="00E11FFB" w:rsidRDefault="00B778DD"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3B500B65" w14:textId="700AA66F"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08D1EE1F" w14:textId="7069B562" w:rsidR="00C92DD2" w:rsidRPr="00E11FFB" w:rsidRDefault="00B5452C"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78A8D939" w14:textId="77777777" w:rsidR="00C92DD2" w:rsidRPr="00E11FFB" w:rsidRDefault="00C92DD2" w:rsidP="00C92DD2">
            <w:pPr>
              <w:rPr>
                <w:rFonts w:ascii="Avenir" w:eastAsia="Avenir" w:hAnsi="Avenir" w:cs="Avenir"/>
                <w:color w:val="000000"/>
                <w:sz w:val="16"/>
                <w:szCs w:val="16"/>
              </w:rPr>
            </w:pPr>
          </w:p>
        </w:tc>
        <w:tc>
          <w:tcPr>
            <w:tcW w:w="913" w:type="dxa"/>
          </w:tcPr>
          <w:p w14:paraId="00A2683B" w14:textId="639FD148" w:rsidR="00C92DD2" w:rsidRPr="00E11FFB" w:rsidRDefault="00C92DD2" w:rsidP="00C92D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48" w:type="dxa"/>
          </w:tcPr>
          <w:p w14:paraId="7185511C" w14:textId="77777777" w:rsidR="00C92DD2" w:rsidRPr="00E11FFB" w:rsidRDefault="00C92DD2" w:rsidP="00C92DD2">
            <w:pPr>
              <w:rPr>
                <w:rFonts w:ascii="Avenir" w:eastAsia="Avenir" w:hAnsi="Avenir" w:cs="Avenir"/>
                <w:color w:val="000000"/>
                <w:sz w:val="16"/>
                <w:szCs w:val="16"/>
              </w:rPr>
            </w:pPr>
          </w:p>
        </w:tc>
        <w:tc>
          <w:tcPr>
            <w:tcW w:w="1454" w:type="dxa"/>
          </w:tcPr>
          <w:p w14:paraId="2285896C"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77F5C8FA" w14:textId="77777777" w:rsidR="00C92DD2" w:rsidRPr="00E11FFB" w:rsidRDefault="00C92DD2" w:rsidP="00C92DD2">
            <w:pPr>
              <w:spacing w:after="5"/>
              <w:rPr>
                <w:rFonts w:ascii="Avenir" w:eastAsia="Avenir" w:hAnsi="Avenir" w:cs="Avenir"/>
                <w:color w:val="000000"/>
                <w:sz w:val="16"/>
                <w:szCs w:val="16"/>
              </w:rPr>
            </w:pPr>
          </w:p>
        </w:tc>
      </w:tr>
      <w:tr w:rsidR="00C92DD2" w:rsidRPr="00E11FFB" w14:paraId="7E522886" w14:textId="77777777" w:rsidTr="008D2FF7">
        <w:trPr>
          <w:trHeight w:val="318"/>
          <w:jc w:val="center"/>
        </w:trPr>
        <w:tc>
          <w:tcPr>
            <w:tcW w:w="3408" w:type="dxa"/>
            <w:vMerge w:val="restart"/>
          </w:tcPr>
          <w:p w14:paraId="62A3C0D4" w14:textId="0D22380D"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Renforcer la transparence, la communication et de la coordination dans la mise en œuvre du projet</w:t>
            </w:r>
          </w:p>
        </w:tc>
        <w:tc>
          <w:tcPr>
            <w:tcW w:w="1987" w:type="dxa"/>
          </w:tcPr>
          <w:p w14:paraId="3F297D93" w14:textId="5B82A394"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informer sur le projet.</w:t>
            </w:r>
          </w:p>
        </w:tc>
        <w:tc>
          <w:tcPr>
            <w:tcW w:w="1374" w:type="dxa"/>
            <w:shd w:val="clear" w:color="auto" w:fill="FFFFFF" w:themeFill="background1"/>
          </w:tcPr>
          <w:p w14:paraId="35C35435" w14:textId="5C089099" w:rsidR="00C92DD2" w:rsidRPr="00E11FFB" w:rsidRDefault="00B0581B"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1824CFF" w14:textId="747AAF89"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50 % de la population cible dans les zones d’intervention.</w:t>
            </w:r>
          </w:p>
        </w:tc>
        <w:tc>
          <w:tcPr>
            <w:tcW w:w="1084" w:type="dxa"/>
          </w:tcPr>
          <w:p w14:paraId="1ED0A104" w14:textId="67880E86" w:rsidR="00C92DD2" w:rsidRPr="00E11FFB" w:rsidRDefault="00B0581B"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r w:rsidR="00B37BDB" w:rsidRPr="00E11FFB">
              <w:rPr>
                <w:rFonts w:ascii="Avenir" w:eastAsia="Avenir" w:hAnsi="Avenir" w:cs="Avenir"/>
                <w:color w:val="000000"/>
                <w:sz w:val="16"/>
                <w:szCs w:val="16"/>
              </w:rPr>
              <w:t>523</w:t>
            </w:r>
          </w:p>
        </w:tc>
        <w:tc>
          <w:tcPr>
            <w:tcW w:w="959" w:type="dxa"/>
          </w:tcPr>
          <w:p w14:paraId="44BDC9C7" w14:textId="77777777" w:rsidR="00C92DD2" w:rsidRPr="00E11FFB" w:rsidRDefault="00C92DD2" w:rsidP="00C92DD2">
            <w:pPr>
              <w:rPr>
                <w:rFonts w:ascii="Avenir" w:eastAsia="Avenir" w:hAnsi="Avenir" w:cs="Avenir"/>
                <w:color w:val="000000"/>
                <w:sz w:val="16"/>
                <w:szCs w:val="16"/>
              </w:rPr>
            </w:pPr>
          </w:p>
        </w:tc>
        <w:tc>
          <w:tcPr>
            <w:tcW w:w="913" w:type="dxa"/>
          </w:tcPr>
          <w:p w14:paraId="3FF2C164" w14:textId="56FC4AE7"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90 % de la population cible dans les zones d’intervention.</w:t>
            </w:r>
          </w:p>
        </w:tc>
        <w:tc>
          <w:tcPr>
            <w:tcW w:w="948" w:type="dxa"/>
          </w:tcPr>
          <w:p w14:paraId="5EF1FAF5" w14:textId="77777777" w:rsidR="00C92DD2" w:rsidRPr="00E11FFB" w:rsidRDefault="00C92DD2" w:rsidP="00C92DD2">
            <w:pPr>
              <w:rPr>
                <w:rFonts w:ascii="Avenir" w:eastAsia="Avenir" w:hAnsi="Avenir" w:cs="Avenir"/>
                <w:color w:val="000000"/>
                <w:sz w:val="16"/>
                <w:szCs w:val="16"/>
              </w:rPr>
            </w:pPr>
          </w:p>
        </w:tc>
        <w:tc>
          <w:tcPr>
            <w:tcW w:w="1454" w:type="dxa"/>
          </w:tcPr>
          <w:p w14:paraId="43B69D30" w14:textId="77777777" w:rsidR="00C92DD2" w:rsidRPr="00E11FFB" w:rsidRDefault="00C92DD2" w:rsidP="00C92DD2">
            <w:pPr>
              <w:pStyle w:val="Default"/>
              <w:rPr>
                <w:sz w:val="16"/>
                <w:szCs w:val="16"/>
                <w:lang w:val="fr-CD"/>
              </w:rPr>
            </w:pPr>
            <w:r w:rsidRPr="00E11FFB">
              <w:rPr>
                <w:sz w:val="16"/>
                <w:szCs w:val="16"/>
                <w:lang w:val="fr-CD"/>
              </w:rPr>
              <w:t xml:space="preserve">Rapports d’activités de communication et de sensibilisation </w:t>
            </w:r>
          </w:p>
          <w:p w14:paraId="04357CD9"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13033D45" w14:textId="1BFA0312" w:rsidR="00C92DD2" w:rsidRPr="00E11FFB" w:rsidRDefault="00C92DD2" w:rsidP="00C92DD2">
            <w:pPr>
              <w:spacing w:after="5"/>
              <w:rPr>
                <w:rFonts w:ascii="Avenir" w:eastAsia="Avenir" w:hAnsi="Avenir" w:cs="Avenir"/>
                <w:color w:val="000000"/>
                <w:sz w:val="16"/>
                <w:szCs w:val="16"/>
              </w:rPr>
            </w:pPr>
          </w:p>
        </w:tc>
      </w:tr>
      <w:tr w:rsidR="00C92DD2" w:rsidRPr="00E11FFB" w14:paraId="75803F3D" w14:textId="77777777" w:rsidTr="008D2FF7">
        <w:trPr>
          <w:trHeight w:val="318"/>
          <w:jc w:val="center"/>
        </w:trPr>
        <w:tc>
          <w:tcPr>
            <w:tcW w:w="3408" w:type="dxa"/>
            <w:vMerge/>
          </w:tcPr>
          <w:p w14:paraId="7391A8B7" w14:textId="77777777" w:rsidR="00C92DD2" w:rsidRPr="00E11FFB" w:rsidRDefault="00C92DD2" w:rsidP="00C92DD2">
            <w:pPr>
              <w:rPr>
                <w:rFonts w:ascii="Avenir" w:eastAsia="Avenir" w:hAnsi="Avenir" w:cs="Avenir"/>
                <w:color w:val="000000"/>
                <w:sz w:val="16"/>
                <w:szCs w:val="16"/>
              </w:rPr>
            </w:pPr>
          </w:p>
        </w:tc>
        <w:tc>
          <w:tcPr>
            <w:tcW w:w="1987" w:type="dxa"/>
          </w:tcPr>
          <w:p w14:paraId="36025BE2" w14:textId="67D391E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modifier les attitudes et pratiques.</w:t>
            </w:r>
          </w:p>
        </w:tc>
        <w:tc>
          <w:tcPr>
            <w:tcW w:w="1374" w:type="dxa"/>
            <w:shd w:val="clear" w:color="auto" w:fill="FFFFFF" w:themeFill="background1"/>
          </w:tcPr>
          <w:p w14:paraId="138BBA0E" w14:textId="6D7DE4BE" w:rsidR="00C92DD2" w:rsidRPr="00E11FFB" w:rsidRDefault="00B0581B" w:rsidP="00B0581B">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726D7377" w14:textId="266EAB7B"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25 % de la population cible.</w:t>
            </w:r>
          </w:p>
        </w:tc>
        <w:tc>
          <w:tcPr>
            <w:tcW w:w="1084" w:type="dxa"/>
          </w:tcPr>
          <w:p w14:paraId="6BF387E6" w14:textId="0039E472" w:rsidR="00C92DD2" w:rsidRPr="00E11FFB" w:rsidRDefault="00B0581B"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12</w:t>
            </w:r>
            <w:r w:rsidR="00B37BDB" w:rsidRPr="00E11FFB">
              <w:rPr>
                <w:rFonts w:ascii="Avenir" w:eastAsia="Avenir" w:hAnsi="Avenir" w:cs="Avenir"/>
                <w:color w:val="000000"/>
                <w:sz w:val="16"/>
                <w:szCs w:val="16"/>
              </w:rPr>
              <w:t>51</w:t>
            </w:r>
          </w:p>
        </w:tc>
        <w:tc>
          <w:tcPr>
            <w:tcW w:w="959" w:type="dxa"/>
          </w:tcPr>
          <w:p w14:paraId="78B18381" w14:textId="77777777" w:rsidR="00C92DD2" w:rsidRPr="00E11FFB" w:rsidRDefault="00C92DD2" w:rsidP="00C92DD2">
            <w:pPr>
              <w:rPr>
                <w:rFonts w:ascii="Avenir" w:eastAsia="Avenir" w:hAnsi="Avenir" w:cs="Avenir"/>
                <w:color w:val="000000"/>
                <w:sz w:val="16"/>
                <w:szCs w:val="16"/>
              </w:rPr>
            </w:pPr>
          </w:p>
        </w:tc>
        <w:tc>
          <w:tcPr>
            <w:tcW w:w="913" w:type="dxa"/>
          </w:tcPr>
          <w:p w14:paraId="4D0EDCEE" w14:textId="4E74B2A3"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75 % de la population cible.</w:t>
            </w:r>
          </w:p>
        </w:tc>
        <w:tc>
          <w:tcPr>
            <w:tcW w:w="948" w:type="dxa"/>
          </w:tcPr>
          <w:p w14:paraId="4E3E740C" w14:textId="77777777" w:rsidR="00C92DD2" w:rsidRPr="00E11FFB" w:rsidRDefault="00C92DD2" w:rsidP="00C92DD2">
            <w:pPr>
              <w:rPr>
                <w:rFonts w:ascii="Avenir" w:eastAsia="Avenir" w:hAnsi="Avenir" w:cs="Avenir"/>
                <w:color w:val="000000"/>
                <w:sz w:val="16"/>
                <w:szCs w:val="16"/>
              </w:rPr>
            </w:pPr>
          </w:p>
        </w:tc>
        <w:tc>
          <w:tcPr>
            <w:tcW w:w="1454" w:type="dxa"/>
          </w:tcPr>
          <w:p w14:paraId="4CF6C52E"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31F740DD" w14:textId="4FC6310D" w:rsidR="00C92DD2" w:rsidRPr="00E11FFB" w:rsidRDefault="00C92DD2" w:rsidP="00C92DD2">
            <w:pPr>
              <w:spacing w:after="5"/>
              <w:rPr>
                <w:rFonts w:ascii="Avenir" w:eastAsia="Avenir" w:hAnsi="Avenir" w:cs="Avenir"/>
                <w:color w:val="000000"/>
                <w:sz w:val="16"/>
                <w:szCs w:val="16"/>
              </w:rPr>
            </w:pPr>
          </w:p>
        </w:tc>
      </w:tr>
      <w:tr w:rsidR="00C92DD2" w:rsidRPr="00E11FFB" w14:paraId="7D6CCFAC" w14:textId="77777777" w:rsidTr="008D2FF7">
        <w:trPr>
          <w:trHeight w:val="318"/>
          <w:jc w:val="center"/>
        </w:trPr>
        <w:tc>
          <w:tcPr>
            <w:tcW w:w="3408" w:type="dxa"/>
            <w:vMerge/>
          </w:tcPr>
          <w:p w14:paraId="09FCC8F2" w14:textId="77777777" w:rsidR="00C92DD2" w:rsidRPr="00E11FFB" w:rsidRDefault="00C92DD2" w:rsidP="00C92DD2">
            <w:pPr>
              <w:rPr>
                <w:rFonts w:ascii="Avenir" w:eastAsia="Avenir" w:hAnsi="Avenir" w:cs="Avenir"/>
                <w:color w:val="000000"/>
                <w:sz w:val="16"/>
                <w:szCs w:val="16"/>
              </w:rPr>
            </w:pPr>
          </w:p>
        </w:tc>
        <w:tc>
          <w:tcPr>
            <w:tcW w:w="1987" w:type="dxa"/>
          </w:tcPr>
          <w:p w14:paraId="41B5A815" w14:textId="0C0A3FFF"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Pourcentage de campagnes utilisant des outils pour cibler spécifiquement les minorités et groupes vulnérables.</w:t>
            </w:r>
          </w:p>
        </w:tc>
        <w:tc>
          <w:tcPr>
            <w:tcW w:w="1374" w:type="dxa"/>
            <w:shd w:val="clear" w:color="auto" w:fill="FFFFFF" w:themeFill="background1"/>
          </w:tcPr>
          <w:p w14:paraId="70FE01FF" w14:textId="331A8513" w:rsidR="00C92DD2" w:rsidRPr="00E11FFB" w:rsidRDefault="00B0581B" w:rsidP="00B0581B">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B9F81B4" w14:textId="3B72F638"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50 % des campagnes</w:t>
            </w:r>
          </w:p>
        </w:tc>
        <w:tc>
          <w:tcPr>
            <w:tcW w:w="1084" w:type="dxa"/>
          </w:tcPr>
          <w:p w14:paraId="113FD027" w14:textId="26ED100A" w:rsidR="00C92DD2" w:rsidRPr="00E11FFB" w:rsidRDefault="00B0581B"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17%</w:t>
            </w:r>
          </w:p>
        </w:tc>
        <w:tc>
          <w:tcPr>
            <w:tcW w:w="959" w:type="dxa"/>
          </w:tcPr>
          <w:p w14:paraId="58212203" w14:textId="77777777" w:rsidR="00C92DD2" w:rsidRPr="00E11FFB" w:rsidRDefault="00C92DD2" w:rsidP="00C92DD2">
            <w:pPr>
              <w:rPr>
                <w:rFonts w:ascii="Avenir" w:eastAsia="Avenir" w:hAnsi="Avenir" w:cs="Avenir"/>
                <w:color w:val="000000"/>
                <w:sz w:val="16"/>
                <w:szCs w:val="16"/>
              </w:rPr>
            </w:pPr>
          </w:p>
        </w:tc>
        <w:tc>
          <w:tcPr>
            <w:tcW w:w="913" w:type="dxa"/>
          </w:tcPr>
          <w:p w14:paraId="0A22AFA0" w14:textId="7A67F64C" w:rsidR="00C92DD2" w:rsidRPr="00E11FFB" w:rsidRDefault="00C92DD2" w:rsidP="00C92DD2">
            <w:pPr>
              <w:rPr>
                <w:rFonts w:ascii="Avenir" w:eastAsia="Avenir" w:hAnsi="Avenir" w:cs="Avenir"/>
                <w:color w:val="000000"/>
                <w:sz w:val="16"/>
                <w:szCs w:val="16"/>
              </w:rPr>
            </w:pPr>
            <w:r w:rsidRPr="00E11FFB">
              <w:rPr>
                <w:rFonts w:ascii="Avenir" w:eastAsia="Avenir" w:hAnsi="Avenir" w:cs="Avenir"/>
                <w:color w:val="000000"/>
                <w:sz w:val="16"/>
                <w:szCs w:val="16"/>
              </w:rPr>
              <w:t>100 % des campagnes</w:t>
            </w:r>
          </w:p>
        </w:tc>
        <w:tc>
          <w:tcPr>
            <w:tcW w:w="948" w:type="dxa"/>
          </w:tcPr>
          <w:p w14:paraId="6FB83B21" w14:textId="77777777" w:rsidR="00C92DD2" w:rsidRPr="00E11FFB" w:rsidRDefault="00C92DD2" w:rsidP="00C92DD2">
            <w:pPr>
              <w:rPr>
                <w:rFonts w:ascii="Avenir" w:eastAsia="Avenir" w:hAnsi="Avenir" w:cs="Avenir"/>
                <w:color w:val="000000"/>
                <w:sz w:val="16"/>
                <w:szCs w:val="16"/>
              </w:rPr>
            </w:pPr>
          </w:p>
        </w:tc>
        <w:tc>
          <w:tcPr>
            <w:tcW w:w="1454" w:type="dxa"/>
          </w:tcPr>
          <w:p w14:paraId="09C14F10" w14:textId="77777777" w:rsidR="00C92DD2" w:rsidRPr="00E11FFB" w:rsidRDefault="00C92DD2" w:rsidP="00C92DD2">
            <w:pPr>
              <w:spacing w:after="5"/>
              <w:rPr>
                <w:rFonts w:ascii="Avenir" w:eastAsia="Avenir" w:hAnsi="Avenir" w:cs="Avenir"/>
                <w:color w:val="000000"/>
                <w:sz w:val="16"/>
                <w:szCs w:val="16"/>
              </w:rPr>
            </w:pPr>
          </w:p>
        </w:tc>
        <w:tc>
          <w:tcPr>
            <w:tcW w:w="1648" w:type="dxa"/>
          </w:tcPr>
          <w:p w14:paraId="5802C5D8" w14:textId="33714123" w:rsidR="00C92DD2" w:rsidRPr="00E11FFB" w:rsidRDefault="00C92DD2" w:rsidP="00C92DD2">
            <w:pPr>
              <w:spacing w:after="5"/>
              <w:rPr>
                <w:rFonts w:ascii="Avenir" w:eastAsia="Avenir" w:hAnsi="Avenir" w:cs="Avenir"/>
                <w:color w:val="000000"/>
                <w:sz w:val="16"/>
                <w:szCs w:val="16"/>
                <w:highlight w:val="yellow"/>
              </w:rPr>
            </w:pPr>
          </w:p>
        </w:tc>
      </w:tr>
    </w:tbl>
    <w:p w14:paraId="4AABED1E" w14:textId="77777777" w:rsidR="009E4F66" w:rsidRPr="00E11FFB" w:rsidRDefault="009E4F66" w:rsidP="006536C4">
      <w:pPr>
        <w:keepNext/>
        <w:spacing w:line="271" w:lineRule="auto"/>
        <w:ind w:left="-3" w:right="35" w:firstLine="10"/>
        <w:jc w:val="both"/>
        <w:rPr>
          <w:rFonts w:ascii="Avenir" w:eastAsia="Avenir" w:hAnsi="Avenir" w:cs="Avenir"/>
          <w:b/>
          <w:bCs/>
          <w:iCs/>
          <w:color w:val="000000"/>
          <w:sz w:val="20"/>
          <w:szCs w:val="20"/>
          <w:u w:val="single"/>
        </w:rPr>
      </w:pPr>
    </w:p>
    <w:p w14:paraId="2ABFBD86" w14:textId="2F261DBA" w:rsidR="006536C4" w:rsidRPr="00E11FFB" w:rsidRDefault="006536C4" w:rsidP="006536C4">
      <w:pPr>
        <w:keepNext/>
        <w:spacing w:line="271" w:lineRule="auto"/>
        <w:ind w:left="-3" w:right="35" w:firstLine="10"/>
        <w:jc w:val="both"/>
        <w:rPr>
          <w:rFonts w:ascii="Avenir" w:eastAsia="Avenir" w:hAnsi="Avenir" w:cs="Avenir"/>
          <w:b/>
          <w:bCs/>
          <w:iCs/>
          <w:color w:val="000000"/>
          <w:sz w:val="20"/>
          <w:szCs w:val="20"/>
          <w:u w:val="single"/>
        </w:rPr>
      </w:pPr>
      <w:r w:rsidRPr="00E11FFB">
        <w:rPr>
          <w:rFonts w:ascii="Avenir" w:eastAsia="Avenir" w:hAnsi="Avenir" w:cs="Avenir"/>
          <w:b/>
          <w:bCs/>
          <w:iCs/>
          <w:color w:val="000000"/>
          <w:sz w:val="20"/>
          <w:szCs w:val="20"/>
          <w:u w:val="single"/>
        </w:rPr>
        <w:t>Tableau évaluation de la performance secteur Démographie</w:t>
      </w:r>
      <w:r w:rsidR="0048260B">
        <w:rPr>
          <w:rFonts w:ascii="Avenir" w:eastAsia="Avenir" w:hAnsi="Avenir" w:cs="Avenir"/>
          <w:b/>
          <w:bCs/>
          <w:iCs/>
          <w:color w:val="000000"/>
          <w:sz w:val="20"/>
          <w:szCs w:val="20"/>
          <w:u w:val="single"/>
        </w:rPr>
        <w:t xml:space="preserve"> (Effet 4)</w:t>
      </w:r>
    </w:p>
    <w:p w14:paraId="18D68850" w14:textId="77777777" w:rsidR="006536C4" w:rsidRPr="00E11FFB" w:rsidRDefault="006536C4" w:rsidP="006536C4">
      <w:pPr>
        <w:tabs>
          <w:tab w:val="left" w:pos="5475"/>
        </w:tabs>
        <w:spacing w:after="5"/>
        <w:ind w:right="28"/>
        <w:jc w:val="both"/>
        <w:rPr>
          <w:rFonts w:ascii="Avenir" w:eastAsia="Avenir" w:hAnsi="Avenir" w:cs="Avenir"/>
          <w:color w:val="000000"/>
        </w:rPr>
      </w:pP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08"/>
        <w:gridCol w:w="1987"/>
        <w:gridCol w:w="1374"/>
        <w:gridCol w:w="1070"/>
        <w:gridCol w:w="1084"/>
        <w:gridCol w:w="959"/>
        <w:gridCol w:w="1067"/>
        <w:gridCol w:w="794"/>
        <w:gridCol w:w="1454"/>
        <w:gridCol w:w="1648"/>
      </w:tblGrid>
      <w:tr w:rsidR="006536C4" w:rsidRPr="00E11FFB" w14:paraId="6DE32F01" w14:textId="77777777" w:rsidTr="008D2FF7">
        <w:trPr>
          <w:trHeight w:val="966"/>
          <w:tblHeader/>
          <w:jc w:val="center"/>
        </w:trPr>
        <w:tc>
          <w:tcPr>
            <w:tcW w:w="3408" w:type="dxa"/>
            <w:shd w:val="clear" w:color="auto" w:fill="DDEBF7"/>
          </w:tcPr>
          <w:p w14:paraId="7938153D" w14:textId="77777777" w:rsidR="006536C4" w:rsidRPr="00E11FFB" w:rsidRDefault="006536C4" w:rsidP="003A6DE1">
            <w:pPr>
              <w:rPr>
                <w:rFonts w:ascii="Avenir" w:eastAsia="Avenir" w:hAnsi="Avenir" w:cs="Avenir"/>
                <w:b/>
                <w:bCs/>
                <w:color w:val="000000"/>
                <w:sz w:val="16"/>
                <w:szCs w:val="16"/>
              </w:rPr>
            </w:pPr>
            <w:r w:rsidRPr="00E11FFB">
              <w:rPr>
                <w:rFonts w:ascii="Avenir" w:eastAsia="Avenir" w:hAnsi="Avenir" w:cs="Avenir"/>
                <w:b/>
                <w:bCs/>
                <w:color w:val="000000" w:themeColor="text1"/>
                <w:sz w:val="16"/>
                <w:szCs w:val="16"/>
              </w:rPr>
              <w:t>Produits</w:t>
            </w:r>
          </w:p>
        </w:tc>
        <w:tc>
          <w:tcPr>
            <w:tcW w:w="1987" w:type="dxa"/>
            <w:shd w:val="clear" w:color="auto" w:fill="DDEBF7"/>
          </w:tcPr>
          <w:p w14:paraId="7793BD7E" w14:textId="77777777" w:rsidR="006536C4" w:rsidRPr="00E11FFB" w:rsidRDefault="006536C4" w:rsidP="003A6DE1">
            <w:pPr>
              <w:rPr>
                <w:rFonts w:ascii="Avenir" w:eastAsia="Avenir" w:hAnsi="Avenir" w:cs="Avenir"/>
                <w:color w:val="000000"/>
                <w:sz w:val="16"/>
                <w:szCs w:val="16"/>
              </w:rPr>
            </w:pPr>
            <w:r w:rsidRPr="00E11FFB">
              <w:rPr>
                <w:rFonts w:ascii="Avenir" w:eastAsia="Avenir" w:hAnsi="Avenir" w:cs="Avenir"/>
                <w:color w:val="000000"/>
                <w:sz w:val="16"/>
                <w:szCs w:val="16"/>
              </w:rPr>
              <w:t>Indicateurs</w:t>
            </w:r>
          </w:p>
        </w:tc>
        <w:tc>
          <w:tcPr>
            <w:tcW w:w="1374" w:type="dxa"/>
            <w:shd w:val="clear" w:color="auto" w:fill="E3F1ED"/>
          </w:tcPr>
          <w:p w14:paraId="79D9802F" w14:textId="77777777" w:rsidR="006536C4" w:rsidRPr="00E11FFB" w:rsidRDefault="006536C4"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Ligne de base </w:t>
            </w:r>
            <w:r w:rsidRPr="00E11FFB">
              <w:rPr>
                <w:rFonts w:ascii="Avenir" w:eastAsia="Avenir" w:hAnsi="Avenir" w:cs="Avenir"/>
                <w:i/>
                <w:color w:val="000000"/>
                <w:sz w:val="20"/>
                <w:szCs w:val="20"/>
                <w:vertAlign w:val="superscript"/>
              </w:rPr>
              <w:footnoteReference w:id="17"/>
            </w:r>
          </w:p>
          <w:p w14:paraId="28177D31" w14:textId="77777777" w:rsidR="006536C4" w:rsidRPr="00E11FFB" w:rsidRDefault="006536C4" w:rsidP="003A6DE1">
            <w:pPr>
              <w:rPr>
                <w:rFonts w:ascii="Avenir" w:eastAsia="Avenir" w:hAnsi="Avenir" w:cs="Avenir"/>
                <w:color w:val="000000"/>
                <w:sz w:val="16"/>
                <w:szCs w:val="16"/>
              </w:rPr>
            </w:pPr>
          </w:p>
        </w:tc>
        <w:tc>
          <w:tcPr>
            <w:tcW w:w="1070" w:type="dxa"/>
            <w:shd w:val="clear" w:color="auto" w:fill="E3F1ED"/>
          </w:tcPr>
          <w:p w14:paraId="282A8CDB" w14:textId="77777777" w:rsidR="006536C4" w:rsidRPr="00E11FFB" w:rsidRDefault="006536C4" w:rsidP="003A6DE1">
            <w:pPr>
              <w:spacing w:after="5" w:line="271" w:lineRule="auto"/>
              <w:rPr>
                <w:rFonts w:ascii="Avenir" w:eastAsia="Avenir" w:hAnsi="Avenir" w:cs="Avenir"/>
                <w:color w:val="000000"/>
                <w:sz w:val="16"/>
                <w:szCs w:val="16"/>
              </w:rPr>
            </w:pPr>
            <w:r w:rsidRPr="00E11FFB">
              <w:rPr>
                <w:rFonts w:ascii="Avenir" w:eastAsia="Avenir" w:hAnsi="Avenir" w:cs="Avenir"/>
                <w:color w:val="000000" w:themeColor="text1"/>
                <w:sz w:val="16"/>
                <w:szCs w:val="16"/>
              </w:rPr>
              <w:t>Cible visée pour la période de rapportage (non cumulative)</w:t>
            </w:r>
          </w:p>
        </w:tc>
        <w:tc>
          <w:tcPr>
            <w:tcW w:w="1084" w:type="dxa"/>
            <w:shd w:val="clear" w:color="auto" w:fill="E3F1ED"/>
          </w:tcPr>
          <w:p w14:paraId="036A6F0D" w14:textId="66CB0514" w:rsidR="006536C4" w:rsidRPr="00E11FFB" w:rsidRDefault="006536C4" w:rsidP="003A6DE1">
            <w:pPr>
              <w:rPr>
                <w:rFonts w:ascii="Avenir" w:eastAsia="Avenir" w:hAnsi="Avenir" w:cs="Avenir"/>
                <w:color w:val="000000"/>
                <w:sz w:val="16"/>
                <w:szCs w:val="16"/>
              </w:rPr>
            </w:pPr>
            <w:r w:rsidRPr="00E11FFB">
              <w:rPr>
                <w:rFonts w:ascii="Avenir" w:eastAsia="Avenir" w:hAnsi="Avenir" w:cs="Avenir"/>
                <w:color w:val="000000" w:themeColor="text1"/>
                <w:sz w:val="16"/>
                <w:szCs w:val="16"/>
              </w:rPr>
              <w:t xml:space="preserve">Valeur atteinte pour la période de rapportage (non </w:t>
            </w:r>
            <w:r w:rsidR="003978E2" w:rsidRPr="00E11FFB">
              <w:rPr>
                <w:rFonts w:ascii="Avenir" w:eastAsia="Avenir" w:hAnsi="Avenir" w:cs="Avenir"/>
                <w:color w:val="000000" w:themeColor="text1"/>
                <w:sz w:val="16"/>
                <w:szCs w:val="16"/>
              </w:rPr>
              <w:t>cumulative</w:t>
            </w:r>
            <w:r w:rsidRPr="00E11FFB">
              <w:rPr>
                <w:rFonts w:ascii="Avenir" w:eastAsia="Avenir" w:hAnsi="Avenir" w:cs="Avenir"/>
                <w:color w:val="000000" w:themeColor="text1"/>
                <w:sz w:val="16"/>
                <w:szCs w:val="16"/>
              </w:rPr>
              <w:t>)</w:t>
            </w:r>
          </w:p>
        </w:tc>
        <w:tc>
          <w:tcPr>
            <w:tcW w:w="959" w:type="dxa"/>
            <w:shd w:val="clear" w:color="auto" w:fill="E3F1ED"/>
          </w:tcPr>
          <w:p w14:paraId="2532EFC2" w14:textId="77777777" w:rsidR="006536C4" w:rsidRPr="00E11FFB" w:rsidRDefault="006536C4"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Valeur actuelle (en cumulatif)</w:t>
            </w:r>
            <w:r w:rsidRPr="00E11FFB">
              <w:rPr>
                <w:rFonts w:ascii="Avenir" w:eastAsia="Avenir" w:hAnsi="Avenir" w:cs="Avenir"/>
                <w:i/>
                <w:color w:val="000000"/>
                <w:sz w:val="20"/>
                <w:szCs w:val="20"/>
                <w:vertAlign w:val="superscript"/>
              </w:rPr>
              <w:footnoteReference w:id="18"/>
            </w:r>
            <w:r w:rsidRPr="00E11FFB">
              <w:rPr>
                <w:rFonts w:ascii="Avenir" w:eastAsia="Avenir" w:hAnsi="Avenir" w:cs="Avenir"/>
                <w:color w:val="000000"/>
                <w:sz w:val="16"/>
                <w:szCs w:val="16"/>
              </w:rPr>
              <w:t xml:space="preserve"> </w:t>
            </w:r>
          </w:p>
        </w:tc>
        <w:tc>
          <w:tcPr>
            <w:tcW w:w="1067" w:type="dxa"/>
            <w:shd w:val="clear" w:color="auto" w:fill="E3F1ED"/>
          </w:tcPr>
          <w:p w14:paraId="2E24BB7F" w14:textId="77777777" w:rsidR="006536C4" w:rsidRPr="00E11FFB" w:rsidRDefault="006536C4"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Cible finale dans le prodoc</w:t>
            </w:r>
            <w:r w:rsidRPr="00E11FFB">
              <w:rPr>
                <w:rFonts w:ascii="Avenir" w:eastAsia="Avenir" w:hAnsi="Avenir" w:cs="Avenir"/>
                <w:i/>
                <w:color w:val="000000"/>
                <w:sz w:val="20"/>
                <w:szCs w:val="20"/>
                <w:vertAlign w:val="superscript"/>
              </w:rPr>
              <w:footnoteReference w:id="19"/>
            </w:r>
          </w:p>
        </w:tc>
        <w:tc>
          <w:tcPr>
            <w:tcW w:w="794" w:type="dxa"/>
            <w:shd w:val="clear" w:color="auto" w:fill="E3F1ED"/>
          </w:tcPr>
          <w:p w14:paraId="5239BEB1" w14:textId="77777777" w:rsidR="006536C4" w:rsidRPr="00E11FFB" w:rsidRDefault="006536C4"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Cible finale révisée le cas échéant </w:t>
            </w:r>
          </w:p>
        </w:tc>
        <w:tc>
          <w:tcPr>
            <w:tcW w:w="1454" w:type="dxa"/>
            <w:shd w:val="clear" w:color="auto" w:fill="E7E6E6"/>
          </w:tcPr>
          <w:p w14:paraId="0C55780D" w14:textId="77777777" w:rsidR="006536C4" w:rsidRPr="00E11FFB" w:rsidRDefault="006536C4"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Hyperlien et numéro de la décision d’approbation de la révision de la cible le cas échéant</w:t>
            </w:r>
          </w:p>
        </w:tc>
        <w:tc>
          <w:tcPr>
            <w:tcW w:w="1648" w:type="dxa"/>
            <w:shd w:val="clear" w:color="auto" w:fill="E7E6E6"/>
          </w:tcPr>
          <w:p w14:paraId="45EB45D7" w14:textId="77777777" w:rsidR="006536C4" w:rsidRPr="00E11FFB" w:rsidRDefault="006536C4" w:rsidP="003A6DE1">
            <w:pPr>
              <w:jc w:val="center"/>
              <w:rPr>
                <w:rFonts w:ascii="Avenir" w:eastAsia="Avenir" w:hAnsi="Avenir" w:cs="Avenir"/>
                <w:color w:val="000000"/>
                <w:sz w:val="16"/>
                <w:szCs w:val="16"/>
              </w:rPr>
            </w:pPr>
            <w:r w:rsidRPr="00E11FFB">
              <w:rPr>
                <w:rFonts w:ascii="Avenir" w:eastAsia="Avenir" w:hAnsi="Avenir" w:cs="Avenir"/>
                <w:color w:val="000000"/>
                <w:sz w:val="16"/>
                <w:szCs w:val="16"/>
              </w:rPr>
              <w:t>Commentaires</w:t>
            </w:r>
            <w:r w:rsidRPr="00E11FFB">
              <w:rPr>
                <w:rFonts w:ascii="Avenir" w:eastAsia="Avenir" w:hAnsi="Avenir" w:cs="Avenir"/>
                <w:i/>
                <w:color w:val="000000"/>
                <w:sz w:val="20"/>
                <w:szCs w:val="20"/>
                <w:vertAlign w:val="superscript"/>
              </w:rPr>
              <w:footnoteReference w:id="20"/>
            </w:r>
          </w:p>
        </w:tc>
      </w:tr>
      <w:tr w:rsidR="007C6ED2" w:rsidRPr="00E11FFB" w14:paraId="64550078" w14:textId="77777777" w:rsidTr="008D2FF7">
        <w:trPr>
          <w:trHeight w:val="472"/>
          <w:jc w:val="center"/>
        </w:trPr>
        <w:tc>
          <w:tcPr>
            <w:tcW w:w="3408" w:type="dxa"/>
            <w:vMerge w:val="restart"/>
          </w:tcPr>
          <w:p w14:paraId="3F8F3AC4" w14:textId="72E9E2AF"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Produit 4.1 (Jalon 7 b) : Le Comité national de population (CONAPO), y compris son secrétariat est redynamisé et ses comités provinciaux sont installés et redynamisés dans au moins 6 provinces d'ici 2023 et 4 autres dans au moins 4 provinces d'ici 2025.</w:t>
            </w:r>
          </w:p>
        </w:tc>
        <w:tc>
          <w:tcPr>
            <w:tcW w:w="1987" w:type="dxa"/>
          </w:tcPr>
          <w:p w14:paraId="74CE3F5A" w14:textId="4EE8270D"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Nombre d’organes fonctionnels</w:t>
            </w:r>
          </w:p>
        </w:tc>
        <w:tc>
          <w:tcPr>
            <w:tcW w:w="1374" w:type="dxa"/>
            <w:shd w:val="clear" w:color="auto" w:fill="FFFFFF" w:themeFill="background1"/>
          </w:tcPr>
          <w:p w14:paraId="27614AD8" w14:textId="3B2EF743"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70" w:type="dxa"/>
          </w:tcPr>
          <w:p w14:paraId="5A8110B7" w14:textId="13D0A181"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1084" w:type="dxa"/>
          </w:tcPr>
          <w:p w14:paraId="246B2AED" w14:textId="0A16B49E"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959" w:type="dxa"/>
          </w:tcPr>
          <w:p w14:paraId="3E5A95E6" w14:textId="77777777" w:rsidR="007C6ED2" w:rsidRPr="00E11FFB" w:rsidRDefault="007C6ED2" w:rsidP="007C6ED2">
            <w:pPr>
              <w:jc w:val="center"/>
              <w:rPr>
                <w:rFonts w:ascii="Avenir" w:eastAsia="Avenir" w:hAnsi="Avenir" w:cs="Avenir"/>
                <w:color w:val="000000"/>
                <w:sz w:val="16"/>
                <w:szCs w:val="16"/>
              </w:rPr>
            </w:pPr>
          </w:p>
        </w:tc>
        <w:tc>
          <w:tcPr>
            <w:tcW w:w="1067" w:type="dxa"/>
          </w:tcPr>
          <w:p w14:paraId="34355D31" w14:textId="1E2C107C"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794" w:type="dxa"/>
          </w:tcPr>
          <w:p w14:paraId="7E44E2F6" w14:textId="10743500" w:rsidR="007C6ED2" w:rsidRPr="00E11FFB" w:rsidRDefault="007C6ED2" w:rsidP="007C6ED2">
            <w:pPr>
              <w:jc w:val="center"/>
              <w:rPr>
                <w:rFonts w:ascii="Avenir" w:eastAsia="Avenir" w:hAnsi="Avenir" w:cs="Avenir"/>
                <w:color w:val="000000"/>
                <w:sz w:val="16"/>
                <w:szCs w:val="16"/>
              </w:rPr>
            </w:pPr>
          </w:p>
        </w:tc>
        <w:tc>
          <w:tcPr>
            <w:tcW w:w="1454" w:type="dxa"/>
          </w:tcPr>
          <w:p w14:paraId="33C3E01E" w14:textId="77777777" w:rsidR="007C6ED2" w:rsidRPr="00E11FFB" w:rsidRDefault="007C6ED2" w:rsidP="007C6ED2">
            <w:pPr>
              <w:spacing w:after="5"/>
              <w:rPr>
                <w:rFonts w:ascii="Avenir" w:eastAsia="Avenir" w:hAnsi="Avenir" w:cs="Avenir"/>
                <w:color w:val="000000"/>
                <w:sz w:val="16"/>
                <w:szCs w:val="16"/>
              </w:rPr>
            </w:pPr>
          </w:p>
        </w:tc>
        <w:tc>
          <w:tcPr>
            <w:tcW w:w="1648" w:type="dxa"/>
          </w:tcPr>
          <w:p w14:paraId="7C79B656" w14:textId="217AEBE3" w:rsidR="007C6ED2" w:rsidRPr="00E11FFB" w:rsidRDefault="007C6ED2" w:rsidP="007C6ED2">
            <w:pPr>
              <w:spacing w:after="5"/>
              <w:rPr>
                <w:rFonts w:ascii="Avenir" w:eastAsia="Avenir" w:hAnsi="Avenir" w:cs="Avenir"/>
                <w:color w:val="000000"/>
                <w:sz w:val="16"/>
                <w:szCs w:val="16"/>
              </w:rPr>
            </w:pPr>
            <w:r w:rsidRPr="00E11FFB">
              <w:rPr>
                <w:rFonts w:ascii="Avenir" w:eastAsia="Avenir" w:hAnsi="Avenir" w:cs="Avenir"/>
                <w:color w:val="000000"/>
                <w:sz w:val="16"/>
                <w:szCs w:val="16"/>
              </w:rPr>
              <w:t>COPIL, CTIP, Secrétariat permanent sont fonctionnels</w:t>
            </w:r>
          </w:p>
        </w:tc>
      </w:tr>
      <w:tr w:rsidR="007C6ED2" w:rsidRPr="00E11FFB" w14:paraId="79317D62" w14:textId="77777777" w:rsidTr="008D2FF7">
        <w:trPr>
          <w:trHeight w:val="318"/>
          <w:jc w:val="center"/>
        </w:trPr>
        <w:tc>
          <w:tcPr>
            <w:tcW w:w="3408" w:type="dxa"/>
            <w:vMerge/>
          </w:tcPr>
          <w:p w14:paraId="6D502A9D" w14:textId="77777777" w:rsidR="007C6ED2" w:rsidRPr="00E11FFB" w:rsidRDefault="007C6ED2" w:rsidP="007C6ED2">
            <w:pPr>
              <w:rPr>
                <w:rFonts w:ascii="Avenir" w:eastAsia="Avenir" w:hAnsi="Avenir" w:cs="Avenir"/>
                <w:color w:val="000000"/>
                <w:sz w:val="16"/>
                <w:szCs w:val="16"/>
              </w:rPr>
            </w:pPr>
          </w:p>
        </w:tc>
        <w:tc>
          <w:tcPr>
            <w:tcW w:w="1987" w:type="dxa"/>
          </w:tcPr>
          <w:p w14:paraId="377FBF6C" w14:textId="4349BF0D"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Nombre de réunion comité de pilotage</w:t>
            </w:r>
          </w:p>
        </w:tc>
        <w:tc>
          <w:tcPr>
            <w:tcW w:w="1374" w:type="dxa"/>
            <w:shd w:val="clear" w:color="auto" w:fill="FFFFFF" w:themeFill="background1"/>
          </w:tcPr>
          <w:p w14:paraId="3ADF6BC6" w14:textId="0DFD6AA4" w:rsidR="007C6ED2" w:rsidRPr="00E11FFB" w:rsidRDefault="00B778DD"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28366718" w14:textId="3789C19B"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1084" w:type="dxa"/>
          </w:tcPr>
          <w:p w14:paraId="4A1DC73B" w14:textId="2B6E8330" w:rsidR="007C6ED2" w:rsidRPr="00E11FFB" w:rsidRDefault="001C51A9"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959" w:type="dxa"/>
          </w:tcPr>
          <w:p w14:paraId="7370EF28" w14:textId="77777777" w:rsidR="007C6ED2" w:rsidRPr="00E11FFB" w:rsidRDefault="007C6ED2" w:rsidP="007C6ED2">
            <w:pPr>
              <w:jc w:val="center"/>
              <w:rPr>
                <w:rFonts w:ascii="Avenir" w:eastAsia="Avenir" w:hAnsi="Avenir" w:cs="Avenir"/>
                <w:color w:val="000000"/>
                <w:sz w:val="16"/>
                <w:szCs w:val="16"/>
              </w:rPr>
            </w:pPr>
          </w:p>
        </w:tc>
        <w:tc>
          <w:tcPr>
            <w:tcW w:w="1067" w:type="dxa"/>
          </w:tcPr>
          <w:p w14:paraId="4E93D1BC" w14:textId="1B812A48"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794" w:type="dxa"/>
          </w:tcPr>
          <w:p w14:paraId="17E1EB0C" w14:textId="5522057C" w:rsidR="007C6ED2" w:rsidRPr="00E11FFB" w:rsidRDefault="007C6ED2" w:rsidP="007C6ED2">
            <w:pPr>
              <w:jc w:val="center"/>
              <w:rPr>
                <w:rFonts w:ascii="Avenir" w:eastAsia="Avenir" w:hAnsi="Avenir" w:cs="Avenir"/>
                <w:color w:val="000000"/>
                <w:sz w:val="16"/>
                <w:szCs w:val="16"/>
              </w:rPr>
            </w:pPr>
          </w:p>
        </w:tc>
        <w:tc>
          <w:tcPr>
            <w:tcW w:w="1454" w:type="dxa"/>
          </w:tcPr>
          <w:p w14:paraId="5102E55A" w14:textId="77777777" w:rsidR="007C6ED2" w:rsidRPr="00E11FFB" w:rsidRDefault="007C6ED2" w:rsidP="007C6ED2">
            <w:pPr>
              <w:rPr>
                <w:rFonts w:ascii="Avenir" w:eastAsia="Avenir" w:hAnsi="Avenir" w:cs="Avenir"/>
                <w:color w:val="000000"/>
                <w:sz w:val="16"/>
                <w:szCs w:val="16"/>
              </w:rPr>
            </w:pPr>
          </w:p>
        </w:tc>
        <w:tc>
          <w:tcPr>
            <w:tcW w:w="1648" w:type="dxa"/>
          </w:tcPr>
          <w:p w14:paraId="77259E29" w14:textId="554546F6" w:rsidR="007C6ED2" w:rsidRPr="00E11FFB" w:rsidRDefault="007C6ED2" w:rsidP="007C6ED2">
            <w:pPr>
              <w:rPr>
                <w:rFonts w:ascii="Avenir" w:eastAsia="Avenir" w:hAnsi="Avenir" w:cs="Avenir"/>
                <w:color w:val="000000"/>
                <w:sz w:val="16"/>
                <w:szCs w:val="16"/>
              </w:rPr>
            </w:pPr>
          </w:p>
        </w:tc>
      </w:tr>
      <w:tr w:rsidR="007C6ED2" w:rsidRPr="00E11FFB" w14:paraId="457C7E39" w14:textId="77777777" w:rsidTr="008D2FF7">
        <w:trPr>
          <w:trHeight w:val="318"/>
          <w:jc w:val="center"/>
        </w:trPr>
        <w:tc>
          <w:tcPr>
            <w:tcW w:w="3408" w:type="dxa"/>
            <w:vMerge/>
          </w:tcPr>
          <w:p w14:paraId="64AC3880" w14:textId="77777777" w:rsidR="007C6ED2" w:rsidRPr="00E11FFB" w:rsidRDefault="007C6ED2" w:rsidP="007C6ED2">
            <w:pPr>
              <w:rPr>
                <w:rFonts w:ascii="Avenir" w:eastAsia="Avenir" w:hAnsi="Avenir" w:cs="Avenir"/>
                <w:color w:val="000000"/>
                <w:sz w:val="16"/>
                <w:szCs w:val="16"/>
              </w:rPr>
            </w:pPr>
          </w:p>
        </w:tc>
        <w:tc>
          <w:tcPr>
            <w:tcW w:w="1987" w:type="dxa"/>
          </w:tcPr>
          <w:p w14:paraId="3E008415" w14:textId="4D18BBF8"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Nombre de réunion du CTIP</w:t>
            </w:r>
          </w:p>
        </w:tc>
        <w:tc>
          <w:tcPr>
            <w:tcW w:w="1374" w:type="dxa"/>
            <w:shd w:val="clear" w:color="auto" w:fill="FFFFFF" w:themeFill="background1"/>
          </w:tcPr>
          <w:p w14:paraId="34D7DD97" w14:textId="395D63B1" w:rsidR="007C6ED2" w:rsidRPr="00E11FFB" w:rsidRDefault="00B778DD"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85CBA07" w14:textId="06449B21"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1084" w:type="dxa"/>
          </w:tcPr>
          <w:p w14:paraId="78598604" w14:textId="15FC2988" w:rsidR="007C6ED2" w:rsidRPr="00E11FFB" w:rsidRDefault="001C51A9"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959" w:type="dxa"/>
          </w:tcPr>
          <w:p w14:paraId="1D7741BD" w14:textId="77777777" w:rsidR="007C6ED2" w:rsidRPr="00E11FFB" w:rsidRDefault="007C6ED2" w:rsidP="007C6ED2">
            <w:pPr>
              <w:jc w:val="center"/>
              <w:rPr>
                <w:rFonts w:ascii="Avenir" w:eastAsia="Avenir" w:hAnsi="Avenir" w:cs="Avenir"/>
                <w:color w:val="000000"/>
                <w:sz w:val="16"/>
                <w:szCs w:val="16"/>
              </w:rPr>
            </w:pPr>
          </w:p>
        </w:tc>
        <w:tc>
          <w:tcPr>
            <w:tcW w:w="1067" w:type="dxa"/>
          </w:tcPr>
          <w:p w14:paraId="0321B3ED" w14:textId="453FDFB4"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8</w:t>
            </w:r>
          </w:p>
        </w:tc>
        <w:tc>
          <w:tcPr>
            <w:tcW w:w="794" w:type="dxa"/>
          </w:tcPr>
          <w:p w14:paraId="3F002A6B" w14:textId="153940A3" w:rsidR="007C6ED2" w:rsidRPr="00E11FFB" w:rsidRDefault="007C6ED2" w:rsidP="007C6ED2">
            <w:pPr>
              <w:jc w:val="center"/>
              <w:rPr>
                <w:rFonts w:ascii="Avenir" w:eastAsia="Avenir" w:hAnsi="Avenir" w:cs="Avenir"/>
                <w:color w:val="000000"/>
                <w:sz w:val="16"/>
                <w:szCs w:val="16"/>
              </w:rPr>
            </w:pPr>
          </w:p>
        </w:tc>
        <w:tc>
          <w:tcPr>
            <w:tcW w:w="1454" w:type="dxa"/>
          </w:tcPr>
          <w:p w14:paraId="046821DF" w14:textId="77777777" w:rsidR="007C6ED2" w:rsidRPr="00E11FFB" w:rsidRDefault="007C6ED2" w:rsidP="007C6ED2">
            <w:pPr>
              <w:rPr>
                <w:rFonts w:ascii="Avenir" w:eastAsia="Avenir" w:hAnsi="Avenir" w:cs="Avenir"/>
                <w:color w:val="000000"/>
                <w:sz w:val="16"/>
                <w:szCs w:val="16"/>
              </w:rPr>
            </w:pPr>
          </w:p>
        </w:tc>
        <w:tc>
          <w:tcPr>
            <w:tcW w:w="1648" w:type="dxa"/>
          </w:tcPr>
          <w:p w14:paraId="29E807B5" w14:textId="667A92D8" w:rsidR="007C6ED2" w:rsidRPr="00E11FFB" w:rsidRDefault="007C6ED2" w:rsidP="007C6ED2">
            <w:pPr>
              <w:rPr>
                <w:rFonts w:ascii="Avenir" w:eastAsia="Avenir" w:hAnsi="Avenir" w:cs="Avenir"/>
                <w:color w:val="000000"/>
                <w:sz w:val="16"/>
                <w:szCs w:val="16"/>
              </w:rPr>
            </w:pPr>
          </w:p>
        </w:tc>
      </w:tr>
      <w:tr w:rsidR="007C6ED2" w:rsidRPr="00E11FFB" w14:paraId="43A181A6" w14:textId="77777777" w:rsidTr="008D2FF7">
        <w:trPr>
          <w:trHeight w:val="318"/>
          <w:jc w:val="center"/>
        </w:trPr>
        <w:tc>
          <w:tcPr>
            <w:tcW w:w="3408" w:type="dxa"/>
            <w:vMerge/>
          </w:tcPr>
          <w:p w14:paraId="1AABC4A9" w14:textId="77777777" w:rsidR="007C6ED2" w:rsidRPr="00E11FFB" w:rsidRDefault="007C6ED2" w:rsidP="007C6ED2">
            <w:pPr>
              <w:rPr>
                <w:rFonts w:ascii="Avenir" w:eastAsia="Avenir" w:hAnsi="Avenir" w:cs="Avenir"/>
                <w:color w:val="000000"/>
                <w:sz w:val="16"/>
                <w:szCs w:val="16"/>
              </w:rPr>
            </w:pPr>
          </w:p>
        </w:tc>
        <w:tc>
          <w:tcPr>
            <w:tcW w:w="1987" w:type="dxa"/>
          </w:tcPr>
          <w:p w14:paraId="4AA439BF" w14:textId="270BBD26"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 xml:space="preserve">Fonctionnement mensuel optimal du secrétariat permanent </w:t>
            </w:r>
          </w:p>
        </w:tc>
        <w:tc>
          <w:tcPr>
            <w:tcW w:w="1374" w:type="dxa"/>
            <w:shd w:val="clear" w:color="auto" w:fill="FFFFFF" w:themeFill="background1"/>
          </w:tcPr>
          <w:p w14:paraId="194830A0" w14:textId="4529C0AC" w:rsidR="007C6ED2" w:rsidRPr="00E11FFB" w:rsidRDefault="00B778DD"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017E349C" w14:textId="08642DFB"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9</w:t>
            </w:r>
          </w:p>
        </w:tc>
        <w:tc>
          <w:tcPr>
            <w:tcW w:w="1084" w:type="dxa"/>
          </w:tcPr>
          <w:p w14:paraId="61B4E6EA" w14:textId="41B8291C" w:rsidR="007C6ED2" w:rsidRPr="00E11FFB" w:rsidRDefault="00110B23"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7</w:t>
            </w:r>
          </w:p>
        </w:tc>
        <w:tc>
          <w:tcPr>
            <w:tcW w:w="959" w:type="dxa"/>
          </w:tcPr>
          <w:p w14:paraId="740B7938" w14:textId="77777777" w:rsidR="007C6ED2" w:rsidRPr="00E11FFB" w:rsidRDefault="007C6ED2" w:rsidP="007C6ED2">
            <w:pPr>
              <w:jc w:val="center"/>
              <w:rPr>
                <w:rFonts w:ascii="Avenir" w:eastAsia="Avenir" w:hAnsi="Avenir" w:cs="Avenir"/>
                <w:color w:val="000000"/>
                <w:sz w:val="16"/>
                <w:szCs w:val="16"/>
              </w:rPr>
            </w:pPr>
          </w:p>
        </w:tc>
        <w:tc>
          <w:tcPr>
            <w:tcW w:w="1067" w:type="dxa"/>
          </w:tcPr>
          <w:p w14:paraId="77365951" w14:textId="3E75C42C"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18</w:t>
            </w:r>
          </w:p>
        </w:tc>
        <w:tc>
          <w:tcPr>
            <w:tcW w:w="794" w:type="dxa"/>
          </w:tcPr>
          <w:p w14:paraId="7B0D81EA" w14:textId="507177D8" w:rsidR="007C6ED2" w:rsidRPr="00E11FFB" w:rsidRDefault="007C6ED2" w:rsidP="007C6ED2">
            <w:pPr>
              <w:jc w:val="center"/>
              <w:rPr>
                <w:rFonts w:ascii="Avenir" w:eastAsia="Avenir" w:hAnsi="Avenir" w:cs="Avenir"/>
                <w:color w:val="000000"/>
                <w:sz w:val="16"/>
                <w:szCs w:val="16"/>
              </w:rPr>
            </w:pPr>
          </w:p>
        </w:tc>
        <w:tc>
          <w:tcPr>
            <w:tcW w:w="1454" w:type="dxa"/>
          </w:tcPr>
          <w:p w14:paraId="503DFA33" w14:textId="1321E84C" w:rsidR="007C6ED2" w:rsidRPr="00E11FFB" w:rsidRDefault="007C6ED2" w:rsidP="007C6ED2">
            <w:pPr>
              <w:rPr>
                <w:rFonts w:ascii="Avenir" w:eastAsia="Avenir" w:hAnsi="Avenir" w:cs="Avenir"/>
                <w:color w:val="000000"/>
                <w:sz w:val="16"/>
                <w:szCs w:val="16"/>
                <w:highlight w:val="yellow"/>
              </w:rPr>
            </w:pPr>
          </w:p>
        </w:tc>
        <w:tc>
          <w:tcPr>
            <w:tcW w:w="1648" w:type="dxa"/>
          </w:tcPr>
          <w:p w14:paraId="74B44AAB" w14:textId="63D1AF7F"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La direction population qui est le secrétariat permanent produit mensuellement des rapports d’activités et a bénéficié de l’appui en équipement du projet</w:t>
            </w:r>
          </w:p>
        </w:tc>
      </w:tr>
      <w:tr w:rsidR="007C6ED2" w:rsidRPr="00E11FFB" w14:paraId="493D67C8" w14:textId="77777777" w:rsidTr="008D2FF7">
        <w:trPr>
          <w:trHeight w:val="796"/>
          <w:jc w:val="center"/>
        </w:trPr>
        <w:tc>
          <w:tcPr>
            <w:tcW w:w="3408" w:type="dxa"/>
            <w:vMerge/>
          </w:tcPr>
          <w:p w14:paraId="4901278B" w14:textId="77777777" w:rsidR="007C6ED2" w:rsidRPr="00E11FFB" w:rsidRDefault="007C6ED2" w:rsidP="007C6ED2">
            <w:pPr>
              <w:rPr>
                <w:rFonts w:ascii="Avenir" w:eastAsia="Avenir" w:hAnsi="Avenir" w:cs="Avenir"/>
                <w:color w:val="000000"/>
                <w:sz w:val="16"/>
                <w:szCs w:val="16"/>
              </w:rPr>
            </w:pPr>
          </w:p>
        </w:tc>
        <w:tc>
          <w:tcPr>
            <w:tcW w:w="1987" w:type="dxa"/>
          </w:tcPr>
          <w:p w14:paraId="4C56DDE8" w14:textId="07249DC6" w:rsidR="007C6ED2" w:rsidRPr="00E11FFB" w:rsidRDefault="007C6ED2" w:rsidP="007C6ED2">
            <w:pPr>
              <w:rPr>
                <w:rFonts w:ascii="Avenir" w:eastAsia="Avenir" w:hAnsi="Avenir" w:cs="Avenir"/>
                <w:color w:val="000000"/>
                <w:sz w:val="16"/>
                <w:szCs w:val="16"/>
                <w:highlight w:val="yellow"/>
              </w:rPr>
            </w:pPr>
            <w:r w:rsidRPr="00E11FFB">
              <w:rPr>
                <w:rFonts w:ascii="Avenir" w:eastAsia="Avenir" w:hAnsi="Avenir" w:cs="Avenir"/>
                <w:color w:val="000000"/>
                <w:sz w:val="16"/>
                <w:szCs w:val="16"/>
              </w:rPr>
              <w:t>Nombre de provinces dotées de Comités Provinciaux de Population fonctionnels</w:t>
            </w:r>
          </w:p>
        </w:tc>
        <w:tc>
          <w:tcPr>
            <w:tcW w:w="1374" w:type="dxa"/>
            <w:shd w:val="clear" w:color="auto" w:fill="FFFFFF" w:themeFill="background1"/>
          </w:tcPr>
          <w:p w14:paraId="3B8BE207" w14:textId="1AE06693" w:rsidR="007C6ED2" w:rsidRPr="00E11FFB" w:rsidRDefault="00B778DD"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006AEABB" w14:textId="44BD3153"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6</w:t>
            </w:r>
          </w:p>
        </w:tc>
        <w:tc>
          <w:tcPr>
            <w:tcW w:w="1084" w:type="dxa"/>
          </w:tcPr>
          <w:p w14:paraId="20BBC6A7" w14:textId="2F0E197F" w:rsidR="007C6ED2" w:rsidRPr="00E11FFB" w:rsidRDefault="001C51A9"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5</w:t>
            </w:r>
          </w:p>
        </w:tc>
        <w:tc>
          <w:tcPr>
            <w:tcW w:w="959" w:type="dxa"/>
          </w:tcPr>
          <w:p w14:paraId="5EC0A96B" w14:textId="77777777" w:rsidR="007C6ED2" w:rsidRPr="00E11FFB" w:rsidRDefault="007C6ED2" w:rsidP="007C6ED2">
            <w:pPr>
              <w:jc w:val="center"/>
              <w:rPr>
                <w:rFonts w:ascii="Avenir" w:eastAsia="Avenir" w:hAnsi="Avenir" w:cs="Avenir"/>
                <w:color w:val="000000"/>
                <w:sz w:val="16"/>
                <w:szCs w:val="16"/>
              </w:rPr>
            </w:pPr>
          </w:p>
        </w:tc>
        <w:tc>
          <w:tcPr>
            <w:tcW w:w="1067" w:type="dxa"/>
          </w:tcPr>
          <w:p w14:paraId="20304E6B" w14:textId="4CC6B4C3"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10</w:t>
            </w:r>
          </w:p>
        </w:tc>
        <w:tc>
          <w:tcPr>
            <w:tcW w:w="794" w:type="dxa"/>
          </w:tcPr>
          <w:p w14:paraId="783D2740" w14:textId="4D262E30" w:rsidR="007C6ED2" w:rsidRPr="00E11FFB" w:rsidRDefault="007C6ED2" w:rsidP="007C6ED2">
            <w:pPr>
              <w:jc w:val="center"/>
              <w:rPr>
                <w:rFonts w:ascii="Avenir" w:eastAsia="Avenir" w:hAnsi="Avenir" w:cs="Avenir"/>
                <w:color w:val="000000"/>
                <w:sz w:val="16"/>
                <w:szCs w:val="16"/>
              </w:rPr>
            </w:pPr>
          </w:p>
        </w:tc>
        <w:tc>
          <w:tcPr>
            <w:tcW w:w="1454" w:type="dxa"/>
          </w:tcPr>
          <w:p w14:paraId="5D17ADEC" w14:textId="77777777" w:rsidR="007C6ED2" w:rsidRPr="00E11FFB" w:rsidRDefault="007C6ED2" w:rsidP="007C6ED2">
            <w:pPr>
              <w:rPr>
                <w:rFonts w:ascii="Avenir" w:eastAsia="Avenir" w:hAnsi="Avenir" w:cs="Avenir"/>
                <w:color w:val="000000"/>
                <w:sz w:val="16"/>
                <w:szCs w:val="16"/>
              </w:rPr>
            </w:pPr>
          </w:p>
        </w:tc>
        <w:tc>
          <w:tcPr>
            <w:tcW w:w="1648" w:type="dxa"/>
          </w:tcPr>
          <w:p w14:paraId="70781152" w14:textId="095FF377" w:rsidR="007C6ED2" w:rsidRPr="00E11FFB" w:rsidRDefault="00AF047F" w:rsidP="007C6ED2">
            <w:pPr>
              <w:rPr>
                <w:rFonts w:ascii="Avenir" w:eastAsia="Avenir" w:hAnsi="Avenir" w:cs="Avenir"/>
                <w:color w:val="000000"/>
                <w:sz w:val="16"/>
                <w:szCs w:val="16"/>
              </w:rPr>
            </w:pPr>
            <w:r w:rsidRPr="00E11FFB">
              <w:rPr>
                <w:rFonts w:ascii="Avenir" w:eastAsia="Avenir" w:hAnsi="Avenir" w:cs="Avenir"/>
                <w:color w:val="000000"/>
                <w:sz w:val="16"/>
                <w:szCs w:val="16"/>
              </w:rPr>
              <w:t>Note d’instruction du Vice-ministre de l’intérieur aux gouverneurs, mission de SG pour installation</w:t>
            </w:r>
          </w:p>
        </w:tc>
      </w:tr>
      <w:tr w:rsidR="007C6ED2" w:rsidRPr="00E11FFB" w14:paraId="41B17D89" w14:textId="77777777" w:rsidTr="008D2FF7">
        <w:trPr>
          <w:trHeight w:val="318"/>
          <w:jc w:val="center"/>
        </w:trPr>
        <w:tc>
          <w:tcPr>
            <w:tcW w:w="3408" w:type="dxa"/>
            <w:vMerge w:val="restart"/>
          </w:tcPr>
          <w:p w14:paraId="5EE1C9C3" w14:textId="0CCE503C"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Produit 4.2 La Politique Nationale de Population (PNP) est élaborée et adoptée</w:t>
            </w:r>
          </w:p>
        </w:tc>
        <w:tc>
          <w:tcPr>
            <w:tcW w:w="1987" w:type="dxa"/>
          </w:tcPr>
          <w:p w14:paraId="170625FE" w14:textId="54808A9F" w:rsidR="007C6ED2" w:rsidRPr="00E11FFB" w:rsidRDefault="007C6ED2" w:rsidP="007C6ED2">
            <w:pPr>
              <w:rPr>
                <w:rFonts w:ascii="Avenir" w:eastAsia="Avenir" w:hAnsi="Avenir" w:cs="Avenir"/>
                <w:color w:val="000000"/>
                <w:sz w:val="16"/>
                <w:szCs w:val="16"/>
              </w:rPr>
            </w:pPr>
            <w:r w:rsidRPr="00E11FFB">
              <w:rPr>
                <w:rFonts w:ascii="Avenir" w:eastAsia="Avenir" w:hAnsi="Avenir" w:cs="Avenir"/>
                <w:color w:val="000000"/>
                <w:sz w:val="16"/>
                <w:szCs w:val="16"/>
              </w:rPr>
              <w:t>Nombre de drafts de PNP</w:t>
            </w:r>
          </w:p>
        </w:tc>
        <w:tc>
          <w:tcPr>
            <w:tcW w:w="1374" w:type="dxa"/>
            <w:shd w:val="clear" w:color="auto" w:fill="FFFFFF" w:themeFill="background1"/>
          </w:tcPr>
          <w:p w14:paraId="61EC472E" w14:textId="1DF432FB"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40739B9C" w14:textId="6252CD0D"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1084" w:type="dxa"/>
          </w:tcPr>
          <w:p w14:paraId="2E2578BA" w14:textId="14C27C0B"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959" w:type="dxa"/>
          </w:tcPr>
          <w:p w14:paraId="6E95553A" w14:textId="77777777" w:rsidR="007C6ED2" w:rsidRPr="00E11FFB" w:rsidRDefault="007C6ED2" w:rsidP="007C6ED2">
            <w:pPr>
              <w:jc w:val="center"/>
              <w:rPr>
                <w:rFonts w:ascii="Avenir" w:eastAsia="Avenir" w:hAnsi="Avenir" w:cs="Avenir"/>
                <w:color w:val="000000"/>
                <w:sz w:val="16"/>
                <w:szCs w:val="16"/>
              </w:rPr>
            </w:pPr>
          </w:p>
        </w:tc>
        <w:tc>
          <w:tcPr>
            <w:tcW w:w="1067" w:type="dxa"/>
          </w:tcPr>
          <w:p w14:paraId="71F39438" w14:textId="31848F68" w:rsidR="007C6ED2" w:rsidRPr="00E11FFB" w:rsidRDefault="007C6ED2" w:rsidP="007C6ED2">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794" w:type="dxa"/>
          </w:tcPr>
          <w:p w14:paraId="288A15D1" w14:textId="4B3B003A" w:rsidR="007C6ED2" w:rsidRPr="00E11FFB" w:rsidRDefault="007C6ED2" w:rsidP="007C6ED2">
            <w:pPr>
              <w:jc w:val="center"/>
              <w:rPr>
                <w:rFonts w:ascii="Avenir" w:eastAsia="Avenir" w:hAnsi="Avenir" w:cs="Avenir"/>
                <w:color w:val="000000"/>
                <w:sz w:val="16"/>
                <w:szCs w:val="16"/>
              </w:rPr>
            </w:pPr>
          </w:p>
        </w:tc>
        <w:tc>
          <w:tcPr>
            <w:tcW w:w="1454" w:type="dxa"/>
          </w:tcPr>
          <w:p w14:paraId="5473B4F0" w14:textId="77777777" w:rsidR="007C6ED2" w:rsidRPr="00E11FFB" w:rsidRDefault="007C6ED2" w:rsidP="007C6ED2">
            <w:pPr>
              <w:spacing w:after="5"/>
              <w:rPr>
                <w:rFonts w:ascii="Avenir" w:eastAsia="Avenir" w:hAnsi="Avenir" w:cs="Avenir"/>
                <w:color w:val="000000"/>
                <w:sz w:val="16"/>
                <w:szCs w:val="16"/>
              </w:rPr>
            </w:pPr>
          </w:p>
        </w:tc>
        <w:tc>
          <w:tcPr>
            <w:tcW w:w="1648" w:type="dxa"/>
          </w:tcPr>
          <w:p w14:paraId="75F135FF" w14:textId="5E073392" w:rsidR="007C6ED2" w:rsidRPr="00E11FFB" w:rsidRDefault="007C6ED2" w:rsidP="007C6ED2">
            <w:pPr>
              <w:spacing w:after="5"/>
              <w:rPr>
                <w:rFonts w:ascii="Avenir" w:eastAsia="Avenir" w:hAnsi="Avenir" w:cs="Avenir"/>
                <w:color w:val="000000"/>
                <w:sz w:val="16"/>
                <w:szCs w:val="16"/>
              </w:rPr>
            </w:pPr>
            <w:r w:rsidRPr="00E11FFB">
              <w:rPr>
                <w:rFonts w:ascii="Avenir" w:eastAsia="Avenir" w:hAnsi="Avenir" w:cs="Avenir"/>
                <w:color w:val="000000"/>
                <w:sz w:val="16"/>
                <w:szCs w:val="16"/>
              </w:rPr>
              <w:t>Les quatre drafts sont constitués de la note de cadrage méthodologie V0 et V1, le rapport de diagnostic ainsi que le draft de la PNP</w:t>
            </w:r>
          </w:p>
        </w:tc>
      </w:tr>
      <w:tr w:rsidR="0022573F" w:rsidRPr="00E11FFB" w14:paraId="58EA3A86" w14:textId="77777777" w:rsidTr="008D2FF7">
        <w:trPr>
          <w:trHeight w:val="318"/>
          <w:jc w:val="center"/>
        </w:trPr>
        <w:tc>
          <w:tcPr>
            <w:tcW w:w="3408" w:type="dxa"/>
            <w:vMerge/>
          </w:tcPr>
          <w:p w14:paraId="56642337" w14:textId="77777777" w:rsidR="0022573F" w:rsidRPr="00E11FFB" w:rsidRDefault="0022573F" w:rsidP="0022573F">
            <w:pPr>
              <w:rPr>
                <w:rFonts w:ascii="Avenir" w:eastAsia="Avenir" w:hAnsi="Avenir" w:cs="Avenir"/>
                <w:color w:val="000000"/>
                <w:sz w:val="16"/>
                <w:szCs w:val="16"/>
              </w:rPr>
            </w:pPr>
          </w:p>
        </w:tc>
        <w:tc>
          <w:tcPr>
            <w:tcW w:w="1987" w:type="dxa"/>
          </w:tcPr>
          <w:p w14:paraId="5AA7D364" w14:textId="62778347"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Nombre de drafts du Plan d’actions de la PNP</w:t>
            </w:r>
          </w:p>
        </w:tc>
        <w:tc>
          <w:tcPr>
            <w:tcW w:w="1374" w:type="dxa"/>
            <w:shd w:val="clear" w:color="auto" w:fill="FFFFFF" w:themeFill="background1"/>
          </w:tcPr>
          <w:p w14:paraId="73657812" w14:textId="3C548826"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16BC3517" w14:textId="00BF1AB0"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4D4D7238" w14:textId="55524E64"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59" w:type="dxa"/>
          </w:tcPr>
          <w:p w14:paraId="2F23B765" w14:textId="77777777" w:rsidR="0022573F" w:rsidRPr="00E11FFB" w:rsidRDefault="0022573F" w:rsidP="0022573F">
            <w:pPr>
              <w:jc w:val="center"/>
              <w:rPr>
                <w:rFonts w:ascii="Avenir" w:eastAsia="Avenir" w:hAnsi="Avenir" w:cs="Avenir"/>
                <w:color w:val="000000"/>
                <w:sz w:val="16"/>
                <w:szCs w:val="16"/>
              </w:rPr>
            </w:pPr>
          </w:p>
        </w:tc>
        <w:tc>
          <w:tcPr>
            <w:tcW w:w="1067" w:type="dxa"/>
          </w:tcPr>
          <w:p w14:paraId="083F6A7F" w14:textId="4A08422D"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794" w:type="dxa"/>
          </w:tcPr>
          <w:p w14:paraId="03E54496" w14:textId="1C484DF3" w:rsidR="0022573F" w:rsidRPr="00E11FFB" w:rsidRDefault="0022573F" w:rsidP="0022573F">
            <w:pPr>
              <w:jc w:val="center"/>
              <w:rPr>
                <w:rFonts w:ascii="Avenir" w:eastAsia="Avenir" w:hAnsi="Avenir" w:cs="Avenir"/>
                <w:color w:val="000000"/>
                <w:sz w:val="16"/>
                <w:szCs w:val="16"/>
              </w:rPr>
            </w:pPr>
          </w:p>
        </w:tc>
        <w:tc>
          <w:tcPr>
            <w:tcW w:w="1454" w:type="dxa"/>
          </w:tcPr>
          <w:p w14:paraId="0D84D5AF" w14:textId="77777777" w:rsidR="0022573F" w:rsidRPr="00E11FFB" w:rsidRDefault="0022573F" w:rsidP="0022573F">
            <w:pPr>
              <w:spacing w:after="5"/>
              <w:rPr>
                <w:rFonts w:ascii="Avenir" w:eastAsia="Avenir" w:hAnsi="Avenir" w:cs="Avenir"/>
                <w:color w:val="000000"/>
                <w:sz w:val="16"/>
                <w:szCs w:val="16"/>
              </w:rPr>
            </w:pPr>
          </w:p>
        </w:tc>
        <w:tc>
          <w:tcPr>
            <w:tcW w:w="1648" w:type="dxa"/>
          </w:tcPr>
          <w:p w14:paraId="3C064DFA" w14:textId="16473050" w:rsidR="0022573F" w:rsidRPr="00E11FFB" w:rsidRDefault="0022573F" w:rsidP="0022573F">
            <w:pPr>
              <w:spacing w:after="5"/>
              <w:rPr>
                <w:rFonts w:ascii="Avenir" w:eastAsia="Avenir" w:hAnsi="Avenir" w:cs="Avenir"/>
                <w:color w:val="000000"/>
                <w:sz w:val="16"/>
                <w:szCs w:val="16"/>
              </w:rPr>
            </w:pPr>
            <w:r w:rsidRPr="00E11FFB">
              <w:rPr>
                <w:rFonts w:ascii="Avenir" w:eastAsia="Avenir" w:hAnsi="Avenir" w:cs="Avenir"/>
                <w:color w:val="000000"/>
                <w:sz w:val="16"/>
                <w:szCs w:val="16"/>
              </w:rPr>
              <w:t xml:space="preserve">Le plan sera produit après validation de la PNP en 2026. </w:t>
            </w:r>
          </w:p>
        </w:tc>
      </w:tr>
      <w:tr w:rsidR="0022573F" w:rsidRPr="00E11FFB" w14:paraId="19AE075F" w14:textId="77777777" w:rsidTr="008D2FF7">
        <w:trPr>
          <w:trHeight w:val="318"/>
          <w:jc w:val="center"/>
        </w:trPr>
        <w:tc>
          <w:tcPr>
            <w:tcW w:w="3408" w:type="dxa"/>
            <w:vMerge/>
          </w:tcPr>
          <w:p w14:paraId="1A3C62C8" w14:textId="77777777" w:rsidR="0022573F" w:rsidRPr="00E11FFB" w:rsidRDefault="0022573F" w:rsidP="0022573F">
            <w:pPr>
              <w:rPr>
                <w:rFonts w:ascii="Avenir" w:eastAsia="Avenir" w:hAnsi="Avenir" w:cs="Avenir"/>
                <w:color w:val="000000"/>
                <w:sz w:val="16"/>
                <w:szCs w:val="16"/>
              </w:rPr>
            </w:pPr>
          </w:p>
        </w:tc>
        <w:tc>
          <w:tcPr>
            <w:tcW w:w="1987" w:type="dxa"/>
          </w:tcPr>
          <w:p w14:paraId="19A65C50" w14:textId="74244C59"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Nombre d’ateliers</w:t>
            </w:r>
          </w:p>
        </w:tc>
        <w:tc>
          <w:tcPr>
            <w:tcW w:w="1374" w:type="dxa"/>
            <w:shd w:val="clear" w:color="auto" w:fill="FFFFFF" w:themeFill="background1"/>
          </w:tcPr>
          <w:p w14:paraId="1E3031BF" w14:textId="11F7DFCA"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39F12735" w14:textId="318691DF"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1084" w:type="dxa"/>
          </w:tcPr>
          <w:p w14:paraId="7379E648" w14:textId="7E77B1DE"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959" w:type="dxa"/>
          </w:tcPr>
          <w:p w14:paraId="268443AE" w14:textId="77777777" w:rsidR="0022573F" w:rsidRPr="00E11FFB" w:rsidRDefault="0022573F" w:rsidP="0022573F">
            <w:pPr>
              <w:jc w:val="center"/>
              <w:rPr>
                <w:rFonts w:ascii="Avenir" w:eastAsia="Avenir" w:hAnsi="Avenir" w:cs="Avenir"/>
                <w:color w:val="000000"/>
                <w:sz w:val="16"/>
                <w:szCs w:val="16"/>
              </w:rPr>
            </w:pPr>
          </w:p>
        </w:tc>
        <w:tc>
          <w:tcPr>
            <w:tcW w:w="1067" w:type="dxa"/>
          </w:tcPr>
          <w:p w14:paraId="3B2536DD" w14:textId="39DF9629"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794" w:type="dxa"/>
          </w:tcPr>
          <w:p w14:paraId="1DB68F29" w14:textId="1CE31555" w:rsidR="0022573F" w:rsidRPr="00E11FFB" w:rsidRDefault="0022573F" w:rsidP="0022573F">
            <w:pPr>
              <w:jc w:val="center"/>
              <w:rPr>
                <w:rFonts w:ascii="Avenir" w:eastAsia="Avenir" w:hAnsi="Avenir" w:cs="Avenir"/>
                <w:color w:val="000000"/>
                <w:sz w:val="16"/>
                <w:szCs w:val="16"/>
              </w:rPr>
            </w:pPr>
          </w:p>
        </w:tc>
        <w:tc>
          <w:tcPr>
            <w:tcW w:w="1454" w:type="dxa"/>
          </w:tcPr>
          <w:p w14:paraId="7F9EC752" w14:textId="77777777" w:rsidR="0022573F" w:rsidRPr="00E11FFB" w:rsidRDefault="0022573F" w:rsidP="0022573F">
            <w:pPr>
              <w:spacing w:after="5"/>
              <w:rPr>
                <w:rFonts w:ascii="Avenir" w:eastAsia="Avenir" w:hAnsi="Avenir" w:cs="Avenir"/>
                <w:color w:val="000000"/>
                <w:sz w:val="16"/>
                <w:szCs w:val="16"/>
              </w:rPr>
            </w:pPr>
          </w:p>
        </w:tc>
        <w:tc>
          <w:tcPr>
            <w:tcW w:w="1648" w:type="dxa"/>
          </w:tcPr>
          <w:p w14:paraId="0951942C" w14:textId="630A7E1B" w:rsidR="0022573F" w:rsidRPr="00E11FFB" w:rsidRDefault="0022573F" w:rsidP="0022573F">
            <w:pPr>
              <w:spacing w:after="5"/>
              <w:rPr>
                <w:rFonts w:ascii="Avenir" w:eastAsia="Avenir" w:hAnsi="Avenir" w:cs="Avenir"/>
                <w:color w:val="000000"/>
                <w:sz w:val="16"/>
                <w:szCs w:val="16"/>
              </w:rPr>
            </w:pPr>
            <w:r w:rsidRPr="00E11FFB">
              <w:rPr>
                <w:rFonts w:ascii="Avenir" w:eastAsia="Avenir" w:hAnsi="Avenir" w:cs="Avenir"/>
                <w:color w:val="000000"/>
                <w:sz w:val="16"/>
                <w:szCs w:val="16"/>
              </w:rPr>
              <w:t>Atelier de lancement de la PNP</w:t>
            </w:r>
          </w:p>
        </w:tc>
      </w:tr>
      <w:tr w:rsidR="0022573F" w:rsidRPr="00E11FFB" w14:paraId="22E25231" w14:textId="77777777" w:rsidTr="008D2FF7">
        <w:trPr>
          <w:trHeight w:val="318"/>
          <w:jc w:val="center"/>
        </w:trPr>
        <w:tc>
          <w:tcPr>
            <w:tcW w:w="3408" w:type="dxa"/>
          </w:tcPr>
          <w:p w14:paraId="5699C3A1" w14:textId="32ED8140"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Produit 4.3 (Jalon 7 g) : Le Plan de plaidoyer auprès du Gouvernement pour l'allocation d'une ligne des crédits consistants au CONAPO est adopté d’ici fin 2023.</w:t>
            </w:r>
          </w:p>
        </w:tc>
        <w:tc>
          <w:tcPr>
            <w:tcW w:w="1987" w:type="dxa"/>
          </w:tcPr>
          <w:p w14:paraId="63F2EBB3" w14:textId="3E71F5A7"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Nombre de séance de plaidoyer</w:t>
            </w:r>
          </w:p>
        </w:tc>
        <w:tc>
          <w:tcPr>
            <w:tcW w:w="1374" w:type="dxa"/>
            <w:shd w:val="clear" w:color="auto" w:fill="FFFFFF" w:themeFill="background1"/>
          </w:tcPr>
          <w:p w14:paraId="794927A9" w14:textId="03BDFBDC" w:rsidR="0022573F" w:rsidRPr="00E11FFB" w:rsidRDefault="00B778DD"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06838558" w14:textId="34E9CFD3"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1084" w:type="dxa"/>
          </w:tcPr>
          <w:p w14:paraId="7E9F39B0" w14:textId="70A18B3F" w:rsidR="0022573F" w:rsidRPr="00E11FFB" w:rsidRDefault="00166CE3"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4</w:t>
            </w:r>
          </w:p>
        </w:tc>
        <w:tc>
          <w:tcPr>
            <w:tcW w:w="959" w:type="dxa"/>
          </w:tcPr>
          <w:p w14:paraId="3D750209" w14:textId="77777777" w:rsidR="0022573F" w:rsidRPr="00E11FFB" w:rsidRDefault="0022573F" w:rsidP="0022573F">
            <w:pPr>
              <w:rPr>
                <w:rFonts w:ascii="Avenir" w:eastAsia="Avenir" w:hAnsi="Avenir" w:cs="Avenir"/>
                <w:color w:val="000000"/>
                <w:sz w:val="16"/>
                <w:szCs w:val="16"/>
              </w:rPr>
            </w:pPr>
          </w:p>
        </w:tc>
        <w:tc>
          <w:tcPr>
            <w:tcW w:w="1067" w:type="dxa"/>
          </w:tcPr>
          <w:p w14:paraId="4CDBD8BA" w14:textId="08D6A86C" w:rsidR="0022573F" w:rsidRPr="00E11FFB" w:rsidRDefault="0022573F" w:rsidP="0022573F">
            <w:pPr>
              <w:jc w:val="center"/>
              <w:rPr>
                <w:rFonts w:ascii="Avenir" w:eastAsia="Avenir" w:hAnsi="Avenir" w:cs="Avenir"/>
                <w:color w:val="000000"/>
                <w:sz w:val="16"/>
                <w:szCs w:val="16"/>
              </w:rPr>
            </w:pPr>
            <w:r w:rsidRPr="00E11FFB">
              <w:rPr>
                <w:rFonts w:ascii="Avenir" w:eastAsia="Avenir" w:hAnsi="Avenir" w:cs="Avenir"/>
                <w:color w:val="000000"/>
                <w:sz w:val="16"/>
                <w:szCs w:val="16"/>
              </w:rPr>
              <w:t>5</w:t>
            </w:r>
          </w:p>
        </w:tc>
        <w:tc>
          <w:tcPr>
            <w:tcW w:w="794" w:type="dxa"/>
          </w:tcPr>
          <w:p w14:paraId="29164006" w14:textId="77777777" w:rsidR="0022573F" w:rsidRPr="00E11FFB" w:rsidRDefault="0022573F" w:rsidP="0022573F">
            <w:pPr>
              <w:rPr>
                <w:rFonts w:ascii="Avenir" w:eastAsia="Avenir" w:hAnsi="Avenir" w:cs="Avenir"/>
                <w:color w:val="000000"/>
                <w:sz w:val="16"/>
                <w:szCs w:val="16"/>
              </w:rPr>
            </w:pPr>
          </w:p>
        </w:tc>
        <w:tc>
          <w:tcPr>
            <w:tcW w:w="1454" w:type="dxa"/>
          </w:tcPr>
          <w:p w14:paraId="55A2E199" w14:textId="77777777" w:rsidR="0022573F" w:rsidRPr="00E11FFB" w:rsidRDefault="0022573F" w:rsidP="0022573F">
            <w:pPr>
              <w:spacing w:after="5"/>
              <w:rPr>
                <w:rFonts w:ascii="Avenir" w:eastAsia="Avenir" w:hAnsi="Avenir" w:cs="Avenir"/>
                <w:color w:val="000000"/>
                <w:sz w:val="16"/>
                <w:szCs w:val="16"/>
              </w:rPr>
            </w:pPr>
          </w:p>
        </w:tc>
        <w:tc>
          <w:tcPr>
            <w:tcW w:w="1648" w:type="dxa"/>
          </w:tcPr>
          <w:p w14:paraId="64B585FE" w14:textId="6D90AE90" w:rsidR="0022573F" w:rsidRPr="00E11FFB" w:rsidRDefault="0022573F" w:rsidP="0022573F">
            <w:pPr>
              <w:spacing w:after="5"/>
              <w:rPr>
                <w:rFonts w:ascii="Avenir" w:eastAsia="Avenir" w:hAnsi="Avenir" w:cs="Avenir"/>
                <w:color w:val="000000"/>
                <w:sz w:val="16"/>
                <w:szCs w:val="16"/>
                <w:highlight w:val="yellow"/>
              </w:rPr>
            </w:pPr>
            <w:r w:rsidRPr="00E11FFB">
              <w:rPr>
                <w:rFonts w:ascii="Avenir" w:eastAsia="Avenir" w:hAnsi="Avenir" w:cs="Avenir"/>
                <w:color w:val="000000"/>
                <w:sz w:val="16"/>
                <w:szCs w:val="16"/>
              </w:rPr>
              <w:t>Réunion dinatoire entre Plan et Ecof</w:t>
            </w:r>
            <w:r w:rsidR="00166CE3" w:rsidRPr="00E11FFB">
              <w:rPr>
                <w:rFonts w:ascii="Avenir" w:eastAsia="Avenir" w:hAnsi="Avenir" w:cs="Avenir"/>
                <w:color w:val="000000"/>
                <w:sz w:val="16"/>
                <w:szCs w:val="16"/>
              </w:rPr>
              <w:t>in ; plusieurs autres séances tenues</w:t>
            </w:r>
          </w:p>
        </w:tc>
      </w:tr>
      <w:tr w:rsidR="0022573F" w:rsidRPr="00E11FFB" w14:paraId="575B2459" w14:textId="77777777" w:rsidTr="008D2FF7">
        <w:trPr>
          <w:trHeight w:val="318"/>
          <w:jc w:val="center"/>
        </w:trPr>
        <w:tc>
          <w:tcPr>
            <w:tcW w:w="3408" w:type="dxa"/>
            <w:vMerge w:val="restart"/>
          </w:tcPr>
          <w:p w14:paraId="78E98CF6" w14:textId="5EC15F47"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Renforcer la transparence, la communication et de la coordination dans la mise en œuvre du projet</w:t>
            </w:r>
          </w:p>
        </w:tc>
        <w:tc>
          <w:tcPr>
            <w:tcW w:w="1987" w:type="dxa"/>
          </w:tcPr>
          <w:p w14:paraId="32D1B29A" w14:textId="36EE8F78"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informer sur le projet.</w:t>
            </w:r>
          </w:p>
        </w:tc>
        <w:tc>
          <w:tcPr>
            <w:tcW w:w="1374" w:type="dxa"/>
            <w:shd w:val="clear" w:color="auto" w:fill="FFFFFF" w:themeFill="background1"/>
          </w:tcPr>
          <w:p w14:paraId="31BD93E4" w14:textId="2D384E10" w:rsidR="0022573F" w:rsidRPr="00E11FFB" w:rsidRDefault="00B778DD"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50DF526A" w14:textId="5BE80613"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50 % de la population cible dans les zones d’intervention.</w:t>
            </w:r>
          </w:p>
        </w:tc>
        <w:tc>
          <w:tcPr>
            <w:tcW w:w="1084" w:type="dxa"/>
          </w:tcPr>
          <w:p w14:paraId="22699C61" w14:textId="790DCA15" w:rsidR="0022573F" w:rsidRPr="00E11FFB" w:rsidRDefault="004B47D1"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799</w:t>
            </w:r>
          </w:p>
        </w:tc>
        <w:tc>
          <w:tcPr>
            <w:tcW w:w="959" w:type="dxa"/>
          </w:tcPr>
          <w:p w14:paraId="48A0EFFB" w14:textId="77777777" w:rsidR="0022573F" w:rsidRPr="00E11FFB" w:rsidRDefault="0022573F" w:rsidP="0022573F">
            <w:pPr>
              <w:rPr>
                <w:rFonts w:ascii="Avenir" w:eastAsia="Avenir" w:hAnsi="Avenir" w:cs="Avenir"/>
                <w:color w:val="000000"/>
                <w:sz w:val="16"/>
                <w:szCs w:val="16"/>
              </w:rPr>
            </w:pPr>
          </w:p>
        </w:tc>
        <w:tc>
          <w:tcPr>
            <w:tcW w:w="1067" w:type="dxa"/>
          </w:tcPr>
          <w:p w14:paraId="6123599B" w14:textId="7A8C4F7C"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90 % de la population cible dans les zones d’intervention.</w:t>
            </w:r>
          </w:p>
        </w:tc>
        <w:tc>
          <w:tcPr>
            <w:tcW w:w="794" w:type="dxa"/>
          </w:tcPr>
          <w:p w14:paraId="24317EF4" w14:textId="77777777" w:rsidR="0022573F" w:rsidRPr="00E11FFB" w:rsidRDefault="0022573F" w:rsidP="0022573F">
            <w:pPr>
              <w:rPr>
                <w:rFonts w:ascii="Avenir" w:eastAsia="Avenir" w:hAnsi="Avenir" w:cs="Avenir"/>
                <w:color w:val="000000"/>
                <w:sz w:val="16"/>
                <w:szCs w:val="16"/>
              </w:rPr>
            </w:pPr>
          </w:p>
        </w:tc>
        <w:tc>
          <w:tcPr>
            <w:tcW w:w="1454" w:type="dxa"/>
          </w:tcPr>
          <w:p w14:paraId="19E022D8" w14:textId="77777777" w:rsidR="0022573F" w:rsidRPr="00E11FFB" w:rsidRDefault="0022573F" w:rsidP="0022573F">
            <w:pPr>
              <w:spacing w:after="5"/>
              <w:rPr>
                <w:rFonts w:ascii="Avenir" w:eastAsia="Avenir" w:hAnsi="Avenir" w:cs="Avenir"/>
                <w:color w:val="000000"/>
                <w:sz w:val="16"/>
                <w:szCs w:val="16"/>
              </w:rPr>
            </w:pPr>
          </w:p>
        </w:tc>
        <w:tc>
          <w:tcPr>
            <w:tcW w:w="1648" w:type="dxa"/>
          </w:tcPr>
          <w:p w14:paraId="46A587E5" w14:textId="790FF72D" w:rsidR="0022573F" w:rsidRPr="00E11FFB" w:rsidRDefault="0022573F" w:rsidP="0022573F">
            <w:pPr>
              <w:spacing w:after="5"/>
              <w:rPr>
                <w:rFonts w:ascii="Avenir" w:eastAsia="Avenir" w:hAnsi="Avenir" w:cs="Avenir"/>
                <w:color w:val="000000"/>
                <w:sz w:val="16"/>
                <w:szCs w:val="16"/>
              </w:rPr>
            </w:pPr>
          </w:p>
        </w:tc>
      </w:tr>
      <w:tr w:rsidR="0022573F" w:rsidRPr="00E11FFB" w14:paraId="2D39A1A4" w14:textId="77777777" w:rsidTr="008D2FF7">
        <w:trPr>
          <w:trHeight w:val="318"/>
          <w:jc w:val="center"/>
        </w:trPr>
        <w:tc>
          <w:tcPr>
            <w:tcW w:w="3408" w:type="dxa"/>
            <w:vMerge/>
          </w:tcPr>
          <w:p w14:paraId="395F7999" w14:textId="77777777" w:rsidR="0022573F" w:rsidRPr="00E11FFB" w:rsidRDefault="0022573F" w:rsidP="0022573F">
            <w:pPr>
              <w:rPr>
                <w:rFonts w:ascii="Avenir" w:eastAsia="Avenir" w:hAnsi="Avenir" w:cs="Avenir"/>
                <w:color w:val="000000"/>
                <w:sz w:val="16"/>
                <w:szCs w:val="16"/>
              </w:rPr>
            </w:pPr>
          </w:p>
        </w:tc>
        <w:tc>
          <w:tcPr>
            <w:tcW w:w="1987" w:type="dxa"/>
          </w:tcPr>
          <w:p w14:paraId="1EC8A665" w14:textId="2BC3072C"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Nb (calculé) de personnes touchées par les campagnes de communication visant principalement à modifier les attitudes et pratiques.</w:t>
            </w:r>
          </w:p>
        </w:tc>
        <w:tc>
          <w:tcPr>
            <w:tcW w:w="1374" w:type="dxa"/>
            <w:shd w:val="clear" w:color="auto" w:fill="FFFFFF" w:themeFill="background1"/>
          </w:tcPr>
          <w:p w14:paraId="12A432EE" w14:textId="434135E9" w:rsidR="0022573F" w:rsidRPr="00E11FFB" w:rsidRDefault="00B778DD" w:rsidP="00B778DD">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40429DD1" w14:textId="3883A682"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25 % de la population cible.</w:t>
            </w:r>
          </w:p>
        </w:tc>
        <w:tc>
          <w:tcPr>
            <w:tcW w:w="1084" w:type="dxa"/>
          </w:tcPr>
          <w:p w14:paraId="56AD2E18" w14:textId="0985C24E" w:rsidR="0022573F" w:rsidRPr="00E11FFB" w:rsidRDefault="004B47D1"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695</w:t>
            </w:r>
          </w:p>
        </w:tc>
        <w:tc>
          <w:tcPr>
            <w:tcW w:w="959" w:type="dxa"/>
          </w:tcPr>
          <w:p w14:paraId="4CCE4062" w14:textId="77777777" w:rsidR="0022573F" w:rsidRPr="00E11FFB" w:rsidRDefault="0022573F" w:rsidP="0022573F">
            <w:pPr>
              <w:rPr>
                <w:rFonts w:ascii="Avenir" w:eastAsia="Avenir" w:hAnsi="Avenir" w:cs="Avenir"/>
                <w:color w:val="000000"/>
                <w:sz w:val="16"/>
                <w:szCs w:val="16"/>
              </w:rPr>
            </w:pPr>
          </w:p>
        </w:tc>
        <w:tc>
          <w:tcPr>
            <w:tcW w:w="1067" w:type="dxa"/>
          </w:tcPr>
          <w:p w14:paraId="1F88DE7F" w14:textId="1BD5CCF2"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75 % de la population cible.</w:t>
            </w:r>
          </w:p>
        </w:tc>
        <w:tc>
          <w:tcPr>
            <w:tcW w:w="794" w:type="dxa"/>
          </w:tcPr>
          <w:p w14:paraId="60CC8161" w14:textId="77777777" w:rsidR="0022573F" w:rsidRPr="00E11FFB" w:rsidRDefault="0022573F" w:rsidP="0022573F">
            <w:pPr>
              <w:rPr>
                <w:rFonts w:ascii="Avenir" w:eastAsia="Avenir" w:hAnsi="Avenir" w:cs="Avenir"/>
                <w:color w:val="000000"/>
                <w:sz w:val="16"/>
                <w:szCs w:val="16"/>
              </w:rPr>
            </w:pPr>
          </w:p>
        </w:tc>
        <w:tc>
          <w:tcPr>
            <w:tcW w:w="1454" w:type="dxa"/>
          </w:tcPr>
          <w:p w14:paraId="208C5EE0" w14:textId="77777777" w:rsidR="0022573F" w:rsidRPr="00E11FFB" w:rsidRDefault="0022573F" w:rsidP="0022573F">
            <w:pPr>
              <w:spacing w:after="5"/>
              <w:rPr>
                <w:rFonts w:ascii="Avenir" w:eastAsia="Avenir" w:hAnsi="Avenir" w:cs="Avenir"/>
                <w:color w:val="000000"/>
                <w:sz w:val="16"/>
                <w:szCs w:val="16"/>
              </w:rPr>
            </w:pPr>
          </w:p>
        </w:tc>
        <w:tc>
          <w:tcPr>
            <w:tcW w:w="1648" w:type="dxa"/>
          </w:tcPr>
          <w:p w14:paraId="44207BC9" w14:textId="2EE09AAD" w:rsidR="0022573F" w:rsidRPr="00E11FFB" w:rsidRDefault="0022573F" w:rsidP="0022573F">
            <w:pPr>
              <w:spacing w:after="5"/>
              <w:rPr>
                <w:rFonts w:ascii="Avenir" w:eastAsia="Avenir" w:hAnsi="Avenir" w:cs="Avenir"/>
                <w:color w:val="000000"/>
                <w:sz w:val="16"/>
                <w:szCs w:val="16"/>
              </w:rPr>
            </w:pPr>
          </w:p>
        </w:tc>
      </w:tr>
      <w:tr w:rsidR="0022573F" w:rsidRPr="00E11FFB" w14:paraId="6EB2A77C" w14:textId="77777777" w:rsidTr="008D2FF7">
        <w:trPr>
          <w:trHeight w:val="318"/>
          <w:jc w:val="center"/>
        </w:trPr>
        <w:tc>
          <w:tcPr>
            <w:tcW w:w="3408" w:type="dxa"/>
            <w:vMerge/>
          </w:tcPr>
          <w:p w14:paraId="7DDA0CD4" w14:textId="77777777" w:rsidR="0022573F" w:rsidRPr="00E11FFB" w:rsidRDefault="0022573F" w:rsidP="0022573F">
            <w:pPr>
              <w:rPr>
                <w:rFonts w:ascii="Avenir" w:eastAsia="Avenir" w:hAnsi="Avenir" w:cs="Avenir"/>
                <w:color w:val="000000"/>
                <w:sz w:val="16"/>
                <w:szCs w:val="16"/>
              </w:rPr>
            </w:pPr>
          </w:p>
        </w:tc>
        <w:tc>
          <w:tcPr>
            <w:tcW w:w="1987" w:type="dxa"/>
          </w:tcPr>
          <w:p w14:paraId="312B13BB" w14:textId="6788B03B"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Pourcentage de campagnes utilisant des outils pour cibler spécifiquement les minorités et groupes vulnérables.</w:t>
            </w:r>
          </w:p>
        </w:tc>
        <w:tc>
          <w:tcPr>
            <w:tcW w:w="1374" w:type="dxa"/>
            <w:shd w:val="clear" w:color="auto" w:fill="FFFFFF" w:themeFill="background1"/>
          </w:tcPr>
          <w:p w14:paraId="5CA0CA5E" w14:textId="6F49FBC9" w:rsidR="0022573F" w:rsidRPr="00E11FFB" w:rsidRDefault="004B47D1" w:rsidP="00B778DD">
            <w:pPr>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1070" w:type="dxa"/>
          </w:tcPr>
          <w:p w14:paraId="1F806565" w14:textId="137840E6"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50% des campagnes</w:t>
            </w:r>
          </w:p>
        </w:tc>
        <w:tc>
          <w:tcPr>
            <w:tcW w:w="1084" w:type="dxa"/>
          </w:tcPr>
          <w:p w14:paraId="1BBEA717" w14:textId="6BE7039D" w:rsidR="0022573F" w:rsidRPr="00E11FFB" w:rsidRDefault="004B47D1" w:rsidP="002142A2">
            <w:pPr>
              <w:jc w:val="center"/>
              <w:rPr>
                <w:rFonts w:ascii="Avenir" w:eastAsia="Avenir" w:hAnsi="Avenir" w:cs="Avenir"/>
                <w:color w:val="000000"/>
                <w:sz w:val="16"/>
                <w:szCs w:val="16"/>
              </w:rPr>
            </w:pPr>
            <w:r w:rsidRPr="00E11FFB">
              <w:rPr>
                <w:rFonts w:ascii="Avenir" w:eastAsia="Avenir" w:hAnsi="Avenir" w:cs="Avenir"/>
                <w:color w:val="000000"/>
                <w:sz w:val="16"/>
                <w:szCs w:val="16"/>
              </w:rPr>
              <w:t>85%</w:t>
            </w:r>
          </w:p>
        </w:tc>
        <w:tc>
          <w:tcPr>
            <w:tcW w:w="959" w:type="dxa"/>
          </w:tcPr>
          <w:p w14:paraId="7C1CD732" w14:textId="77777777" w:rsidR="0022573F" w:rsidRPr="00E11FFB" w:rsidRDefault="0022573F" w:rsidP="0022573F">
            <w:pPr>
              <w:rPr>
                <w:rFonts w:ascii="Avenir" w:eastAsia="Avenir" w:hAnsi="Avenir" w:cs="Avenir"/>
                <w:color w:val="000000"/>
                <w:sz w:val="16"/>
                <w:szCs w:val="16"/>
              </w:rPr>
            </w:pPr>
          </w:p>
        </w:tc>
        <w:tc>
          <w:tcPr>
            <w:tcW w:w="1067" w:type="dxa"/>
          </w:tcPr>
          <w:p w14:paraId="7978A20E" w14:textId="61863FF4" w:rsidR="0022573F" w:rsidRPr="00E11FFB" w:rsidRDefault="0022573F" w:rsidP="0022573F">
            <w:pPr>
              <w:rPr>
                <w:rFonts w:ascii="Avenir" w:eastAsia="Avenir" w:hAnsi="Avenir" w:cs="Avenir"/>
                <w:color w:val="000000"/>
                <w:sz w:val="16"/>
                <w:szCs w:val="16"/>
              </w:rPr>
            </w:pPr>
            <w:r w:rsidRPr="00E11FFB">
              <w:rPr>
                <w:rFonts w:ascii="Avenir" w:eastAsia="Avenir" w:hAnsi="Avenir" w:cs="Avenir"/>
                <w:color w:val="000000"/>
                <w:sz w:val="16"/>
                <w:szCs w:val="16"/>
              </w:rPr>
              <w:t>100% des campagnes</w:t>
            </w:r>
          </w:p>
        </w:tc>
        <w:tc>
          <w:tcPr>
            <w:tcW w:w="794" w:type="dxa"/>
          </w:tcPr>
          <w:p w14:paraId="23EDEDE5" w14:textId="77777777" w:rsidR="0022573F" w:rsidRPr="00E11FFB" w:rsidRDefault="0022573F" w:rsidP="0022573F">
            <w:pPr>
              <w:rPr>
                <w:rFonts w:ascii="Avenir" w:eastAsia="Avenir" w:hAnsi="Avenir" w:cs="Avenir"/>
                <w:color w:val="000000"/>
                <w:sz w:val="16"/>
                <w:szCs w:val="16"/>
              </w:rPr>
            </w:pPr>
          </w:p>
        </w:tc>
        <w:tc>
          <w:tcPr>
            <w:tcW w:w="1454" w:type="dxa"/>
          </w:tcPr>
          <w:p w14:paraId="79CC38F0" w14:textId="77777777" w:rsidR="0022573F" w:rsidRPr="00E11FFB" w:rsidRDefault="0022573F" w:rsidP="0022573F">
            <w:pPr>
              <w:spacing w:after="5"/>
              <w:rPr>
                <w:rFonts w:ascii="Avenir" w:eastAsia="Avenir" w:hAnsi="Avenir" w:cs="Avenir"/>
                <w:color w:val="000000"/>
                <w:sz w:val="16"/>
                <w:szCs w:val="16"/>
              </w:rPr>
            </w:pPr>
          </w:p>
        </w:tc>
        <w:tc>
          <w:tcPr>
            <w:tcW w:w="1648" w:type="dxa"/>
          </w:tcPr>
          <w:p w14:paraId="2AB14BB8" w14:textId="2B5AF22C" w:rsidR="0022573F" w:rsidRPr="00E11FFB" w:rsidRDefault="0022573F" w:rsidP="0022573F">
            <w:pPr>
              <w:spacing w:after="5"/>
              <w:rPr>
                <w:rFonts w:ascii="Avenir" w:eastAsia="Avenir" w:hAnsi="Avenir" w:cs="Avenir"/>
                <w:color w:val="000000"/>
                <w:sz w:val="16"/>
                <w:szCs w:val="16"/>
              </w:rPr>
            </w:pPr>
          </w:p>
        </w:tc>
      </w:tr>
    </w:tbl>
    <w:p w14:paraId="3A200FF4" w14:textId="77777777" w:rsidR="006536C4" w:rsidRPr="00E11FFB" w:rsidRDefault="006536C4">
      <w:pPr>
        <w:spacing w:line="250" w:lineRule="auto"/>
        <w:ind w:left="-15"/>
        <w:jc w:val="both"/>
        <w:rPr>
          <w:rFonts w:ascii="Avenir" w:eastAsia="Avenir" w:hAnsi="Avenir" w:cs="Avenir"/>
          <w:i/>
          <w:color w:val="000000"/>
          <w:sz w:val="20"/>
          <w:szCs w:val="20"/>
        </w:rPr>
      </w:pPr>
    </w:p>
    <w:p w14:paraId="0E8AFEB9" w14:textId="2523008B" w:rsidR="00EE7B48" w:rsidRPr="00E11FFB" w:rsidRDefault="00EE7B48" w:rsidP="00EE7B48">
      <w:pPr>
        <w:keepNext/>
        <w:spacing w:line="271" w:lineRule="auto"/>
        <w:ind w:left="-3" w:right="35" w:firstLine="10"/>
        <w:jc w:val="both"/>
        <w:rPr>
          <w:rFonts w:ascii="Avenir" w:eastAsia="Avenir" w:hAnsi="Avenir" w:cs="Avenir"/>
          <w:b/>
          <w:bCs/>
          <w:iCs/>
          <w:color w:val="000000"/>
          <w:sz w:val="20"/>
          <w:szCs w:val="20"/>
          <w:u w:val="single"/>
        </w:rPr>
      </w:pPr>
      <w:bookmarkStart w:id="10" w:name="_Hlk215844829"/>
      <w:r w:rsidRPr="00E11FFB">
        <w:rPr>
          <w:rFonts w:ascii="Avenir" w:eastAsia="Avenir" w:hAnsi="Avenir" w:cs="Avenir"/>
          <w:b/>
          <w:bCs/>
          <w:iCs/>
          <w:color w:val="000000"/>
          <w:sz w:val="20"/>
          <w:szCs w:val="20"/>
          <w:u w:val="single"/>
        </w:rPr>
        <w:t xml:space="preserve">Tableau évaluation de la performance secteur Mines </w:t>
      </w:r>
      <w:r w:rsidR="0048260B">
        <w:rPr>
          <w:rFonts w:ascii="Avenir" w:eastAsia="Avenir" w:hAnsi="Avenir" w:cs="Avenir"/>
          <w:b/>
          <w:bCs/>
          <w:iCs/>
          <w:color w:val="000000"/>
          <w:sz w:val="20"/>
          <w:szCs w:val="20"/>
          <w:u w:val="single"/>
        </w:rPr>
        <w:t>(Effet 5)</w:t>
      </w:r>
    </w:p>
    <w:p w14:paraId="50C2CCB8" w14:textId="77777777" w:rsidR="006536C4" w:rsidRPr="00E11FFB" w:rsidRDefault="006536C4">
      <w:pPr>
        <w:spacing w:line="250" w:lineRule="auto"/>
        <w:ind w:left="-15"/>
        <w:jc w:val="both"/>
        <w:rPr>
          <w:rFonts w:ascii="Avenir" w:eastAsia="Avenir" w:hAnsi="Avenir" w:cs="Avenir"/>
          <w:i/>
          <w:color w:val="000000"/>
          <w:sz w:val="20"/>
          <w:szCs w:val="20"/>
        </w:rPr>
      </w:pPr>
    </w:p>
    <w:tbl>
      <w:tblPr>
        <w:tblW w:w="14906" w:type="dxa"/>
        <w:tblLook w:val="04A0" w:firstRow="1" w:lastRow="0" w:firstColumn="1" w:lastColumn="0" w:noHBand="0" w:noVBand="1"/>
      </w:tblPr>
      <w:tblGrid>
        <w:gridCol w:w="2361"/>
        <w:gridCol w:w="2360"/>
        <w:gridCol w:w="736"/>
        <w:gridCol w:w="1578"/>
        <w:gridCol w:w="1194"/>
        <w:gridCol w:w="1191"/>
        <w:gridCol w:w="1578"/>
        <w:gridCol w:w="1034"/>
        <w:gridCol w:w="1553"/>
        <w:gridCol w:w="1219"/>
        <w:gridCol w:w="222"/>
      </w:tblGrid>
      <w:tr w:rsidR="00EE7B48" w:rsidRPr="00E11FFB" w14:paraId="466C928B" w14:textId="77777777" w:rsidTr="005859E4">
        <w:trPr>
          <w:gridAfter w:val="1"/>
          <w:wAfter w:w="222" w:type="dxa"/>
          <w:trHeight w:val="630"/>
          <w:tblHeader/>
        </w:trPr>
        <w:tc>
          <w:tcPr>
            <w:tcW w:w="2361"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76CABB78" w14:textId="77777777"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Produits </w:t>
            </w:r>
          </w:p>
        </w:tc>
        <w:tc>
          <w:tcPr>
            <w:tcW w:w="2360" w:type="dxa"/>
            <w:tcBorders>
              <w:top w:val="single" w:sz="4" w:space="0" w:color="auto"/>
              <w:left w:val="nil"/>
              <w:bottom w:val="single" w:sz="4" w:space="0" w:color="auto"/>
              <w:right w:val="single" w:sz="4" w:space="0" w:color="auto"/>
            </w:tcBorders>
            <w:shd w:val="clear" w:color="000000" w:fill="DAE9F8"/>
            <w:noWrap/>
            <w:vAlign w:val="center"/>
            <w:hideMark/>
          </w:tcPr>
          <w:p w14:paraId="5A86EC71" w14:textId="77777777"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Indicateurs</w:t>
            </w:r>
          </w:p>
        </w:tc>
        <w:tc>
          <w:tcPr>
            <w:tcW w:w="736" w:type="dxa"/>
            <w:tcBorders>
              <w:top w:val="single" w:sz="4" w:space="0" w:color="auto"/>
              <w:left w:val="nil"/>
              <w:bottom w:val="single" w:sz="4" w:space="0" w:color="auto"/>
              <w:right w:val="single" w:sz="4" w:space="0" w:color="auto"/>
            </w:tcBorders>
            <w:shd w:val="clear" w:color="000000" w:fill="DAF2D0"/>
            <w:vAlign w:val="center"/>
            <w:hideMark/>
          </w:tcPr>
          <w:p w14:paraId="0529A304" w14:textId="77777777"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Lignes de base</w:t>
            </w:r>
          </w:p>
        </w:tc>
        <w:tc>
          <w:tcPr>
            <w:tcW w:w="1578" w:type="dxa"/>
            <w:tcBorders>
              <w:top w:val="single" w:sz="4" w:space="0" w:color="auto"/>
              <w:left w:val="nil"/>
              <w:bottom w:val="single" w:sz="4" w:space="0" w:color="auto"/>
              <w:right w:val="single" w:sz="4" w:space="0" w:color="auto"/>
            </w:tcBorders>
            <w:shd w:val="clear" w:color="000000" w:fill="DAF2D0"/>
            <w:vAlign w:val="center"/>
            <w:hideMark/>
          </w:tcPr>
          <w:p w14:paraId="295F7C83" w14:textId="0307EE4D"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Cible</w:t>
            </w:r>
            <w:r w:rsidR="00EE7B48" w:rsidRPr="00E11FFB">
              <w:rPr>
                <w:rFonts w:ascii="Calibri" w:hAnsi="Calibri" w:cs="Calibri"/>
                <w:color w:val="000000" w:themeColor="text1"/>
                <w:sz w:val="16"/>
                <w:szCs w:val="16"/>
              </w:rPr>
              <w:t xml:space="preserve"> visée pour la </w:t>
            </w:r>
            <w:r w:rsidRPr="00E11FFB">
              <w:rPr>
                <w:rFonts w:ascii="Calibri" w:hAnsi="Calibri" w:cs="Calibri"/>
                <w:color w:val="000000" w:themeColor="text1"/>
                <w:sz w:val="16"/>
                <w:szCs w:val="16"/>
              </w:rPr>
              <w:t>période</w:t>
            </w:r>
            <w:r w:rsidR="00EE7B48" w:rsidRPr="00E11FFB">
              <w:rPr>
                <w:rFonts w:ascii="Calibri" w:hAnsi="Calibri" w:cs="Calibri"/>
                <w:color w:val="000000" w:themeColor="text1"/>
                <w:sz w:val="16"/>
                <w:szCs w:val="16"/>
              </w:rPr>
              <w:t xml:space="preserve"> de rapportage</w:t>
            </w:r>
          </w:p>
        </w:tc>
        <w:tc>
          <w:tcPr>
            <w:tcW w:w="1194" w:type="dxa"/>
            <w:tcBorders>
              <w:top w:val="single" w:sz="4" w:space="0" w:color="auto"/>
              <w:left w:val="nil"/>
              <w:bottom w:val="single" w:sz="4" w:space="0" w:color="auto"/>
              <w:right w:val="single" w:sz="4" w:space="0" w:color="auto"/>
            </w:tcBorders>
            <w:shd w:val="clear" w:color="000000" w:fill="DAF2D0"/>
            <w:vAlign w:val="center"/>
            <w:hideMark/>
          </w:tcPr>
          <w:p w14:paraId="4F387FEF" w14:textId="5840A797"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Valeur</w:t>
            </w:r>
            <w:r w:rsidR="00EE7B48" w:rsidRPr="00E11FFB">
              <w:rPr>
                <w:rFonts w:ascii="Calibri" w:hAnsi="Calibri" w:cs="Calibri"/>
                <w:color w:val="000000" w:themeColor="text1"/>
                <w:sz w:val="16"/>
                <w:szCs w:val="16"/>
              </w:rPr>
              <w:t xml:space="preserve"> atteinte pour la </w:t>
            </w:r>
            <w:r w:rsidRPr="00E11FFB">
              <w:rPr>
                <w:rFonts w:ascii="Calibri" w:hAnsi="Calibri" w:cs="Calibri"/>
                <w:color w:val="000000" w:themeColor="text1"/>
                <w:sz w:val="16"/>
                <w:szCs w:val="16"/>
              </w:rPr>
              <w:t>période</w:t>
            </w:r>
            <w:r w:rsidR="00EE7B48" w:rsidRPr="00E11FFB">
              <w:rPr>
                <w:rFonts w:ascii="Calibri" w:hAnsi="Calibri" w:cs="Calibri"/>
                <w:color w:val="000000" w:themeColor="text1"/>
                <w:sz w:val="16"/>
                <w:szCs w:val="16"/>
              </w:rPr>
              <w:t xml:space="preserve"> de rapportage</w:t>
            </w:r>
          </w:p>
        </w:tc>
        <w:tc>
          <w:tcPr>
            <w:tcW w:w="1191" w:type="dxa"/>
            <w:tcBorders>
              <w:top w:val="single" w:sz="4" w:space="0" w:color="auto"/>
              <w:left w:val="nil"/>
              <w:bottom w:val="single" w:sz="4" w:space="0" w:color="auto"/>
              <w:right w:val="single" w:sz="4" w:space="0" w:color="auto"/>
            </w:tcBorders>
            <w:shd w:val="clear" w:color="000000" w:fill="DAF2D0"/>
            <w:vAlign w:val="center"/>
            <w:hideMark/>
          </w:tcPr>
          <w:p w14:paraId="4590E591" w14:textId="74B5D69B"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Valeur</w:t>
            </w:r>
            <w:r w:rsidR="00EE7B48" w:rsidRPr="00E11FFB">
              <w:rPr>
                <w:rFonts w:ascii="Calibri" w:hAnsi="Calibri" w:cs="Calibri"/>
                <w:color w:val="000000" w:themeColor="text1"/>
                <w:sz w:val="16"/>
                <w:szCs w:val="16"/>
              </w:rPr>
              <w:t xml:space="preserve"> actuelle</w:t>
            </w:r>
          </w:p>
        </w:tc>
        <w:tc>
          <w:tcPr>
            <w:tcW w:w="1578" w:type="dxa"/>
            <w:tcBorders>
              <w:top w:val="single" w:sz="4" w:space="0" w:color="auto"/>
              <w:left w:val="nil"/>
              <w:bottom w:val="single" w:sz="4" w:space="0" w:color="auto"/>
              <w:right w:val="single" w:sz="4" w:space="0" w:color="auto"/>
            </w:tcBorders>
            <w:shd w:val="clear" w:color="000000" w:fill="DAF2D0"/>
            <w:vAlign w:val="center"/>
            <w:hideMark/>
          </w:tcPr>
          <w:p w14:paraId="62C3BB2C" w14:textId="379BD40B"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 </w:t>
            </w:r>
            <w:r w:rsidR="00F70CA8" w:rsidRPr="00E11FFB">
              <w:rPr>
                <w:rFonts w:ascii="Calibri" w:hAnsi="Calibri" w:cs="Calibri"/>
                <w:color w:val="000000" w:themeColor="text1"/>
                <w:sz w:val="16"/>
                <w:szCs w:val="16"/>
              </w:rPr>
              <w:t>Cible</w:t>
            </w:r>
            <w:r w:rsidRPr="00E11FFB">
              <w:rPr>
                <w:rFonts w:ascii="Calibri" w:hAnsi="Calibri" w:cs="Calibri"/>
                <w:color w:val="000000" w:themeColor="text1"/>
                <w:sz w:val="16"/>
                <w:szCs w:val="16"/>
              </w:rPr>
              <w:t xml:space="preserve"> finale dans le prodoc</w:t>
            </w:r>
          </w:p>
        </w:tc>
        <w:tc>
          <w:tcPr>
            <w:tcW w:w="1034" w:type="dxa"/>
            <w:tcBorders>
              <w:top w:val="single" w:sz="4" w:space="0" w:color="auto"/>
              <w:left w:val="nil"/>
              <w:bottom w:val="single" w:sz="4" w:space="0" w:color="auto"/>
              <w:right w:val="single" w:sz="4" w:space="0" w:color="auto"/>
            </w:tcBorders>
            <w:shd w:val="clear" w:color="000000" w:fill="DAF2D0"/>
            <w:vAlign w:val="center"/>
            <w:hideMark/>
          </w:tcPr>
          <w:p w14:paraId="09F07C7A" w14:textId="33A30A91"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Cible</w:t>
            </w:r>
            <w:r w:rsidR="00EE7B48" w:rsidRPr="00E11FFB">
              <w:rPr>
                <w:rFonts w:ascii="Calibri" w:hAnsi="Calibri" w:cs="Calibri"/>
                <w:color w:val="000000" w:themeColor="text1"/>
                <w:sz w:val="16"/>
                <w:szCs w:val="16"/>
              </w:rPr>
              <w:t xml:space="preserve"> finale </w:t>
            </w:r>
            <w:r w:rsidRPr="00E11FFB">
              <w:rPr>
                <w:rFonts w:ascii="Calibri" w:hAnsi="Calibri" w:cs="Calibri"/>
                <w:color w:val="000000" w:themeColor="text1"/>
                <w:sz w:val="16"/>
                <w:szCs w:val="16"/>
              </w:rPr>
              <w:t>révisée</w:t>
            </w:r>
            <w:r w:rsidR="00EE7B48" w:rsidRPr="00E11FFB">
              <w:rPr>
                <w:rFonts w:ascii="Calibri" w:hAnsi="Calibri" w:cs="Calibri"/>
                <w:color w:val="000000" w:themeColor="text1"/>
                <w:sz w:val="16"/>
                <w:szCs w:val="16"/>
              </w:rPr>
              <w:t xml:space="preserve"> le cas </w:t>
            </w:r>
            <w:r w:rsidRPr="00E11FFB">
              <w:rPr>
                <w:rFonts w:ascii="Calibri" w:hAnsi="Calibri" w:cs="Calibri"/>
                <w:color w:val="000000" w:themeColor="text1"/>
                <w:sz w:val="16"/>
                <w:szCs w:val="16"/>
              </w:rPr>
              <w:t>échéant</w:t>
            </w:r>
            <w:r w:rsidR="00EE7B48" w:rsidRPr="00E11FFB">
              <w:rPr>
                <w:rFonts w:ascii="Calibri" w:hAnsi="Calibri" w:cs="Calibri"/>
                <w:color w:val="000000" w:themeColor="text1"/>
                <w:sz w:val="16"/>
                <w:szCs w:val="16"/>
              </w:rPr>
              <w:t xml:space="preserve"> </w:t>
            </w:r>
          </w:p>
        </w:tc>
        <w:tc>
          <w:tcPr>
            <w:tcW w:w="1553" w:type="dxa"/>
            <w:tcBorders>
              <w:top w:val="single" w:sz="4" w:space="0" w:color="auto"/>
              <w:left w:val="nil"/>
              <w:bottom w:val="single" w:sz="4" w:space="0" w:color="auto"/>
              <w:right w:val="single" w:sz="4" w:space="0" w:color="auto"/>
            </w:tcBorders>
            <w:shd w:val="clear" w:color="000000" w:fill="D9D9D9"/>
            <w:vAlign w:val="center"/>
            <w:hideMark/>
          </w:tcPr>
          <w:p w14:paraId="69E4009A" w14:textId="50918C2F"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Hyperlien</w:t>
            </w:r>
          </w:p>
        </w:tc>
        <w:tc>
          <w:tcPr>
            <w:tcW w:w="1099" w:type="dxa"/>
            <w:tcBorders>
              <w:top w:val="single" w:sz="4" w:space="0" w:color="auto"/>
              <w:left w:val="nil"/>
              <w:bottom w:val="single" w:sz="4" w:space="0" w:color="auto"/>
              <w:right w:val="single" w:sz="4" w:space="0" w:color="auto"/>
            </w:tcBorders>
            <w:shd w:val="clear" w:color="000000" w:fill="D9D9D9"/>
            <w:noWrap/>
            <w:vAlign w:val="center"/>
            <w:hideMark/>
          </w:tcPr>
          <w:p w14:paraId="6AF7FB32" w14:textId="5CA7D21C"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Commentaire</w:t>
            </w:r>
            <w:r w:rsidR="00EE7B48" w:rsidRPr="00E11FFB">
              <w:rPr>
                <w:rFonts w:ascii="Calibri" w:hAnsi="Calibri" w:cs="Calibri"/>
                <w:color w:val="000000" w:themeColor="text1"/>
                <w:sz w:val="16"/>
                <w:szCs w:val="16"/>
              </w:rPr>
              <w:t xml:space="preserve"> </w:t>
            </w:r>
          </w:p>
        </w:tc>
      </w:tr>
      <w:tr w:rsidR="00EE7B48" w:rsidRPr="00E11FFB" w14:paraId="3F3A6DA4" w14:textId="77777777" w:rsidTr="005859E4">
        <w:trPr>
          <w:gridAfter w:val="1"/>
          <w:wAfter w:w="222" w:type="dxa"/>
          <w:trHeight w:val="840"/>
        </w:trPr>
        <w:tc>
          <w:tcPr>
            <w:tcW w:w="2361" w:type="dxa"/>
            <w:vMerge w:val="restart"/>
            <w:tcBorders>
              <w:top w:val="nil"/>
              <w:left w:val="single" w:sz="4" w:space="0" w:color="auto"/>
              <w:bottom w:val="single" w:sz="4" w:space="0" w:color="auto"/>
              <w:right w:val="single" w:sz="4" w:space="0" w:color="auto"/>
            </w:tcBorders>
            <w:vAlign w:val="center"/>
            <w:hideMark/>
          </w:tcPr>
          <w:p w14:paraId="4E3EAF31" w14:textId="77777777"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Produit 5.1 (jalon 6 c) : Démontrer la mise en œuvre des obligations légales de réalisation des évaluations environnementales et sociales par les opérateurs exerçant dans les secteurs forêt, mines, hydrocarbures, agriculture, infrastructures et énergie, etc</w:t>
            </w:r>
          </w:p>
        </w:tc>
        <w:tc>
          <w:tcPr>
            <w:tcW w:w="2360" w:type="dxa"/>
            <w:tcBorders>
              <w:top w:val="nil"/>
              <w:left w:val="nil"/>
              <w:bottom w:val="single" w:sz="4" w:space="0" w:color="auto"/>
              <w:right w:val="single" w:sz="4" w:space="0" w:color="auto"/>
            </w:tcBorders>
            <w:shd w:val="clear" w:color="000000" w:fill="FFFFFF"/>
            <w:vAlign w:val="center"/>
            <w:hideMark/>
          </w:tcPr>
          <w:p w14:paraId="55D3DCB1" w14:textId="13029B23"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Nombre de missions d’inspections, de contrôle et évaluation environnementale organisées ;</w:t>
            </w:r>
          </w:p>
        </w:tc>
        <w:tc>
          <w:tcPr>
            <w:tcW w:w="736" w:type="dxa"/>
            <w:tcBorders>
              <w:top w:val="nil"/>
              <w:left w:val="nil"/>
              <w:bottom w:val="single" w:sz="4" w:space="0" w:color="auto"/>
              <w:right w:val="single" w:sz="4" w:space="0" w:color="auto"/>
            </w:tcBorders>
            <w:noWrap/>
            <w:vAlign w:val="center"/>
            <w:hideMark/>
          </w:tcPr>
          <w:p w14:paraId="3BC64FBD" w14:textId="77777777" w:rsidR="00EE7B48" w:rsidRPr="00E11FFB" w:rsidRDefault="00EE7B48">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hideMark/>
          </w:tcPr>
          <w:p w14:paraId="41EDCC8B" w14:textId="77777777" w:rsidR="00EE7B48" w:rsidRPr="00E11FFB" w:rsidRDefault="00EE7B48"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Au moins 15 missions d’inspections dans les PIREDD.</w:t>
            </w:r>
          </w:p>
        </w:tc>
        <w:tc>
          <w:tcPr>
            <w:tcW w:w="1194" w:type="dxa"/>
            <w:tcBorders>
              <w:top w:val="nil"/>
              <w:left w:val="nil"/>
              <w:bottom w:val="single" w:sz="4" w:space="0" w:color="auto"/>
              <w:right w:val="single" w:sz="4" w:space="0" w:color="auto"/>
            </w:tcBorders>
            <w:vAlign w:val="center"/>
            <w:hideMark/>
          </w:tcPr>
          <w:p w14:paraId="5ACCC3E4" w14:textId="3A88B930" w:rsidR="00EE7B48" w:rsidRPr="00E11FFB" w:rsidRDefault="00F70CA8"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p>
        </w:tc>
        <w:tc>
          <w:tcPr>
            <w:tcW w:w="1191" w:type="dxa"/>
            <w:tcBorders>
              <w:top w:val="nil"/>
              <w:left w:val="nil"/>
              <w:bottom w:val="single" w:sz="4" w:space="0" w:color="auto"/>
              <w:right w:val="single" w:sz="4" w:space="0" w:color="auto"/>
            </w:tcBorders>
            <w:vAlign w:val="center"/>
            <w:hideMark/>
          </w:tcPr>
          <w:p w14:paraId="7C83E208" w14:textId="33C83FB6" w:rsidR="00EE7B48" w:rsidRPr="00E11FFB" w:rsidRDefault="00EE7B48" w:rsidP="00703DE4">
            <w:pPr>
              <w:jc w:val="cente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vAlign w:val="center"/>
            <w:hideMark/>
          </w:tcPr>
          <w:p w14:paraId="6A8355CC" w14:textId="11476670" w:rsidR="00EE7B48" w:rsidRPr="00E11FFB" w:rsidRDefault="00EE7B48"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Au moins un total de 20 missions d’inspections dans les PIREDD.</w:t>
            </w:r>
          </w:p>
        </w:tc>
        <w:tc>
          <w:tcPr>
            <w:tcW w:w="1034" w:type="dxa"/>
            <w:tcBorders>
              <w:top w:val="nil"/>
              <w:left w:val="nil"/>
              <w:bottom w:val="single" w:sz="4" w:space="0" w:color="auto"/>
              <w:right w:val="single" w:sz="4" w:space="0" w:color="auto"/>
            </w:tcBorders>
            <w:vAlign w:val="center"/>
            <w:hideMark/>
          </w:tcPr>
          <w:p w14:paraId="4B7F6DEB" w14:textId="77777777"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vAlign w:val="center"/>
            <w:hideMark/>
          </w:tcPr>
          <w:p w14:paraId="72A89F0B" w14:textId="77777777" w:rsidR="00EE7B48" w:rsidRPr="00E11FFB" w:rsidRDefault="00EE7B48">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49EA5E8F" w14:textId="030DCD63" w:rsidR="00EE7B48" w:rsidRPr="00E11FFB" w:rsidRDefault="00F70CA8">
            <w:pPr>
              <w:rPr>
                <w:rFonts w:ascii="Calibri" w:hAnsi="Calibri" w:cs="Calibri"/>
                <w:color w:val="000000" w:themeColor="text1"/>
                <w:sz w:val="16"/>
                <w:szCs w:val="16"/>
              </w:rPr>
            </w:pPr>
            <w:r w:rsidRPr="00E11FFB">
              <w:rPr>
                <w:rFonts w:ascii="Calibri" w:hAnsi="Calibri" w:cs="Calibri"/>
                <w:color w:val="000000" w:themeColor="text1"/>
                <w:sz w:val="16"/>
                <w:szCs w:val="16"/>
              </w:rPr>
              <w:t>Une seule mission dans le cadre de PAAJ</w:t>
            </w:r>
            <w:r w:rsidR="008C673A" w:rsidRPr="00E11FFB">
              <w:rPr>
                <w:rFonts w:ascii="Calibri" w:hAnsi="Calibri" w:cs="Calibri"/>
                <w:color w:val="000000" w:themeColor="text1"/>
                <w:sz w:val="16"/>
                <w:szCs w:val="16"/>
              </w:rPr>
              <w:t xml:space="preserve">. </w:t>
            </w:r>
          </w:p>
        </w:tc>
      </w:tr>
      <w:tr w:rsidR="00EE7B48" w:rsidRPr="00E11FFB" w14:paraId="6AEEECE9" w14:textId="77777777" w:rsidTr="005859E4">
        <w:trPr>
          <w:gridAfter w:val="1"/>
          <w:wAfter w:w="222" w:type="dxa"/>
          <w:trHeight w:val="175"/>
        </w:trPr>
        <w:tc>
          <w:tcPr>
            <w:tcW w:w="2361" w:type="dxa"/>
            <w:vMerge/>
            <w:tcBorders>
              <w:top w:val="nil"/>
              <w:left w:val="single" w:sz="4" w:space="0" w:color="auto"/>
              <w:bottom w:val="single" w:sz="4" w:space="0" w:color="auto"/>
              <w:right w:val="single" w:sz="4" w:space="0" w:color="auto"/>
            </w:tcBorders>
            <w:vAlign w:val="center"/>
            <w:hideMark/>
          </w:tcPr>
          <w:p w14:paraId="3F8CF050" w14:textId="77777777" w:rsidR="00EE7B48" w:rsidRPr="00E11FFB" w:rsidRDefault="00EE7B48">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shd w:val="clear" w:color="000000" w:fill="FFFFFF"/>
            <w:noWrap/>
            <w:vAlign w:val="center"/>
          </w:tcPr>
          <w:p w14:paraId="1CEC0EB2" w14:textId="54E52BBC" w:rsidR="00EE7B48" w:rsidRPr="00E11FFB" w:rsidRDefault="00703DE4">
            <w:pPr>
              <w:rPr>
                <w:rFonts w:ascii="Calibri" w:hAnsi="Calibri" w:cs="Calibri"/>
                <w:color w:val="000000" w:themeColor="text1"/>
                <w:sz w:val="16"/>
                <w:szCs w:val="16"/>
              </w:rPr>
            </w:pPr>
            <w:r w:rsidRPr="00E11FFB">
              <w:rPr>
                <w:rFonts w:ascii="Calibri" w:hAnsi="Calibri" w:cs="Calibri"/>
                <w:color w:val="000000" w:themeColor="text1"/>
                <w:sz w:val="16"/>
                <w:szCs w:val="16"/>
              </w:rPr>
              <w:t>Nombre d'actes publiés</w:t>
            </w:r>
            <w:r w:rsidRPr="00E11FFB">
              <w:rPr>
                <w:rFonts w:ascii="Calibri" w:hAnsi="Calibri" w:cs="Calibri"/>
                <w:color w:val="000000" w:themeColor="text1"/>
                <w:sz w:val="16"/>
                <w:szCs w:val="16"/>
              </w:rPr>
              <w:tab/>
            </w:r>
          </w:p>
        </w:tc>
        <w:tc>
          <w:tcPr>
            <w:tcW w:w="736" w:type="dxa"/>
            <w:tcBorders>
              <w:top w:val="nil"/>
              <w:left w:val="nil"/>
              <w:bottom w:val="single" w:sz="4" w:space="0" w:color="auto"/>
              <w:right w:val="single" w:sz="4" w:space="0" w:color="auto"/>
            </w:tcBorders>
            <w:noWrap/>
            <w:vAlign w:val="center"/>
          </w:tcPr>
          <w:p w14:paraId="26FC9024" w14:textId="76CB9D57" w:rsidR="00EE7B48" w:rsidRPr="00E11FFB" w:rsidRDefault="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tcPr>
          <w:p w14:paraId="423287E0" w14:textId="7C600ED5" w:rsidR="00EE7B48"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p>
        </w:tc>
        <w:tc>
          <w:tcPr>
            <w:tcW w:w="1194" w:type="dxa"/>
            <w:tcBorders>
              <w:top w:val="nil"/>
              <w:left w:val="nil"/>
              <w:bottom w:val="single" w:sz="4" w:space="0" w:color="auto"/>
              <w:right w:val="single" w:sz="4" w:space="0" w:color="auto"/>
            </w:tcBorders>
            <w:vAlign w:val="center"/>
          </w:tcPr>
          <w:p w14:paraId="27936B34" w14:textId="4D9C770C" w:rsidR="00EE7B48" w:rsidRPr="00E11FFB" w:rsidRDefault="00741612"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 draft</w:t>
            </w:r>
          </w:p>
        </w:tc>
        <w:tc>
          <w:tcPr>
            <w:tcW w:w="1191" w:type="dxa"/>
            <w:tcBorders>
              <w:top w:val="nil"/>
              <w:left w:val="nil"/>
              <w:bottom w:val="single" w:sz="4" w:space="0" w:color="auto"/>
              <w:right w:val="single" w:sz="4" w:space="0" w:color="auto"/>
            </w:tcBorders>
            <w:vAlign w:val="center"/>
          </w:tcPr>
          <w:p w14:paraId="5D8460A9" w14:textId="4B635179" w:rsidR="00EE7B48" w:rsidRPr="00E11FFB" w:rsidRDefault="00EE7B48" w:rsidP="00703DE4">
            <w:pPr>
              <w:jc w:val="cente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vAlign w:val="center"/>
          </w:tcPr>
          <w:p w14:paraId="3A7D2B21" w14:textId="0C2607E1" w:rsidR="00EE7B48"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p>
        </w:tc>
        <w:tc>
          <w:tcPr>
            <w:tcW w:w="1034" w:type="dxa"/>
            <w:tcBorders>
              <w:top w:val="nil"/>
              <w:left w:val="nil"/>
              <w:bottom w:val="single" w:sz="4" w:space="0" w:color="auto"/>
              <w:right w:val="single" w:sz="4" w:space="0" w:color="auto"/>
            </w:tcBorders>
            <w:vAlign w:val="center"/>
          </w:tcPr>
          <w:p w14:paraId="6EEC74DD" w14:textId="45237144" w:rsidR="00EE7B48" w:rsidRPr="00E11FFB" w:rsidRDefault="00EE7B48">
            <w:pPr>
              <w:rPr>
                <w:rFonts w:ascii="Calibri" w:hAnsi="Calibri" w:cs="Calibri"/>
                <w:color w:val="000000" w:themeColor="text1"/>
                <w:sz w:val="16"/>
                <w:szCs w:val="16"/>
              </w:rPr>
            </w:pPr>
          </w:p>
        </w:tc>
        <w:tc>
          <w:tcPr>
            <w:tcW w:w="1553" w:type="dxa"/>
            <w:tcBorders>
              <w:top w:val="nil"/>
              <w:left w:val="nil"/>
              <w:bottom w:val="single" w:sz="4" w:space="0" w:color="auto"/>
              <w:right w:val="single" w:sz="4" w:space="0" w:color="auto"/>
            </w:tcBorders>
            <w:shd w:val="clear" w:color="000000" w:fill="FFFFFF"/>
            <w:vAlign w:val="center"/>
          </w:tcPr>
          <w:p w14:paraId="004C475D" w14:textId="6D03C82E" w:rsidR="00EE7B48" w:rsidRPr="00E11FFB" w:rsidRDefault="00EE7B48">
            <w:pPr>
              <w:rPr>
                <w:rFonts w:ascii="Calibri" w:hAnsi="Calibri" w:cs="Calibri"/>
                <w:color w:val="000000" w:themeColor="text1"/>
                <w:sz w:val="16"/>
                <w:szCs w:val="16"/>
              </w:rPr>
            </w:pPr>
          </w:p>
        </w:tc>
        <w:tc>
          <w:tcPr>
            <w:tcW w:w="1099" w:type="dxa"/>
            <w:tcBorders>
              <w:top w:val="nil"/>
              <w:left w:val="nil"/>
              <w:bottom w:val="single" w:sz="4" w:space="0" w:color="auto"/>
              <w:right w:val="single" w:sz="4" w:space="0" w:color="auto"/>
            </w:tcBorders>
            <w:shd w:val="clear" w:color="000000" w:fill="FFFFFF"/>
            <w:noWrap/>
            <w:vAlign w:val="center"/>
          </w:tcPr>
          <w:p w14:paraId="095A5EAE" w14:textId="455C72CF" w:rsidR="00EE7B48" w:rsidRPr="00E11FFB" w:rsidRDefault="00741612">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Le draft de l’acte règlementaire a été produit et transmis à l’autorité pour signature. </w:t>
            </w:r>
          </w:p>
        </w:tc>
      </w:tr>
      <w:tr w:rsidR="00B75A9E" w:rsidRPr="00E11FFB" w14:paraId="79234BB2" w14:textId="77777777" w:rsidTr="005859E4">
        <w:trPr>
          <w:gridAfter w:val="1"/>
          <w:wAfter w:w="222" w:type="dxa"/>
          <w:trHeight w:val="355"/>
        </w:trPr>
        <w:tc>
          <w:tcPr>
            <w:tcW w:w="2361" w:type="dxa"/>
            <w:vMerge/>
            <w:tcBorders>
              <w:top w:val="nil"/>
              <w:left w:val="single" w:sz="4" w:space="0" w:color="auto"/>
              <w:bottom w:val="single" w:sz="4" w:space="0" w:color="auto"/>
              <w:right w:val="single" w:sz="4" w:space="0" w:color="auto"/>
            </w:tcBorders>
            <w:vAlign w:val="center"/>
            <w:hideMark/>
          </w:tcPr>
          <w:p w14:paraId="6B039B99" w14:textId="77777777" w:rsidR="00B75A9E" w:rsidRPr="00E11FFB" w:rsidRDefault="00B75A9E" w:rsidP="00B75A9E">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shd w:val="clear" w:color="000000" w:fill="FFFFFF"/>
            <w:vAlign w:val="center"/>
          </w:tcPr>
          <w:p w14:paraId="04751BF8" w14:textId="2CC75E20" w:rsidR="00B75A9E" w:rsidRPr="00E11FFB" w:rsidRDefault="00B75A9E" w:rsidP="00B75A9E">
            <w:pPr>
              <w:rPr>
                <w:rFonts w:ascii="Calibri" w:hAnsi="Calibri" w:cs="Calibri"/>
                <w:color w:val="000000" w:themeColor="text1"/>
                <w:sz w:val="16"/>
                <w:szCs w:val="16"/>
              </w:rPr>
            </w:pPr>
            <w:r w:rsidRPr="00E11FFB">
              <w:rPr>
                <w:rFonts w:ascii="Calibri" w:hAnsi="Calibri" w:cs="Calibri"/>
                <w:color w:val="000000" w:themeColor="text1"/>
                <w:sz w:val="16"/>
                <w:szCs w:val="16"/>
              </w:rPr>
              <w:t>Nombre de personnes formées,</w:t>
            </w:r>
          </w:p>
        </w:tc>
        <w:tc>
          <w:tcPr>
            <w:tcW w:w="736" w:type="dxa"/>
            <w:tcBorders>
              <w:top w:val="nil"/>
              <w:left w:val="nil"/>
              <w:bottom w:val="single" w:sz="4" w:space="0" w:color="auto"/>
              <w:right w:val="single" w:sz="4" w:space="0" w:color="auto"/>
            </w:tcBorders>
            <w:noWrap/>
            <w:vAlign w:val="center"/>
          </w:tcPr>
          <w:p w14:paraId="1BBEB56A" w14:textId="7772AC84" w:rsidR="00B75A9E" w:rsidRPr="00E11FFB" w:rsidRDefault="00B75A9E" w:rsidP="00B75A9E">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tcPr>
          <w:p w14:paraId="7E425F72" w14:textId="2C73B673" w:rsidR="00B75A9E" w:rsidRPr="00E11FFB" w:rsidRDefault="00B75A9E" w:rsidP="00B75A9E">
            <w:pPr>
              <w:jc w:val="center"/>
              <w:rPr>
                <w:rFonts w:ascii="Calibri" w:hAnsi="Calibri" w:cs="Calibri"/>
                <w:color w:val="000000" w:themeColor="text1"/>
                <w:sz w:val="16"/>
                <w:szCs w:val="16"/>
                <w:highlight w:val="yellow"/>
              </w:rPr>
            </w:pPr>
            <w:r w:rsidRPr="00E11FFB">
              <w:rPr>
                <w:rFonts w:ascii="Calibri" w:hAnsi="Calibri" w:cs="Calibri"/>
                <w:color w:val="000000" w:themeColor="text1"/>
                <w:sz w:val="16"/>
                <w:szCs w:val="16"/>
              </w:rPr>
              <w:t>A déterminer (3 mois à après le démarrage du projet)</w:t>
            </w:r>
          </w:p>
        </w:tc>
        <w:tc>
          <w:tcPr>
            <w:tcW w:w="1194" w:type="dxa"/>
            <w:tcBorders>
              <w:top w:val="nil"/>
              <w:left w:val="nil"/>
              <w:bottom w:val="single" w:sz="4" w:space="0" w:color="auto"/>
              <w:right w:val="single" w:sz="4" w:space="0" w:color="auto"/>
            </w:tcBorders>
            <w:vAlign w:val="center"/>
          </w:tcPr>
          <w:p w14:paraId="5354A49B" w14:textId="1761C745" w:rsidR="00B75A9E" w:rsidRPr="00E11FFB" w:rsidRDefault="00B75A9E" w:rsidP="00B75A9E">
            <w:pPr>
              <w:jc w:val="center"/>
              <w:rPr>
                <w:rFonts w:ascii="Calibri" w:hAnsi="Calibri" w:cs="Calibri"/>
                <w:color w:val="000000" w:themeColor="text1"/>
                <w:sz w:val="16"/>
                <w:szCs w:val="16"/>
                <w:highlight w:val="yellow"/>
              </w:rPr>
            </w:pPr>
            <w:r w:rsidRPr="00E11FFB">
              <w:rPr>
                <w:rFonts w:ascii="Calibri" w:hAnsi="Calibri" w:cs="Calibri"/>
                <w:color w:val="000000" w:themeColor="text1"/>
                <w:sz w:val="16"/>
                <w:szCs w:val="16"/>
              </w:rPr>
              <w:t>2</w:t>
            </w:r>
            <w:r w:rsidR="00A37D97" w:rsidRPr="00E11FFB">
              <w:rPr>
                <w:rFonts w:ascii="Calibri" w:hAnsi="Calibri" w:cs="Calibri"/>
                <w:color w:val="000000" w:themeColor="text1"/>
                <w:sz w:val="16"/>
                <w:szCs w:val="16"/>
              </w:rPr>
              <w:t>5</w:t>
            </w:r>
          </w:p>
        </w:tc>
        <w:tc>
          <w:tcPr>
            <w:tcW w:w="1191" w:type="dxa"/>
            <w:tcBorders>
              <w:top w:val="nil"/>
              <w:left w:val="nil"/>
              <w:bottom w:val="single" w:sz="4" w:space="0" w:color="auto"/>
              <w:right w:val="single" w:sz="4" w:space="0" w:color="auto"/>
            </w:tcBorders>
            <w:vAlign w:val="center"/>
          </w:tcPr>
          <w:p w14:paraId="713BA273" w14:textId="5747A731" w:rsidR="00B75A9E" w:rsidRPr="00E11FFB" w:rsidRDefault="00B75A9E" w:rsidP="00B75A9E">
            <w:pPr>
              <w:jc w:val="center"/>
              <w:rPr>
                <w:rFonts w:ascii="Calibri" w:hAnsi="Calibri" w:cs="Calibri"/>
                <w:color w:val="000000" w:themeColor="text1"/>
                <w:sz w:val="16"/>
                <w:szCs w:val="16"/>
                <w:highlight w:val="yellow"/>
              </w:rPr>
            </w:pPr>
          </w:p>
        </w:tc>
        <w:tc>
          <w:tcPr>
            <w:tcW w:w="1578" w:type="dxa"/>
            <w:tcBorders>
              <w:top w:val="nil"/>
              <w:left w:val="nil"/>
              <w:bottom w:val="single" w:sz="4" w:space="0" w:color="auto"/>
              <w:right w:val="single" w:sz="4" w:space="0" w:color="auto"/>
            </w:tcBorders>
            <w:vAlign w:val="center"/>
          </w:tcPr>
          <w:p w14:paraId="17D4154F" w14:textId="28E9D683" w:rsidR="00B75A9E" w:rsidRPr="00E11FFB" w:rsidRDefault="00B75A9E" w:rsidP="00B75A9E">
            <w:pPr>
              <w:jc w:val="center"/>
              <w:rPr>
                <w:rFonts w:ascii="Calibri" w:hAnsi="Calibri" w:cs="Calibri"/>
                <w:color w:val="000000" w:themeColor="text1"/>
                <w:sz w:val="16"/>
                <w:szCs w:val="16"/>
                <w:highlight w:val="yellow"/>
              </w:rPr>
            </w:pPr>
            <w:r w:rsidRPr="00E11FFB">
              <w:rPr>
                <w:rFonts w:ascii="Calibri" w:hAnsi="Calibri" w:cs="Calibri"/>
                <w:color w:val="000000" w:themeColor="text1"/>
                <w:sz w:val="16"/>
                <w:szCs w:val="16"/>
              </w:rPr>
              <w:t>A déterminer (3 mois à après le démarrage du projet)</w:t>
            </w:r>
          </w:p>
        </w:tc>
        <w:tc>
          <w:tcPr>
            <w:tcW w:w="1034" w:type="dxa"/>
            <w:tcBorders>
              <w:top w:val="nil"/>
              <w:left w:val="nil"/>
              <w:bottom w:val="single" w:sz="4" w:space="0" w:color="auto"/>
              <w:right w:val="single" w:sz="4" w:space="0" w:color="auto"/>
            </w:tcBorders>
            <w:vAlign w:val="center"/>
          </w:tcPr>
          <w:p w14:paraId="3E42312B" w14:textId="14801037" w:rsidR="00B75A9E" w:rsidRPr="00E11FFB" w:rsidRDefault="00B75A9E" w:rsidP="00B75A9E">
            <w:pPr>
              <w:rPr>
                <w:rFonts w:ascii="Calibri" w:hAnsi="Calibri" w:cs="Calibri"/>
                <w:color w:val="000000" w:themeColor="text1"/>
                <w:sz w:val="16"/>
                <w:szCs w:val="16"/>
              </w:rPr>
            </w:pPr>
          </w:p>
        </w:tc>
        <w:tc>
          <w:tcPr>
            <w:tcW w:w="1553" w:type="dxa"/>
            <w:tcBorders>
              <w:top w:val="nil"/>
              <w:left w:val="nil"/>
              <w:bottom w:val="single" w:sz="4" w:space="0" w:color="auto"/>
              <w:right w:val="single" w:sz="4" w:space="0" w:color="auto"/>
            </w:tcBorders>
            <w:shd w:val="clear" w:color="000000" w:fill="FFFFFF"/>
            <w:vAlign w:val="center"/>
          </w:tcPr>
          <w:p w14:paraId="0C6524AD" w14:textId="74419F10" w:rsidR="00B75A9E" w:rsidRPr="00E11FFB" w:rsidRDefault="00B75A9E" w:rsidP="00B75A9E">
            <w:pPr>
              <w:rPr>
                <w:rFonts w:ascii="Calibri" w:hAnsi="Calibri" w:cs="Calibri"/>
                <w:color w:val="000000" w:themeColor="text1"/>
                <w:sz w:val="16"/>
                <w:szCs w:val="16"/>
              </w:rPr>
            </w:pPr>
          </w:p>
        </w:tc>
        <w:tc>
          <w:tcPr>
            <w:tcW w:w="1099" w:type="dxa"/>
            <w:tcBorders>
              <w:top w:val="nil"/>
              <w:left w:val="nil"/>
              <w:bottom w:val="single" w:sz="4" w:space="0" w:color="auto"/>
              <w:right w:val="single" w:sz="4" w:space="0" w:color="auto"/>
            </w:tcBorders>
            <w:shd w:val="clear" w:color="000000" w:fill="FFFFFF"/>
            <w:noWrap/>
            <w:vAlign w:val="center"/>
          </w:tcPr>
          <w:p w14:paraId="1F3CC376" w14:textId="438CF627" w:rsidR="00B75A9E" w:rsidRPr="00E11FFB" w:rsidRDefault="00B75A9E" w:rsidP="00B75A9E">
            <w:pPr>
              <w:rPr>
                <w:rFonts w:ascii="Calibri" w:hAnsi="Calibri" w:cs="Calibri"/>
                <w:color w:val="000000" w:themeColor="text1"/>
                <w:sz w:val="16"/>
                <w:szCs w:val="16"/>
              </w:rPr>
            </w:pPr>
          </w:p>
        </w:tc>
      </w:tr>
      <w:tr w:rsidR="00703DE4" w:rsidRPr="00E11FFB" w14:paraId="4CB6631A" w14:textId="77777777" w:rsidTr="005859E4">
        <w:trPr>
          <w:gridAfter w:val="1"/>
          <w:wAfter w:w="222" w:type="dxa"/>
          <w:trHeight w:val="481"/>
        </w:trPr>
        <w:tc>
          <w:tcPr>
            <w:tcW w:w="2361" w:type="dxa"/>
            <w:vMerge/>
            <w:tcBorders>
              <w:top w:val="nil"/>
              <w:left w:val="single" w:sz="4" w:space="0" w:color="auto"/>
              <w:bottom w:val="single" w:sz="4" w:space="0" w:color="auto"/>
              <w:right w:val="single" w:sz="4" w:space="0" w:color="auto"/>
            </w:tcBorders>
            <w:vAlign w:val="center"/>
            <w:hideMark/>
          </w:tcPr>
          <w:p w14:paraId="5A1BF6F4" w14:textId="77777777" w:rsidR="00703DE4" w:rsidRPr="00E11FFB" w:rsidRDefault="00703DE4" w:rsidP="00703DE4">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tcPr>
          <w:p w14:paraId="7DDDE240" w14:textId="1E6847CE"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Nombre de séances de formations réalisées, </w:t>
            </w:r>
          </w:p>
        </w:tc>
        <w:tc>
          <w:tcPr>
            <w:tcW w:w="736" w:type="dxa"/>
            <w:tcBorders>
              <w:top w:val="nil"/>
              <w:left w:val="nil"/>
              <w:bottom w:val="single" w:sz="4" w:space="0" w:color="auto"/>
              <w:right w:val="single" w:sz="4" w:space="0" w:color="auto"/>
            </w:tcBorders>
            <w:vAlign w:val="center"/>
          </w:tcPr>
          <w:p w14:paraId="443DBBDE" w14:textId="21977C56"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tcPr>
          <w:p w14:paraId="0F5D0EFD" w14:textId="43150C3E"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20 séances</w:t>
            </w:r>
          </w:p>
        </w:tc>
        <w:tc>
          <w:tcPr>
            <w:tcW w:w="1194" w:type="dxa"/>
            <w:tcBorders>
              <w:top w:val="nil"/>
              <w:left w:val="nil"/>
              <w:bottom w:val="single" w:sz="4" w:space="0" w:color="auto"/>
              <w:right w:val="single" w:sz="4" w:space="0" w:color="auto"/>
            </w:tcBorders>
            <w:noWrap/>
            <w:vAlign w:val="center"/>
          </w:tcPr>
          <w:p w14:paraId="0014C380" w14:textId="2BAFB0C5" w:rsidR="00703DE4" w:rsidRPr="00E11FFB" w:rsidRDefault="0022573F" w:rsidP="0022573F">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3</w:t>
            </w:r>
          </w:p>
        </w:tc>
        <w:tc>
          <w:tcPr>
            <w:tcW w:w="1191" w:type="dxa"/>
            <w:tcBorders>
              <w:top w:val="nil"/>
              <w:left w:val="nil"/>
              <w:bottom w:val="single" w:sz="4" w:space="0" w:color="auto"/>
              <w:right w:val="single" w:sz="4" w:space="0" w:color="auto"/>
            </w:tcBorders>
            <w:noWrap/>
            <w:vAlign w:val="center"/>
          </w:tcPr>
          <w:p w14:paraId="379CB2D5" w14:textId="6392D075" w:rsidR="00703DE4" w:rsidRPr="00E11FFB" w:rsidRDefault="00703DE4" w:rsidP="00703DE4">
            <w:pPr>
              <w:jc w:val="cente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vAlign w:val="center"/>
          </w:tcPr>
          <w:p w14:paraId="11856B1A" w14:textId="12540394"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Au moins un total de 30 séances.</w:t>
            </w:r>
          </w:p>
        </w:tc>
        <w:tc>
          <w:tcPr>
            <w:tcW w:w="1034" w:type="dxa"/>
            <w:tcBorders>
              <w:top w:val="nil"/>
              <w:left w:val="nil"/>
              <w:bottom w:val="single" w:sz="4" w:space="0" w:color="auto"/>
              <w:right w:val="single" w:sz="4" w:space="0" w:color="auto"/>
            </w:tcBorders>
            <w:noWrap/>
            <w:vAlign w:val="center"/>
          </w:tcPr>
          <w:p w14:paraId="466A7DC4" w14:textId="70CA0B13"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tcPr>
          <w:p w14:paraId="7E67A051" w14:textId="1217B8F0"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tcPr>
          <w:p w14:paraId="687E34A4" w14:textId="6E939BD4" w:rsidR="00703DE4" w:rsidRPr="00E11FFB" w:rsidRDefault="00A37D97"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Trois</w:t>
            </w:r>
            <w:r w:rsidR="00983010" w:rsidRPr="00E11FFB">
              <w:rPr>
                <w:rFonts w:ascii="Calibri" w:hAnsi="Calibri" w:cs="Calibri"/>
                <w:color w:val="000000" w:themeColor="text1"/>
                <w:sz w:val="16"/>
                <w:szCs w:val="16"/>
              </w:rPr>
              <w:t xml:space="preserve"> séance</w:t>
            </w:r>
            <w:r w:rsidRPr="00E11FFB">
              <w:rPr>
                <w:rFonts w:ascii="Calibri" w:hAnsi="Calibri" w:cs="Calibri"/>
                <w:color w:val="000000" w:themeColor="text1"/>
                <w:sz w:val="16"/>
                <w:szCs w:val="16"/>
              </w:rPr>
              <w:t>s</w:t>
            </w:r>
            <w:r w:rsidR="00983010" w:rsidRPr="00E11FFB">
              <w:rPr>
                <w:rFonts w:ascii="Calibri" w:hAnsi="Calibri" w:cs="Calibri"/>
                <w:color w:val="000000" w:themeColor="text1"/>
                <w:sz w:val="16"/>
                <w:szCs w:val="16"/>
              </w:rPr>
              <w:t xml:space="preserve"> de formation a été organisée dans le PAAJ ; </w:t>
            </w:r>
          </w:p>
        </w:tc>
      </w:tr>
      <w:tr w:rsidR="00703DE4" w:rsidRPr="00E11FFB" w14:paraId="0E858FD9" w14:textId="77777777" w:rsidTr="005859E4">
        <w:trPr>
          <w:gridAfter w:val="1"/>
          <w:wAfter w:w="222" w:type="dxa"/>
          <w:trHeight w:val="290"/>
        </w:trPr>
        <w:tc>
          <w:tcPr>
            <w:tcW w:w="2361" w:type="dxa"/>
            <w:vMerge/>
            <w:tcBorders>
              <w:top w:val="nil"/>
              <w:left w:val="single" w:sz="4" w:space="0" w:color="auto"/>
              <w:bottom w:val="single" w:sz="4" w:space="0" w:color="auto"/>
              <w:right w:val="single" w:sz="4" w:space="0" w:color="auto"/>
            </w:tcBorders>
            <w:vAlign w:val="center"/>
            <w:hideMark/>
          </w:tcPr>
          <w:p w14:paraId="0C04A907" w14:textId="77777777" w:rsidR="00703DE4" w:rsidRPr="00E11FFB" w:rsidRDefault="00703DE4" w:rsidP="00703DE4">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tcPr>
          <w:p w14:paraId="29D51715" w14:textId="5FE676AD"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Nombre de personnes déclarant utiliser (ou utilisant) les outils et informations auxquels ils ont été formés un an après</w:t>
            </w:r>
          </w:p>
        </w:tc>
        <w:tc>
          <w:tcPr>
            <w:tcW w:w="736" w:type="dxa"/>
            <w:tcBorders>
              <w:top w:val="nil"/>
              <w:left w:val="nil"/>
              <w:bottom w:val="single" w:sz="4" w:space="0" w:color="auto"/>
              <w:right w:val="single" w:sz="4" w:space="0" w:color="auto"/>
            </w:tcBorders>
            <w:vAlign w:val="center"/>
          </w:tcPr>
          <w:p w14:paraId="6EE35A8A" w14:textId="2763A2D1"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noWrap/>
            <w:vAlign w:val="center"/>
          </w:tcPr>
          <w:p w14:paraId="23155F23" w14:textId="3C1A0DE5"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80 % des personnes formées</w:t>
            </w:r>
          </w:p>
        </w:tc>
        <w:tc>
          <w:tcPr>
            <w:tcW w:w="1194" w:type="dxa"/>
            <w:tcBorders>
              <w:top w:val="nil"/>
              <w:left w:val="nil"/>
              <w:bottom w:val="single" w:sz="4" w:space="0" w:color="auto"/>
              <w:right w:val="single" w:sz="4" w:space="0" w:color="auto"/>
            </w:tcBorders>
            <w:noWrap/>
            <w:vAlign w:val="center"/>
            <w:hideMark/>
          </w:tcPr>
          <w:p w14:paraId="05EF9710" w14:textId="66AA3066" w:rsidR="00703DE4" w:rsidRPr="00E11FFB" w:rsidRDefault="00973118"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100%</w:t>
            </w:r>
          </w:p>
        </w:tc>
        <w:tc>
          <w:tcPr>
            <w:tcW w:w="1191" w:type="dxa"/>
            <w:tcBorders>
              <w:top w:val="nil"/>
              <w:left w:val="nil"/>
              <w:bottom w:val="single" w:sz="4" w:space="0" w:color="auto"/>
              <w:right w:val="single" w:sz="4" w:space="0" w:color="auto"/>
            </w:tcBorders>
            <w:noWrap/>
            <w:vAlign w:val="center"/>
            <w:hideMark/>
          </w:tcPr>
          <w:p w14:paraId="5382F004" w14:textId="1C3DC5F5" w:rsidR="00703DE4" w:rsidRPr="00E11FFB" w:rsidRDefault="00703DE4" w:rsidP="00703DE4">
            <w:pPr>
              <w:jc w:val="cente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noWrap/>
            <w:vAlign w:val="center"/>
            <w:hideMark/>
          </w:tcPr>
          <w:p w14:paraId="613EB3ED" w14:textId="5DFFEFD3"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 xml:space="preserve">80 % des personnes formées </w:t>
            </w:r>
            <w:r w:rsidRPr="00E11FFB">
              <w:rPr>
                <w:rFonts w:ascii="Calibri" w:hAnsi="Calibri" w:cs="Calibri"/>
                <w:color w:val="000000" w:themeColor="text1"/>
                <w:sz w:val="16"/>
                <w:szCs w:val="16"/>
              </w:rPr>
              <w:br/>
              <w:t>Au moins 12 provinces PIREDD</w:t>
            </w:r>
          </w:p>
        </w:tc>
        <w:tc>
          <w:tcPr>
            <w:tcW w:w="1034" w:type="dxa"/>
            <w:tcBorders>
              <w:top w:val="nil"/>
              <w:left w:val="nil"/>
              <w:bottom w:val="single" w:sz="4" w:space="0" w:color="auto"/>
              <w:right w:val="single" w:sz="4" w:space="0" w:color="auto"/>
            </w:tcBorders>
            <w:noWrap/>
            <w:vAlign w:val="center"/>
            <w:hideMark/>
          </w:tcPr>
          <w:p w14:paraId="3D896935" w14:textId="5AA746BA"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5B95F57D" w14:textId="6C8F5FBA"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22F79115" w14:textId="42108C8D" w:rsidR="00703DE4" w:rsidRPr="00E11FFB" w:rsidRDefault="00973118"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Toutes les personnes formées participent</w:t>
            </w:r>
            <w:r w:rsidR="000526E0" w:rsidRPr="00E11FFB">
              <w:rPr>
                <w:rFonts w:ascii="Calibri" w:hAnsi="Calibri" w:cs="Calibri"/>
                <w:color w:val="000000" w:themeColor="text1"/>
                <w:sz w:val="16"/>
                <w:szCs w:val="16"/>
              </w:rPr>
              <w:t xml:space="preserve"> aux </w:t>
            </w:r>
            <w:r w:rsidRPr="00E11FFB">
              <w:rPr>
                <w:rFonts w:ascii="Calibri" w:hAnsi="Calibri" w:cs="Calibri"/>
                <w:color w:val="000000" w:themeColor="text1"/>
                <w:sz w:val="16"/>
                <w:szCs w:val="16"/>
              </w:rPr>
              <w:t>missions d’inspection en 2025.</w:t>
            </w:r>
            <w:r w:rsidR="000526E0" w:rsidRPr="00E11FFB">
              <w:rPr>
                <w:rFonts w:ascii="Calibri" w:hAnsi="Calibri" w:cs="Calibri"/>
                <w:color w:val="000000" w:themeColor="text1"/>
                <w:sz w:val="16"/>
                <w:szCs w:val="16"/>
              </w:rPr>
              <w:t xml:space="preserve"> Vérification en 2026</w:t>
            </w:r>
          </w:p>
        </w:tc>
      </w:tr>
      <w:tr w:rsidR="00703DE4" w:rsidRPr="00E11FFB" w14:paraId="52A3517F" w14:textId="77777777" w:rsidTr="005859E4">
        <w:trPr>
          <w:gridAfter w:val="1"/>
          <w:wAfter w:w="222" w:type="dxa"/>
          <w:trHeight w:val="652"/>
        </w:trPr>
        <w:tc>
          <w:tcPr>
            <w:tcW w:w="2361" w:type="dxa"/>
            <w:vMerge w:val="restart"/>
            <w:tcBorders>
              <w:top w:val="nil"/>
              <w:left w:val="single" w:sz="4" w:space="0" w:color="auto"/>
              <w:bottom w:val="single" w:sz="4" w:space="0" w:color="000000"/>
              <w:right w:val="single" w:sz="4" w:space="0" w:color="auto"/>
            </w:tcBorders>
            <w:vAlign w:val="center"/>
            <w:hideMark/>
          </w:tcPr>
          <w:p w14:paraId="34EC3AAB"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Produit 5.2 (jalon 6 h) : Les contrats miniers sont publiés.</w:t>
            </w:r>
          </w:p>
        </w:tc>
        <w:tc>
          <w:tcPr>
            <w:tcW w:w="2360" w:type="dxa"/>
            <w:tcBorders>
              <w:top w:val="nil"/>
              <w:left w:val="nil"/>
              <w:bottom w:val="single" w:sz="4" w:space="0" w:color="auto"/>
              <w:right w:val="single" w:sz="4" w:space="0" w:color="auto"/>
            </w:tcBorders>
            <w:vAlign w:val="center"/>
            <w:hideMark/>
          </w:tcPr>
          <w:p w14:paraId="65938CDB"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Nombre de Site web du secteur des Mines opérationnel</w:t>
            </w:r>
          </w:p>
        </w:tc>
        <w:tc>
          <w:tcPr>
            <w:tcW w:w="736" w:type="dxa"/>
            <w:tcBorders>
              <w:top w:val="nil"/>
              <w:left w:val="nil"/>
              <w:bottom w:val="single" w:sz="4" w:space="0" w:color="auto"/>
              <w:right w:val="single" w:sz="4" w:space="0" w:color="auto"/>
            </w:tcBorders>
            <w:vAlign w:val="center"/>
            <w:hideMark/>
          </w:tcPr>
          <w:p w14:paraId="688FAC7C"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hideMark/>
          </w:tcPr>
          <w:p w14:paraId="6AD905B5" w14:textId="20415638" w:rsidR="00703DE4" w:rsidRPr="00E11FFB" w:rsidRDefault="00EB1CFB"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r w:rsidR="00703DE4" w:rsidRPr="00E11FFB">
              <w:rPr>
                <w:rFonts w:ascii="Calibri" w:hAnsi="Calibri" w:cs="Calibri"/>
                <w:color w:val="000000" w:themeColor="text1"/>
                <w:sz w:val="16"/>
                <w:szCs w:val="16"/>
              </w:rPr>
              <w:t xml:space="preserve"> site web </w:t>
            </w:r>
            <w:r w:rsidRPr="00E11FFB">
              <w:rPr>
                <w:rFonts w:ascii="Calibri" w:hAnsi="Calibri" w:cs="Calibri"/>
                <w:color w:val="000000" w:themeColor="text1"/>
                <w:sz w:val="16"/>
                <w:szCs w:val="16"/>
              </w:rPr>
              <w:t>du</w:t>
            </w:r>
            <w:r w:rsidR="00703DE4" w:rsidRPr="00E11FFB">
              <w:rPr>
                <w:rFonts w:ascii="Calibri" w:hAnsi="Calibri" w:cs="Calibri"/>
                <w:color w:val="000000" w:themeColor="text1"/>
                <w:sz w:val="16"/>
                <w:szCs w:val="16"/>
              </w:rPr>
              <w:t xml:space="preserve"> secteur de mines </w:t>
            </w:r>
            <w:r w:rsidRPr="00E11FFB">
              <w:rPr>
                <w:rFonts w:ascii="Calibri" w:hAnsi="Calibri" w:cs="Calibri"/>
                <w:color w:val="000000" w:themeColor="text1"/>
                <w:sz w:val="16"/>
                <w:szCs w:val="16"/>
              </w:rPr>
              <w:t>opérationnel</w:t>
            </w:r>
          </w:p>
        </w:tc>
        <w:tc>
          <w:tcPr>
            <w:tcW w:w="1194" w:type="dxa"/>
            <w:tcBorders>
              <w:top w:val="nil"/>
              <w:left w:val="nil"/>
              <w:bottom w:val="single" w:sz="4" w:space="0" w:color="auto"/>
              <w:right w:val="single" w:sz="4" w:space="0" w:color="auto"/>
            </w:tcBorders>
            <w:noWrap/>
            <w:vAlign w:val="center"/>
            <w:hideMark/>
          </w:tcPr>
          <w:p w14:paraId="22BCE9D7" w14:textId="49130F71" w:rsidR="00703DE4" w:rsidRPr="00E11FFB" w:rsidRDefault="00CB7C3F" w:rsidP="00740A11">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2</w:t>
            </w:r>
          </w:p>
        </w:tc>
        <w:tc>
          <w:tcPr>
            <w:tcW w:w="1191" w:type="dxa"/>
            <w:tcBorders>
              <w:top w:val="nil"/>
              <w:left w:val="nil"/>
              <w:bottom w:val="single" w:sz="4" w:space="0" w:color="auto"/>
              <w:right w:val="single" w:sz="4" w:space="0" w:color="auto"/>
            </w:tcBorders>
            <w:noWrap/>
            <w:vAlign w:val="center"/>
            <w:hideMark/>
          </w:tcPr>
          <w:p w14:paraId="4463A4F6" w14:textId="76B192EF" w:rsidR="00703DE4" w:rsidRPr="00E11FFB" w:rsidRDefault="00703DE4" w:rsidP="00703DE4">
            <w:pPr>
              <w:jc w:val="cente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vAlign w:val="center"/>
            <w:hideMark/>
          </w:tcPr>
          <w:p w14:paraId="3DBC52A0" w14:textId="592E9D92" w:rsidR="00703DE4" w:rsidRPr="00E11FFB" w:rsidRDefault="00EB1CFB"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 site web du secteur de mines opérationnel</w:t>
            </w:r>
          </w:p>
        </w:tc>
        <w:tc>
          <w:tcPr>
            <w:tcW w:w="1034" w:type="dxa"/>
            <w:tcBorders>
              <w:top w:val="nil"/>
              <w:left w:val="nil"/>
              <w:bottom w:val="single" w:sz="4" w:space="0" w:color="auto"/>
              <w:right w:val="single" w:sz="4" w:space="0" w:color="auto"/>
            </w:tcBorders>
            <w:noWrap/>
            <w:vAlign w:val="center"/>
            <w:hideMark/>
          </w:tcPr>
          <w:p w14:paraId="7CBA951E"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1CF7ADAA"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64CE1FB5" w14:textId="2EAF419A" w:rsidR="00703DE4" w:rsidRPr="00E11FFB" w:rsidRDefault="00CB7C3F"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Site SG et </w:t>
            </w:r>
            <w:hyperlink r:id="rId22" w:history="1">
              <w:r w:rsidR="00973118" w:rsidRPr="00E11FFB">
                <w:rPr>
                  <w:rStyle w:val="Lienhypertexte"/>
                  <w:rFonts w:ascii="Calibri" w:hAnsi="Calibri" w:cs="Calibri"/>
                  <w:sz w:val="16"/>
                  <w:szCs w:val="16"/>
                </w:rPr>
                <w:t>site web de CTCPM</w:t>
              </w:r>
            </w:hyperlink>
            <w:r w:rsidRPr="00E11FFB">
              <w:t xml:space="preserve"> </w:t>
            </w:r>
          </w:p>
        </w:tc>
      </w:tr>
      <w:tr w:rsidR="00703DE4" w:rsidRPr="00E11FFB" w14:paraId="1E7E90C5" w14:textId="77777777" w:rsidTr="005859E4">
        <w:trPr>
          <w:gridAfter w:val="1"/>
          <w:wAfter w:w="222" w:type="dxa"/>
          <w:trHeight w:val="630"/>
        </w:trPr>
        <w:tc>
          <w:tcPr>
            <w:tcW w:w="2361" w:type="dxa"/>
            <w:vMerge/>
            <w:tcBorders>
              <w:top w:val="nil"/>
              <w:left w:val="single" w:sz="4" w:space="0" w:color="auto"/>
              <w:bottom w:val="single" w:sz="4" w:space="0" w:color="000000"/>
              <w:right w:val="single" w:sz="4" w:space="0" w:color="auto"/>
            </w:tcBorders>
            <w:vAlign w:val="center"/>
            <w:hideMark/>
          </w:tcPr>
          <w:p w14:paraId="5E7A60CF" w14:textId="77777777" w:rsidR="00703DE4" w:rsidRPr="00E11FFB" w:rsidRDefault="00703DE4" w:rsidP="00703DE4">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hideMark/>
          </w:tcPr>
          <w:p w14:paraId="17E0BFB7" w14:textId="45607EF8" w:rsidR="00703DE4" w:rsidRPr="00E11FFB" w:rsidRDefault="00EB1CFB" w:rsidP="00EB1CFB">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Nombre de séances d’actualisation des données des entreprises, </w:t>
            </w:r>
            <w:r w:rsidR="00966AF7" w:rsidRPr="00E11FFB">
              <w:rPr>
                <w:rFonts w:ascii="Calibri" w:hAnsi="Calibri" w:cs="Calibri"/>
                <w:color w:val="000000" w:themeColor="text1"/>
                <w:sz w:val="16"/>
                <w:szCs w:val="16"/>
              </w:rPr>
              <w:t>Banque des données ;</w:t>
            </w:r>
          </w:p>
        </w:tc>
        <w:tc>
          <w:tcPr>
            <w:tcW w:w="736" w:type="dxa"/>
            <w:tcBorders>
              <w:top w:val="nil"/>
              <w:left w:val="nil"/>
              <w:bottom w:val="single" w:sz="4" w:space="0" w:color="auto"/>
              <w:right w:val="single" w:sz="4" w:space="0" w:color="auto"/>
            </w:tcBorders>
            <w:vAlign w:val="center"/>
            <w:hideMark/>
          </w:tcPr>
          <w:p w14:paraId="24279325"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tcPr>
          <w:p w14:paraId="1D44A6BE" w14:textId="56A6ADBA" w:rsidR="00703DE4" w:rsidRPr="00E11FFB" w:rsidRDefault="00EB1CFB"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20 séances</w:t>
            </w:r>
            <w:r w:rsidR="00966AF7" w:rsidRPr="00E11FFB">
              <w:rPr>
                <w:rFonts w:ascii="Calibri" w:hAnsi="Calibri" w:cs="Calibri"/>
                <w:color w:val="000000" w:themeColor="text1"/>
                <w:sz w:val="16"/>
                <w:szCs w:val="16"/>
              </w:rPr>
              <w:t xml:space="preserve"> Banque des données actualisées du secteur des mines</w:t>
            </w:r>
          </w:p>
        </w:tc>
        <w:tc>
          <w:tcPr>
            <w:tcW w:w="1194" w:type="dxa"/>
            <w:tcBorders>
              <w:top w:val="nil"/>
              <w:left w:val="nil"/>
              <w:bottom w:val="single" w:sz="4" w:space="0" w:color="auto"/>
              <w:right w:val="single" w:sz="4" w:space="0" w:color="auto"/>
            </w:tcBorders>
            <w:noWrap/>
            <w:vAlign w:val="center"/>
          </w:tcPr>
          <w:p w14:paraId="6DBD989E" w14:textId="0B59DF6A" w:rsidR="00703DE4" w:rsidRPr="00E11FFB" w:rsidRDefault="00740A11" w:rsidP="00740A11">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20</w:t>
            </w:r>
          </w:p>
        </w:tc>
        <w:tc>
          <w:tcPr>
            <w:tcW w:w="1191" w:type="dxa"/>
            <w:tcBorders>
              <w:top w:val="nil"/>
              <w:left w:val="nil"/>
              <w:bottom w:val="single" w:sz="4" w:space="0" w:color="auto"/>
              <w:right w:val="single" w:sz="4" w:space="0" w:color="auto"/>
            </w:tcBorders>
            <w:noWrap/>
            <w:vAlign w:val="center"/>
          </w:tcPr>
          <w:p w14:paraId="1D94DE2F" w14:textId="401A4F7C" w:rsidR="00703DE4" w:rsidRPr="00E11FFB" w:rsidRDefault="00703DE4" w:rsidP="00703DE4">
            <w:pP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vAlign w:val="center"/>
          </w:tcPr>
          <w:p w14:paraId="731C836B" w14:textId="4A36CC13" w:rsidR="00703DE4" w:rsidRPr="00E11FFB" w:rsidRDefault="00EB1CFB"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Au moins un total de 30 séances.</w:t>
            </w:r>
            <w:r w:rsidR="00966AF7" w:rsidRPr="00E11FFB">
              <w:rPr>
                <w:rFonts w:ascii="Calibri" w:hAnsi="Calibri" w:cs="Calibri"/>
                <w:color w:val="000000" w:themeColor="text1"/>
                <w:sz w:val="16"/>
                <w:szCs w:val="16"/>
              </w:rPr>
              <w:t xml:space="preserve"> Banque des données actualisées du secteur des mines</w:t>
            </w:r>
          </w:p>
        </w:tc>
        <w:tc>
          <w:tcPr>
            <w:tcW w:w="1034" w:type="dxa"/>
            <w:tcBorders>
              <w:top w:val="nil"/>
              <w:left w:val="nil"/>
              <w:bottom w:val="single" w:sz="4" w:space="0" w:color="auto"/>
              <w:right w:val="single" w:sz="4" w:space="0" w:color="auto"/>
            </w:tcBorders>
            <w:noWrap/>
            <w:vAlign w:val="center"/>
            <w:hideMark/>
          </w:tcPr>
          <w:p w14:paraId="27EA919D"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6CE103AE"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0F572DA3" w14:textId="6FAACEEA" w:rsidR="00703DE4" w:rsidRPr="00E11FFB" w:rsidRDefault="00740A11"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Plusieurs séances d’actualisation se font sur le site pour</w:t>
            </w:r>
          </w:p>
        </w:tc>
      </w:tr>
      <w:tr w:rsidR="00703DE4" w:rsidRPr="00E11FFB" w14:paraId="59313873" w14:textId="77777777" w:rsidTr="005859E4">
        <w:trPr>
          <w:gridAfter w:val="1"/>
          <w:wAfter w:w="222" w:type="dxa"/>
          <w:trHeight w:val="420"/>
        </w:trPr>
        <w:tc>
          <w:tcPr>
            <w:tcW w:w="2361" w:type="dxa"/>
            <w:vMerge/>
            <w:tcBorders>
              <w:top w:val="nil"/>
              <w:left w:val="single" w:sz="4" w:space="0" w:color="auto"/>
              <w:bottom w:val="single" w:sz="4" w:space="0" w:color="000000"/>
              <w:right w:val="single" w:sz="4" w:space="0" w:color="auto"/>
            </w:tcBorders>
            <w:vAlign w:val="center"/>
            <w:hideMark/>
          </w:tcPr>
          <w:p w14:paraId="7884A523" w14:textId="77777777" w:rsidR="00703DE4" w:rsidRPr="00E11FFB" w:rsidRDefault="00703DE4" w:rsidP="00703DE4">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hideMark/>
          </w:tcPr>
          <w:p w14:paraId="13C02C2C" w14:textId="3E39ADC5"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Nombre de c</w:t>
            </w:r>
            <w:r w:rsidR="0022573F" w:rsidRPr="00E11FFB">
              <w:rPr>
                <w:rFonts w:ascii="Calibri" w:hAnsi="Calibri" w:cs="Calibri"/>
                <w:color w:val="000000" w:themeColor="text1"/>
                <w:sz w:val="16"/>
                <w:szCs w:val="16"/>
              </w:rPr>
              <w:t>ontrats</w:t>
            </w:r>
            <w:r w:rsidRPr="00E11FFB">
              <w:rPr>
                <w:rFonts w:ascii="Calibri" w:hAnsi="Calibri" w:cs="Calibri"/>
                <w:color w:val="000000" w:themeColor="text1"/>
                <w:sz w:val="16"/>
                <w:szCs w:val="16"/>
              </w:rPr>
              <w:t xml:space="preserve"> miniers publiés</w:t>
            </w:r>
          </w:p>
        </w:tc>
        <w:tc>
          <w:tcPr>
            <w:tcW w:w="736" w:type="dxa"/>
            <w:tcBorders>
              <w:top w:val="nil"/>
              <w:left w:val="nil"/>
              <w:bottom w:val="single" w:sz="4" w:space="0" w:color="auto"/>
              <w:right w:val="single" w:sz="4" w:space="0" w:color="auto"/>
            </w:tcBorders>
            <w:noWrap/>
            <w:vAlign w:val="center"/>
            <w:hideMark/>
          </w:tcPr>
          <w:p w14:paraId="4E6B6295"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noWrap/>
            <w:vAlign w:val="center"/>
            <w:hideMark/>
          </w:tcPr>
          <w:p w14:paraId="08B1DCBA" w14:textId="784FF13D" w:rsidR="00703DE4" w:rsidRPr="00E11FFB" w:rsidRDefault="00EB1CFB"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 xml:space="preserve"> Au moins 2 contrats du secteur des mines publiés</w:t>
            </w:r>
          </w:p>
        </w:tc>
        <w:tc>
          <w:tcPr>
            <w:tcW w:w="1194" w:type="dxa"/>
            <w:tcBorders>
              <w:top w:val="nil"/>
              <w:left w:val="nil"/>
              <w:bottom w:val="single" w:sz="4" w:space="0" w:color="auto"/>
              <w:right w:val="single" w:sz="4" w:space="0" w:color="auto"/>
            </w:tcBorders>
            <w:noWrap/>
            <w:vAlign w:val="center"/>
            <w:hideMark/>
          </w:tcPr>
          <w:p w14:paraId="2A6D82F2" w14:textId="1121E3E1"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r w:rsidR="005859E4" w:rsidRPr="00E11FFB">
              <w:rPr>
                <w:rFonts w:ascii="Calibri" w:hAnsi="Calibri" w:cs="Calibri"/>
                <w:color w:val="000000" w:themeColor="text1"/>
                <w:sz w:val="16"/>
                <w:szCs w:val="16"/>
              </w:rPr>
              <w:t>7</w:t>
            </w:r>
            <w:r w:rsidR="00740A11" w:rsidRPr="00E11FFB">
              <w:rPr>
                <w:rFonts w:ascii="Calibri" w:hAnsi="Calibri" w:cs="Calibri"/>
                <w:color w:val="000000" w:themeColor="text1"/>
                <w:sz w:val="16"/>
                <w:szCs w:val="16"/>
              </w:rPr>
              <w:t xml:space="preserve"> contrats</w:t>
            </w:r>
            <w:r w:rsidR="005859E4" w:rsidRPr="00E11FFB">
              <w:rPr>
                <w:rFonts w:ascii="Calibri" w:hAnsi="Calibri" w:cs="Calibri"/>
                <w:color w:val="000000" w:themeColor="text1"/>
                <w:sz w:val="16"/>
                <w:szCs w:val="16"/>
              </w:rPr>
              <w:t xml:space="preserve"> </w:t>
            </w:r>
            <w:r w:rsidR="00740A11" w:rsidRPr="00E11FFB">
              <w:rPr>
                <w:rFonts w:ascii="Calibri" w:hAnsi="Calibri" w:cs="Calibri"/>
                <w:color w:val="000000" w:themeColor="text1"/>
                <w:sz w:val="16"/>
                <w:szCs w:val="16"/>
              </w:rPr>
              <w:t xml:space="preserve">publiés </w:t>
            </w:r>
          </w:p>
        </w:tc>
        <w:tc>
          <w:tcPr>
            <w:tcW w:w="1191" w:type="dxa"/>
            <w:tcBorders>
              <w:top w:val="nil"/>
              <w:left w:val="nil"/>
              <w:bottom w:val="single" w:sz="4" w:space="0" w:color="auto"/>
              <w:right w:val="single" w:sz="4" w:space="0" w:color="auto"/>
            </w:tcBorders>
            <w:noWrap/>
            <w:vAlign w:val="center"/>
            <w:hideMark/>
          </w:tcPr>
          <w:p w14:paraId="46453A4E"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78" w:type="dxa"/>
            <w:tcBorders>
              <w:top w:val="nil"/>
              <w:left w:val="nil"/>
              <w:bottom w:val="single" w:sz="4" w:space="0" w:color="auto"/>
              <w:right w:val="single" w:sz="4" w:space="0" w:color="auto"/>
            </w:tcBorders>
            <w:noWrap/>
            <w:vAlign w:val="center"/>
            <w:hideMark/>
          </w:tcPr>
          <w:p w14:paraId="68DAAB9C" w14:textId="3710F6AB"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r w:rsidR="00966AF7" w:rsidRPr="00E11FFB">
              <w:rPr>
                <w:rFonts w:ascii="Calibri" w:hAnsi="Calibri" w:cs="Calibri"/>
                <w:color w:val="000000" w:themeColor="text1"/>
                <w:sz w:val="16"/>
                <w:szCs w:val="16"/>
              </w:rPr>
              <w:t>Au moins un total de 15 contrats du secteur des mines publiés ;</w:t>
            </w:r>
          </w:p>
        </w:tc>
        <w:tc>
          <w:tcPr>
            <w:tcW w:w="1034" w:type="dxa"/>
            <w:tcBorders>
              <w:top w:val="nil"/>
              <w:left w:val="nil"/>
              <w:bottom w:val="single" w:sz="4" w:space="0" w:color="auto"/>
              <w:right w:val="single" w:sz="4" w:space="0" w:color="auto"/>
            </w:tcBorders>
            <w:noWrap/>
            <w:vAlign w:val="center"/>
            <w:hideMark/>
          </w:tcPr>
          <w:p w14:paraId="27F66161"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32029AAF"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28F4FA40" w14:textId="253F076A" w:rsidR="00703DE4" w:rsidRPr="00E11FFB" w:rsidRDefault="00740A11" w:rsidP="00703DE4">
            <w:pPr>
              <w:rPr>
                <w:rFonts w:ascii="Calibri" w:hAnsi="Calibri" w:cs="Calibri"/>
                <w:color w:val="000000" w:themeColor="text1"/>
                <w:sz w:val="16"/>
                <w:szCs w:val="16"/>
              </w:rPr>
            </w:pPr>
            <w:hyperlink r:id="rId23" w:history="1">
              <w:r w:rsidRPr="00E11FFB">
                <w:rPr>
                  <w:rStyle w:val="Lienhypertexte"/>
                  <w:rFonts w:ascii="Calibri" w:hAnsi="Calibri" w:cs="Calibri"/>
                  <w:sz w:val="16"/>
                  <w:szCs w:val="16"/>
                </w:rPr>
                <w:t xml:space="preserve"> </w:t>
              </w:r>
              <w:r w:rsidR="005859E4" w:rsidRPr="00E11FFB">
                <w:rPr>
                  <w:rStyle w:val="Lienhypertexte"/>
                  <w:rFonts w:ascii="Calibri" w:hAnsi="Calibri" w:cs="Calibri"/>
                  <w:sz w:val="16"/>
                  <w:szCs w:val="16"/>
                </w:rPr>
                <w:t>7 c</w:t>
              </w:r>
              <w:r w:rsidRPr="00E11FFB">
                <w:rPr>
                  <w:rStyle w:val="Lienhypertexte"/>
                  <w:rFonts w:ascii="Calibri" w:hAnsi="Calibri" w:cs="Calibri"/>
                  <w:sz w:val="16"/>
                  <w:szCs w:val="16"/>
                </w:rPr>
                <w:t>ontrats ont été publiés sur le site CTCPM</w:t>
              </w:r>
            </w:hyperlink>
          </w:p>
        </w:tc>
      </w:tr>
      <w:tr w:rsidR="00703DE4" w:rsidRPr="00E11FFB" w14:paraId="32C09984" w14:textId="77777777" w:rsidTr="00DD20F3">
        <w:trPr>
          <w:gridAfter w:val="1"/>
          <w:wAfter w:w="222" w:type="dxa"/>
          <w:trHeight w:val="630"/>
        </w:trPr>
        <w:tc>
          <w:tcPr>
            <w:tcW w:w="2361" w:type="dxa"/>
            <w:vMerge w:val="restart"/>
            <w:tcBorders>
              <w:top w:val="nil"/>
              <w:left w:val="single" w:sz="4" w:space="0" w:color="auto"/>
              <w:bottom w:val="single" w:sz="4" w:space="0" w:color="000000"/>
              <w:right w:val="single" w:sz="4" w:space="0" w:color="auto"/>
            </w:tcBorders>
            <w:vAlign w:val="center"/>
            <w:hideMark/>
          </w:tcPr>
          <w:p w14:paraId="504F6D64" w14:textId="6A26BF20"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Produit 5.3 (jalon 6 g) : Les Normes REDD+ sont élaborées de manière participative, adoptées dans le Manuel d'Opérations et de procédures des évaluations environnementales et sociales, assorties d'un mécanisme </w:t>
            </w:r>
            <w:r w:rsidR="00FE2FDA" w:rsidRPr="00E11FFB">
              <w:rPr>
                <w:rFonts w:ascii="Calibri" w:hAnsi="Calibri" w:cs="Calibri"/>
                <w:color w:val="000000" w:themeColor="text1"/>
                <w:sz w:val="16"/>
                <w:szCs w:val="16"/>
              </w:rPr>
              <w:t>d</w:t>
            </w:r>
            <w:r w:rsidRPr="00E11FFB">
              <w:rPr>
                <w:rFonts w:ascii="Calibri" w:hAnsi="Calibri" w:cs="Calibri"/>
                <w:color w:val="000000" w:themeColor="text1"/>
                <w:sz w:val="16"/>
                <w:szCs w:val="16"/>
              </w:rPr>
              <w:t>'audit indépendant.</w:t>
            </w:r>
          </w:p>
        </w:tc>
        <w:tc>
          <w:tcPr>
            <w:tcW w:w="2360" w:type="dxa"/>
            <w:vMerge w:val="restart"/>
            <w:tcBorders>
              <w:top w:val="nil"/>
              <w:left w:val="single" w:sz="4" w:space="0" w:color="auto"/>
              <w:bottom w:val="single" w:sz="4" w:space="0" w:color="000000"/>
              <w:right w:val="single" w:sz="4" w:space="0" w:color="auto"/>
            </w:tcBorders>
            <w:vAlign w:val="center"/>
            <w:hideMark/>
          </w:tcPr>
          <w:p w14:paraId="12247876" w14:textId="30F9AB8F"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Normes d’atténuation des impacts sur la forêt pris en compte dans le secteur des mines et des </w:t>
            </w:r>
            <w:r w:rsidR="00966AF7" w:rsidRPr="00E11FFB">
              <w:rPr>
                <w:rFonts w:ascii="Calibri" w:hAnsi="Calibri" w:cs="Calibri"/>
                <w:color w:val="000000" w:themeColor="text1"/>
                <w:sz w:val="16"/>
                <w:szCs w:val="16"/>
              </w:rPr>
              <w:t>forêts</w:t>
            </w:r>
            <w:r w:rsidRPr="00E11FFB">
              <w:rPr>
                <w:rFonts w:ascii="Calibri" w:hAnsi="Calibri" w:cs="Calibri"/>
                <w:color w:val="000000" w:themeColor="text1"/>
                <w:sz w:val="16"/>
                <w:szCs w:val="16"/>
              </w:rPr>
              <w:t xml:space="preserve">.  </w:t>
            </w:r>
          </w:p>
        </w:tc>
        <w:tc>
          <w:tcPr>
            <w:tcW w:w="736" w:type="dxa"/>
            <w:vMerge w:val="restart"/>
            <w:tcBorders>
              <w:top w:val="nil"/>
              <w:left w:val="single" w:sz="4" w:space="0" w:color="auto"/>
              <w:bottom w:val="single" w:sz="4" w:space="0" w:color="000000"/>
              <w:right w:val="single" w:sz="4" w:space="0" w:color="auto"/>
            </w:tcBorders>
            <w:noWrap/>
            <w:vAlign w:val="center"/>
            <w:hideMark/>
          </w:tcPr>
          <w:p w14:paraId="1C2E0642"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vMerge w:val="restart"/>
            <w:tcBorders>
              <w:top w:val="nil"/>
              <w:left w:val="single" w:sz="4" w:space="0" w:color="auto"/>
              <w:bottom w:val="single" w:sz="4" w:space="0" w:color="000000"/>
              <w:right w:val="single" w:sz="4" w:space="0" w:color="auto"/>
            </w:tcBorders>
            <w:vAlign w:val="center"/>
            <w:hideMark/>
          </w:tcPr>
          <w:p w14:paraId="2CB2DF14"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Au moins 10 normes dans le secteur des Mines </w:t>
            </w:r>
          </w:p>
        </w:tc>
        <w:tc>
          <w:tcPr>
            <w:tcW w:w="1194" w:type="dxa"/>
            <w:vMerge w:val="restart"/>
            <w:tcBorders>
              <w:top w:val="nil"/>
              <w:left w:val="single" w:sz="4" w:space="0" w:color="auto"/>
              <w:bottom w:val="single" w:sz="4" w:space="0" w:color="000000"/>
              <w:right w:val="single" w:sz="4" w:space="0" w:color="auto"/>
            </w:tcBorders>
            <w:noWrap/>
            <w:vAlign w:val="center"/>
            <w:hideMark/>
          </w:tcPr>
          <w:p w14:paraId="6524D895" w14:textId="7E0C2999" w:rsidR="00703DE4" w:rsidRPr="00E11FFB" w:rsidRDefault="00323B61"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191" w:type="dxa"/>
            <w:vMerge w:val="restart"/>
            <w:tcBorders>
              <w:top w:val="nil"/>
              <w:left w:val="single" w:sz="4" w:space="0" w:color="auto"/>
              <w:bottom w:val="single" w:sz="4" w:space="0" w:color="000000"/>
              <w:right w:val="single" w:sz="4" w:space="0" w:color="auto"/>
            </w:tcBorders>
            <w:noWrap/>
            <w:vAlign w:val="center"/>
            <w:hideMark/>
          </w:tcPr>
          <w:p w14:paraId="5195AF8F"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78" w:type="dxa"/>
            <w:vMerge w:val="restart"/>
            <w:tcBorders>
              <w:top w:val="nil"/>
              <w:left w:val="single" w:sz="4" w:space="0" w:color="auto"/>
              <w:bottom w:val="single" w:sz="4" w:space="0" w:color="000000"/>
              <w:right w:val="single" w:sz="4" w:space="0" w:color="auto"/>
            </w:tcBorders>
            <w:vAlign w:val="center"/>
            <w:hideMark/>
          </w:tcPr>
          <w:p w14:paraId="767CDC35"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Au moins 10 normes dans le secteur des Mines</w:t>
            </w:r>
          </w:p>
        </w:tc>
        <w:tc>
          <w:tcPr>
            <w:tcW w:w="1034" w:type="dxa"/>
            <w:vMerge w:val="restart"/>
            <w:tcBorders>
              <w:top w:val="nil"/>
              <w:left w:val="single" w:sz="4" w:space="0" w:color="auto"/>
              <w:bottom w:val="single" w:sz="4" w:space="0" w:color="000000"/>
              <w:right w:val="single" w:sz="4" w:space="0" w:color="auto"/>
            </w:tcBorders>
            <w:noWrap/>
            <w:vAlign w:val="center"/>
            <w:hideMark/>
          </w:tcPr>
          <w:p w14:paraId="2F18E699"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535379"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vMerge w:val="restart"/>
            <w:tcBorders>
              <w:top w:val="nil"/>
              <w:left w:val="single" w:sz="4" w:space="0" w:color="auto"/>
              <w:bottom w:val="single" w:sz="4" w:space="0" w:color="000000"/>
              <w:right w:val="single" w:sz="4" w:space="0" w:color="auto"/>
            </w:tcBorders>
            <w:shd w:val="clear" w:color="000000" w:fill="FFFFFF"/>
            <w:noWrap/>
            <w:vAlign w:val="center"/>
          </w:tcPr>
          <w:p w14:paraId="3CB62545" w14:textId="4C210282" w:rsidR="00703DE4" w:rsidRPr="00E11FFB" w:rsidRDefault="00703DE4" w:rsidP="00703DE4">
            <w:pPr>
              <w:jc w:val="center"/>
              <w:rPr>
                <w:rFonts w:ascii="Calibri" w:hAnsi="Calibri" w:cs="Calibri"/>
                <w:color w:val="000000" w:themeColor="text1"/>
                <w:sz w:val="16"/>
                <w:szCs w:val="16"/>
              </w:rPr>
            </w:pPr>
          </w:p>
        </w:tc>
      </w:tr>
      <w:tr w:rsidR="00703DE4" w:rsidRPr="00E11FFB" w14:paraId="65685844" w14:textId="77777777" w:rsidTr="005859E4">
        <w:trPr>
          <w:trHeight w:val="193"/>
        </w:trPr>
        <w:tc>
          <w:tcPr>
            <w:tcW w:w="2361" w:type="dxa"/>
            <w:vMerge/>
            <w:tcBorders>
              <w:top w:val="nil"/>
              <w:left w:val="single" w:sz="4" w:space="0" w:color="auto"/>
              <w:bottom w:val="single" w:sz="4" w:space="0" w:color="000000"/>
              <w:right w:val="single" w:sz="4" w:space="0" w:color="auto"/>
            </w:tcBorders>
            <w:vAlign w:val="center"/>
            <w:hideMark/>
          </w:tcPr>
          <w:p w14:paraId="21CE2171" w14:textId="77777777" w:rsidR="00703DE4" w:rsidRPr="00E11FFB" w:rsidRDefault="00703DE4" w:rsidP="00703DE4">
            <w:pPr>
              <w:rPr>
                <w:rFonts w:ascii="Calibri" w:hAnsi="Calibri" w:cs="Calibri"/>
                <w:color w:val="000000" w:themeColor="text1"/>
                <w:sz w:val="16"/>
                <w:szCs w:val="16"/>
              </w:rPr>
            </w:pPr>
          </w:p>
        </w:tc>
        <w:tc>
          <w:tcPr>
            <w:tcW w:w="2360" w:type="dxa"/>
            <w:vMerge/>
            <w:tcBorders>
              <w:top w:val="nil"/>
              <w:left w:val="single" w:sz="4" w:space="0" w:color="auto"/>
              <w:bottom w:val="single" w:sz="4" w:space="0" w:color="000000"/>
              <w:right w:val="single" w:sz="4" w:space="0" w:color="auto"/>
            </w:tcBorders>
            <w:vAlign w:val="center"/>
            <w:hideMark/>
          </w:tcPr>
          <w:p w14:paraId="7BE5A046" w14:textId="77777777" w:rsidR="00703DE4" w:rsidRPr="00E11FFB" w:rsidRDefault="00703DE4" w:rsidP="00703DE4">
            <w:pPr>
              <w:rPr>
                <w:rFonts w:ascii="Calibri" w:hAnsi="Calibri" w:cs="Calibri"/>
                <w:color w:val="000000" w:themeColor="text1"/>
                <w:sz w:val="16"/>
                <w:szCs w:val="16"/>
                <w:highlight w:val="yellow"/>
              </w:rPr>
            </w:pPr>
          </w:p>
        </w:tc>
        <w:tc>
          <w:tcPr>
            <w:tcW w:w="736" w:type="dxa"/>
            <w:vMerge/>
            <w:tcBorders>
              <w:top w:val="nil"/>
              <w:left w:val="single" w:sz="4" w:space="0" w:color="auto"/>
              <w:bottom w:val="single" w:sz="4" w:space="0" w:color="000000"/>
              <w:right w:val="single" w:sz="4" w:space="0" w:color="auto"/>
            </w:tcBorders>
            <w:vAlign w:val="center"/>
            <w:hideMark/>
          </w:tcPr>
          <w:p w14:paraId="33428E6C" w14:textId="77777777" w:rsidR="00703DE4" w:rsidRPr="00E11FFB" w:rsidRDefault="00703DE4" w:rsidP="00703DE4">
            <w:pPr>
              <w:rPr>
                <w:rFonts w:ascii="Calibri" w:hAnsi="Calibri" w:cs="Calibri"/>
                <w:color w:val="000000" w:themeColor="text1"/>
                <w:sz w:val="16"/>
                <w:szCs w:val="16"/>
              </w:rPr>
            </w:pPr>
          </w:p>
        </w:tc>
        <w:tc>
          <w:tcPr>
            <w:tcW w:w="1578" w:type="dxa"/>
            <w:vMerge/>
            <w:tcBorders>
              <w:top w:val="nil"/>
              <w:left w:val="single" w:sz="4" w:space="0" w:color="auto"/>
              <w:bottom w:val="single" w:sz="4" w:space="0" w:color="000000"/>
              <w:right w:val="single" w:sz="4" w:space="0" w:color="auto"/>
            </w:tcBorders>
            <w:vAlign w:val="center"/>
            <w:hideMark/>
          </w:tcPr>
          <w:p w14:paraId="1B5E9BC7" w14:textId="77777777" w:rsidR="00703DE4" w:rsidRPr="00E11FFB" w:rsidRDefault="00703DE4" w:rsidP="00703DE4">
            <w:pPr>
              <w:rPr>
                <w:rFonts w:ascii="Calibri" w:hAnsi="Calibri" w:cs="Calibri"/>
                <w:color w:val="000000" w:themeColor="text1"/>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178AF344" w14:textId="77777777" w:rsidR="00703DE4" w:rsidRPr="00E11FFB" w:rsidRDefault="00703DE4" w:rsidP="00703DE4">
            <w:pPr>
              <w:rPr>
                <w:rFonts w:ascii="Calibri" w:hAnsi="Calibri" w:cs="Calibri"/>
                <w:color w:val="000000" w:themeColor="text1"/>
                <w:sz w:val="16"/>
                <w:szCs w:val="16"/>
              </w:rPr>
            </w:pPr>
          </w:p>
        </w:tc>
        <w:tc>
          <w:tcPr>
            <w:tcW w:w="1191" w:type="dxa"/>
            <w:vMerge/>
            <w:tcBorders>
              <w:top w:val="nil"/>
              <w:left w:val="single" w:sz="4" w:space="0" w:color="auto"/>
              <w:bottom w:val="single" w:sz="4" w:space="0" w:color="000000"/>
              <w:right w:val="single" w:sz="4" w:space="0" w:color="auto"/>
            </w:tcBorders>
            <w:vAlign w:val="center"/>
            <w:hideMark/>
          </w:tcPr>
          <w:p w14:paraId="48A3469A" w14:textId="77777777" w:rsidR="00703DE4" w:rsidRPr="00E11FFB" w:rsidRDefault="00703DE4" w:rsidP="00703DE4">
            <w:pPr>
              <w:rPr>
                <w:rFonts w:ascii="Calibri" w:hAnsi="Calibri" w:cs="Calibri"/>
                <w:color w:val="000000" w:themeColor="text1"/>
                <w:sz w:val="16"/>
                <w:szCs w:val="16"/>
              </w:rPr>
            </w:pPr>
          </w:p>
        </w:tc>
        <w:tc>
          <w:tcPr>
            <w:tcW w:w="1578" w:type="dxa"/>
            <w:vMerge/>
            <w:tcBorders>
              <w:top w:val="nil"/>
              <w:left w:val="single" w:sz="4" w:space="0" w:color="auto"/>
              <w:bottom w:val="single" w:sz="4" w:space="0" w:color="000000"/>
              <w:right w:val="single" w:sz="4" w:space="0" w:color="auto"/>
            </w:tcBorders>
            <w:vAlign w:val="center"/>
            <w:hideMark/>
          </w:tcPr>
          <w:p w14:paraId="3AD8660D" w14:textId="77777777" w:rsidR="00703DE4" w:rsidRPr="00E11FFB" w:rsidRDefault="00703DE4" w:rsidP="00703DE4">
            <w:pPr>
              <w:rPr>
                <w:rFonts w:ascii="Calibri" w:hAnsi="Calibri" w:cs="Calibri"/>
                <w:color w:val="000000" w:themeColor="text1"/>
                <w:sz w:val="16"/>
                <w:szCs w:val="16"/>
              </w:rPr>
            </w:pPr>
          </w:p>
        </w:tc>
        <w:tc>
          <w:tcPr>
            <w:tcW w:w="1034" w:type="dxa"/>
            <w:vMerge/>
            <w:tcBorders>
              <w:top w:val="nil"/>
              <w:left w:val="single" w:sz="4" w:space="0" w:color="auto"/>
              <w:bottom w:val="single" w:sz="4" w:space="0" w:color="000000"/>
              <w:right w:val="single" w:sz="4" w:space="0" w:color="auto"/>
            </w:tcBorders>
            <w:vAlign w:val="center"/>
            <w:hideMark/>
          </w:tcPr>
          <w:p w14:paraId="1ACFCDFA" w14:textId="77777777" w:rsidR="00703DE4" w:rsidRPr="00E11FFB" w:rsidRDefault="00703DE4" w:rsidP="00703DE4">
            <w:pPr>
              <w:rPr>
                <w:rFonts w:ascii="Calibri" w:hAnsi="Calibri" w:cs="Calibri"/>
                <w:color w:val="000000" w:themeColor="text1"/>
                <w:sz w:val="16"/>
                <w:szCs w:val="16"/>
              </w:rPr>
            </w:pPr>
          </w:p>
        </w:tc>
        <w:tc>
          <w:tcPr>
            <w:tcW w:w="1553" w:type="dxa"/>
            <w:vMerge/>
            <w:tcBorders>
              <w:top w:val="nil"/>
              <w:left w:val="single" w:sz="4" w:space="0" w:color="auto"/>
              <w:bottom w:val="single" w:sz="4" w:space="0" w:color="000000"/>
              <w:right w:val="single" w:sz="4" w:space="0" w:color="auto"/>
            </w:tcBorders>
            <w:vAlign w:val="center"/>
            <w:hideMark/>
          </w:tcPr>
          <w:p w14:paraId="311DADB6" w14:textId="77777777" w:rsidR="00703DE4" w:rsidRPr="00E11FFB" w:rsidRDefault="00703DE4" w:rsidP="00703DE4">
            <w:pPr>
              <w:rPr>
                <w:rFonts w:ascii="Calibri" w:hAnsi="Calibri" w:cs="Calibri"/>
                <w:color w:val="000000" w:themeColor="text1"/>
                <w:sz w:val="16"/>
                <w:szCs w:val="16"/>
              </w:rPr>
            </w:pPr>
          </w:p>
        </w:tc>
        <w:tc>
          <w:tcPr>
            <w:tcW w:w="1099" w:type="dxa"/>
            <w:vMerge/>
            <w:tcBorders>
              <w:top w:val="nil"/>
              <w:left w:val="single" w:sz="4" w:space="0" w:color="auto"/>
              <w:bottom w:val="single" w:sz="4" w:space="0" w:color="000000"/>
              <w:right w:val="single" w:sz="4" w:space="0" w:color="auto"/>
            </w:tcBorders>
            <w:vAlign w:val="center"/>
            <w:hideMark/>
          </w:tcPr>
          <w:p w14:paraId="5A9DFA4E" w14:textId="77777777" w:rsidR="00703DE4" w:rsidRPr="00E11FFB" w:rsidRDefault="00703DE4" w:rsidP="00703DE4">
            <w:pPr>
              <w:rPr>
                <w:rFonts w:ascii="Calibri" w:hAnsi="Calibri" w:cs="Calibri"/>
                <w:color w:val="000000" w:themeColor="text1"/>
                <w:sz w:val="16"/>
                <w:szCs w:val="16"/>
              </w:rPr>
            </w:pPr>
          </w:p>
        </w:tc>
        <w:tc>
          <w:tcPr>
            <w:tcW w:w="222" w:type="dxa"/>
            <w:tcBorders>
              <w:top w:val="nil"/>
              <w:left w:val="nil"/>
              <w:bottom w:val="nil"/>
              <w:right w:val="nil"/>
            </w:tcBorders>
            <w:noWrap/>
            <w:vAlign w:val="bottom"/>
            <w:hideMark/>
          </w:tcPr>
          <w:p w14:paraId="79985E58" w14:textId="77777777" w:rsidR="00703DE4" w:rsidRPr="00E11FFB" w:rsidRDefault="00703DE4" w:rsidP="00703DE4">
            <w:pPr>
              <w:jc w:val="center"/>
              <w:rPr>
                <w:rFonts w:ascii="Calibri" w:hAnsi="Calibri" w:cs="Calibri"/>
                <w:color w:val="000000" w:themeColor="text1"/>
                <w:sz w:val="16"/>
                <w:szCs w:val="16"/>
              </w:rPr>
            </w:pPr>
          </w:p>
        </w:tc>
      </w:tr>
      <w:tr w:rsidR="00703DE4" w:rsidRPr="00E11FFB" w14:paraId="326A90E6" w14:textId="77777777" w:rsidTr="005859E4">
        <w:trPr>
          <w:trHeight w:val="290"/>
        </w:trPr>
        <w:tc>
          <w:tcPr>
            <w:tcW w:w="2361" w:type="dxa"/>
            <w:vMerge/>
            <w:tcBorders>
              <w:top w:val="nil"/>
              <w:left w:val="single" w:sz="4" w:space="0" w:color="auto"/>
              <w:bottom w:val="single" w:sz="4" w:space="0" w:color="000000"/>
              <w:right w:val="single" w:sz="4" w:space="0" w:color="auto"/>
            </w:tcBorders>
            <w:vAlign w:val="center"/>
            <w:hideMark/>
          </w:tcPr>
          <w:p w14:paraId="6F0F241C" w14:textId="77777777" w:rsidR="00703DE4" w:rsidRPr="00E11FFB" w:rsidRDefault="00703DE4" w:rsidP="00703DE4">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hideMark/>
          </w:tcPr>
          <w:p w14:paraId="32E9263B" w14:textId="295E0FFD" w:rsidR="00703DE4" w:rsidRPr="00E11FFB" w:rsidRDefault="00E32835"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Accompagnement du projet sur les normes des secteurs des mines (appui aux réunions). La Norme est publiée </w:t>
            </w:r>
          </w:p>
        </w:tc>
        <w:tc>
          <w:tcPr>
            <w:tcW w:w="736" w:type="dxa"/>
            <w:tcBorders>
              <w:top w:val="nil"/>
              <w:left w:val="nil"/>
              <w:bottom w:val="single" w:sz="4" w:space="0" w:color="auto"/>
              <w:right w:val="single" w:sz="4" w:space="0" w:color="auto"/>
            </w:tcBorders>
            <w:noWrap/>
            <w:vAlign w:val="center"/>
            <w:hideMark/>
          </w:tcPr>
          <w:p w14:paraId="356C7A2E" w14:textId="77777777" w:rsidR="00703DE4" w:rsidRPr="00E11FFB" w:rsidRDefault="00703DE4" w:rsidP="00703DE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noWrap/>
            <w:vAlign w:val="center"/>
            <w:hideMark/>
          </w:tcPr>
          <w:p w14:paraId="1D97FAE6" w14:textId="77777777" w:rsidR="00703DE4" w:rsidRPr="00E11FFB" w:rsidRDefault="00703DE4" w:rsidP="00FE2FDA">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p>
        </w:tc>
        <w:tc>
          <w:tcPr>
            <w:tcW w:w="1194" w:type="dxa"/>
            <w:tcBorders>
              <w:top w:val="nil"/>
              <w:left w:val="nil"/>
              <w:bottom w:val="single" w:sz="4" w:space="0" w:color="auto"/>
              <w:right w:val="single" w:sz="4" w:space="0" w:color="auto"/>
            </w:tcBorders>
            <w:noWrap/>
            <w:vAlign w:val="center"/>
            <w:hideMark/>
          </w:tcPr>
          <w:p w14:paraId="6A810844" w14:textId="727442F9" w:rsidR="00703DE4" w:rsidRPr="00E11FFB" w:rsidRDefault="00FE2FDA" w:rsidP="00FE2FDA">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p>
        </w:tc>
        <w:tc>
          <w:tcPr>
            <w:tcW w:w="1191" w:type="dxa"/>
            <w:tcBorders>
              <w:top w:val="nil"/>
              <w:left w:val="nil"/>
              <w:bottom w:val="single" w:sz="4" w:space="0" w:color="auto"/>
              <w:right w:val="single" w:sz="4" w:space="0" w:color="auto"/>
            </w:tcBorders>
            <w:noWrap/>
            <w:vAlign w:val="center"/>
            <w:hideMark/>
          </w:tcPr>
          <w:p w14:paraId="73271A2D" w14:textId="713A4CE8" w:rsidR="00703DE4" w:rsidRPr="00E11FFB" w:rsidRDefault="00703DE4" w:rsidP="00FE2FDA">
            <w:pPr>
              <w:jc w:val="center"/>
              <w:rPr>
                <w:rFonts w:ascii="Calibri" w:hAnsi="Calibri" w:cs="Calibri"/>
                <w:color w:val="000000" w:themeColor="text1"/>
                <w:sz w:val="16"/>
                <w:szCs w:val="16"/>
              </w:rPr>
            </w:pPr>
          </w:p>
        </w:tc>
        <w:tc>
          <w:tcPr>
            <w:tcW w:w="1578" w:type="dxa"/>
            <w:tcBorders>
              <w:top w:val="nil"/>
              <w:left w:val="nil"/>
              <w:bottom w:val="single" w:sz="4" w:space="0" w:color="auto"/>
              <w:right w:val="single" w:sz="4" w:space="0" w:color="auto"/>
            </w:tcBorders>
            <w:noWrap/>
            <w:vAlign w:val="center"/>
            <w:hideMark/>
          </w:tcPr>
          <w:p w14:paraId="3E242BC1" w14:textId="64A54342" w:rsidR="00703DE4" w:rsidRPr="00E11FFB" w:rsidRDefault="00E32835" w:rsidP="00FE2FDA">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1</w:t>
            </w:r>
          </w:p>
        </w:tc>
        <w:tc>
          <w:tcPr>
            <w:tcW w:w="1034" w:type="dxa"/>
            <w:tcBorders>
              <w:top w:val="nil"/>
              <w:left w:val="nil"/>
              <w:bottom w:val="single" w:sz="4" w:space="0" w:color="auto"/>
              <w:right w:val="single" w:sz="4" w:space="0" w:color="auto"/>
            </w:tcBorders>
            <w:noWrap/>
            <w:vAlign w:val="center"/>
            <w:hideMark/>
          </w:tcPr>
          <w:p w14:paraId="0CAF6B40"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40B22B73" w14:textId="77777777" w:rsidR="00703DE4" w:rsidRPr="00E11FFB" w:rsidRDefault="00703DE4"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0E39B345" w14:textId="45EB0746" w:rsidR="00703DE4" w:rsidRPr="00E11FFB" w:rsidRDefault="004B47D1" w:rsidP="00703DE4">
            <w:pPr>
              <w:rPr>
                <w:rFonts w:ascii="Calibri" w:hAnsi="Calibri" w:cs="Calibri"/>
                <w:color w:val="000000" w:themeColor="text1"/>
                <w:sz w:val="16"/>
                <w:szCs w:val="16"/>
              </w:rPr>
            </w:pPr>
            <w:r w:rsidRPr="00E11FFB">
              <w:rPr>
                <w:rFonts w:ascii="Calibri" w:hAnsi="Calibri" w:cs="Calibri"/>
                <w:color w:val="000000" w:themeColor="text1"/>
                <w:sz w:val="16"/>
                <w:szCs w:val="16"/>
              </w:rPr>
              <w:t>Réunions</w:t>
            </w:r>
            <w:r w:rsidR="00FE2FDA" w:rsidRPr="00E11FFB">
              <w:rPr>
                <w:rFonts w:ascii="Calibri" w:hAnsi="Calibri" w:cs="Calibri"/>
                <w:color w:val="000000" w:themeColor="text1"/>
                <w:sz w:val="16"/>
                <w:szCs w:val="16"/>
              </w:rPr>
              <w:t xml:space="preserve"> ont été organisées avec le projet Normes dans le secteur Mines et Hydrocarbures. </w:t>
            </w:r>
          </w:p>
        </w:tc>
        <w:tc>
          <w:tcPr>
            <w:tcW w:w="222" w:type="dxa"/>
            <w:vAlign w:val="center"/>
            <w:hideMark/>
          </w:tcPr>
          <w:p w14:paraId="569F2566" w14:textId="77777777" w:rsidR="00703DE4" w:rsidRPr="00E11FFB" w:rsidRDefault="00703DE4" w:rsidP="00703DE4">
            <w:pPr>
              <w:rPr>
                <w:color w:val="000000" w:themeColor="text1"/>
                <w:sz w:val="20"/>
                <w:szCs w:val="20"/>
              </w:rPr>
            </w:pPr>
          </w:p>
        </w:tc>
      </w:tr>
      <w:tr w:rsidR="00FE2FDA" w:rsidRPr="00E11FFB" w14:paraId="419D4338" w14:textId="77777777" w:rsidTr="005859E4">
        <w:trPr>
          <w:trHeight w:val="1050"/>
        </w:trPr>
        <w:tc>
          <w:tcPr>
            <w:tcW w:w="2361" w:type="dxa"/>
            <w:vMerge w:val="restart"/>
            <w:tcBorders>
              <w:top w:val="nil"/>
              <w:left w:val="single" w:sz="4" w:space="0" w:color="auto"/>
              <w:right w:val="single" w:sz="4" w:space="0" w:color="auto"/>
            </w:tcBorders>
            <w:hideMark/>
          </w:tcPr>
          <w:p w14:paraId="3D458F09" w14:textId="06CB8AF0" w:rsidR="00FE2FDA" w:rsidRPr="00E11FFB" w:rsidRDefault="00FE2FDA" w:rsidP="001146CB">
            <w:pPr>
              <w:rPr>
                <w:rFonts w:ascii="Calibri" w:hAnsi="Calibri" w:cs="Calibri"/>
                <w:color w:val="000000" w:themeColor="text1"/>
                <w:sz w:val="16"/>
                <w:szCs w:val="16"/>
              </w:rPr>
            </w:pPr>
            <w:r w:rsidRPr="00E11FFB">
              <w:rPr>
                <w:rFonts w:ascii="Avenir" w:eastAsia="Avenir" w:hAnsi="Avenir" w:cs="Avenir"/>
                <w:color w:val="000000"/>
                <w:sz w:val="16"/>
                <w:szCs w:val="16"/>
              </w:rPr>
              <w:t>Renforcer la transparence, la communication et de la coordination dans la mise en œuvre du projet</w:t>
            </w:r>
          </w:p>
        </w:tc>
        <w:tc>
          <w:tcPr>
            <w:tcW w:w="2360" w:type="dxa"/>
            <w:tcBorders>
              <w:top w:val="nil"/>
              <w:left w:val="nil"/>
              <w:bottom w:val="single" w:sz="4" w:space="0" w:color="auto"/>
              <w:right w:val="single" w:sz="4" w:space="0" w:color="auto"/>
            </w:tcBorders>
            <w:vAlign w:val="center"/>
            <w:hideMark/>
          </w:tcPr>
          <w:p w14:paraId="308D310D"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Nb (calculé) de personnes touchées par les campagnes de communication visant principalement à informer sur le projet. </w:t>
            </w:r>
          </w:p>
        </w:tc>
        <w:tc>
          <w:tcPr>
            <w:tcW w:w="736" w:type="dxa"/>
            <w:tcBorders>
              <w:top w:val="nil"/>
              <w:left w:val="nil"/>
              <w:bottom w:val="single" w:sz="4" w:space="0" w:color="auto"/>
              <w:right w:val="single" w:sz="4" w:space="0" w:color="auto"/>
            </w:tcBorders>
            <w:noWrap/>
            <w:vAlign w:val="center"/>
            <w:hideMark/>
          </w:tcPr>
          <w:p w14:paraId="339F7EF7" w14:textId="77777777" w:rsidR="00FE2FDA" w:rsidRPr="00E11FFB" w:rsidRDefault="00FE2FDA" w:rsidP="001146CB">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hideMark/>
          </w:tcPr>
          <w:p w14:paraId="08D688E6"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50 % de la population cible dans les zones d’intervention</w:t>
            </w:r>
          </w:p>
        </w:tc>
        <w:tc>
          <w:tcPr>
            <w:tcW w:w="1194" w:type="dxa"/>
            <w:tcBorders>
              <w:top w:val="nil"/>
              <w:left w:val="nil"/>
              <w:bottom w:val="single" w:sz="4" w:space="0" w:color="auto"/>
              <w:right w:val="single" w:sz="4" w:space="0" w:color="auto"/>
            </w:tcBorders>
            <w:noWrap/>
            <w:vAlign w:val="center"/>
            <w:hideMark/>
          </w:tcPr>
          <w:p w14:paraId="294E97C1" w14:textId="559A19EE" w:rsidR="00FE2FDA" w:rsidRPr="00E11FFB" w:rsidRDefault="001A56F4" w:rsidP="002142A2">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40</w:t>
            </w:r>
          </w:p>
        </w:tc>
        <w:tc>
          <w:tcPr>
            <w:tcW w:w="1191" w:type="dxa"/>
            <w:tcBorders>
              <w:top w:val="nil"/>
              <w:left w:val="nil"/>
              <w:bottom w:val="single" w:sz="4" w:space="0" w:color="auto"/>
              <w:right w:val="single" w:sz="4" w:space="0" w:color="auto"/>
            </w:tcBorders>
            <w:noWrap/>
            <w:vAlign w:val="center"/>
            <w:hideMark/>
          </w:tcPr>
          <w:p w14:paraId="4720836E"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78" w:type="dxa"/>
            <w:tcBorders>
              <w:top w:val="nil"/>
              <w:left w:val="nil"/>
              <w:bottom w:val="single" w:sz="4" w:space="0" w:color="auto"/>
              <w:right w:val="single" w:sz="4" w:space="0" w:color="auto"/>
            </w:tcBorders>
            <w:vAlign w:val="center"/>
            <w:hideMark/>
          </w:tcPr>
          <w:p w14:paraId="455EF544"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90 % de la population cible dans les zones d’intervention. </w:t>
            </w:r>
          </w:p>
        </w:tc>
        <w:tc>
          <w:tcPr>
            <w:tcW w:w="1034" w:type="dxa"/>
            <w:tcBorders>
              <w:top w:val="nil"/>
              <w:left w:val="nil"/>
              <w:bottom w:val="single" w:sz="4" w:space="0" w:color="auto"/>
              <w:right w:val="single" w:sz="4" w:space="0" w:color="auto"/>
            </w:tcBorders>
            <w:noWrap/>
            <w:vAlign w:val="center"/>
            <w:hideMark/>
          </w:tcPr>
          <w:p w14:paraId="66F41787"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3D37907A"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17AE6A85"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222" w:type="dxa"/>
            <w:vAlign w:val="center"/>
            <w:hideMark/>
          </w:tcPr>
          <w:p w14:paraId="19392DC3" w14:textId="77777777" w:rsidR="00FE2FDA" w:rsidRPr="00E11FFB" w:rsidRDefault="00FE2FDA" w:rsidP="001146CB">
            <w:pPr>
              <w:rPr>
                <w:color w:val="000000" w:themeColor="text1"/>
                <w:sz w:val="20"/>
                <w:szCs w:val="20"/>
              </w:rPr>
            </w:pPr>
          </w:p>
        </w:tc>
      </w:tr>
      <w:tr w:rsidR="00FE2FDA" w:rsidRPr="00E11FFB" w14:paraId="005A169B" w14:textId="77777777" w:rsidTr="005859E4">
        <w:trPr>
          <w:trHeight w:val="1050"/>
        </w:trPr>
        <w:tc>
          <w:tcPr>
            <w:tcW w:w="2361" w:type="dxa"/>
            <w:vMerge/>
            <w:tcBorders>
              <w:left w:val="single" w:sz="4" w:space="0" w:color="auto"/>
              <w:right w:val="single" w:sz="4" w:space="0" w:color="auto"/>
            </w:tcBorders>
            <w:vAlign w:val="center"/>
            <w:hideMark/>
          </w:tcPr>
          <w:p w14:paraId="492889B8" w14:textId="5F69B3FC" w:rsidR="00FE2FDA" w:rsidRPr="00E11FFB" w:rsidRDefault="00FE2FDA" w:rsidP="001146CB">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hideMark/>
          </w:tcPr>
          <w:p w14:paraId="33383189"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Nb (calculé) de personnes touchées par les campagnes de communication visant principalement à modifier les attitudes et pratiques.  </w:t>
            </w:r>
          </w:p>
        </w:tc>
        <w:tc>
          <w:tcPr>
            <w:tcW w:w="736" w:type="dxa"/>
            <w:tcBorders>
              <w:top w:val="nil"/>
              <w:left w:val="nil"/>
              <w:bottom w:val="single" w:sz="4" w:space="0" w:color="auto"/>
              <w:right w:val="single" w:sz="4" w:space="0" w:color="auto"/>
            </w:tcBorders>
            <w:noWrap/>
            <w:vAlign w:val="center"/>
            <w:hideMark/>
          </w:tcPr>
          <w:p w14:paraId="0DD11882" w14:textId="77777777" w:rsidR="00FE2FDA" w:rsidRPr="00E11FFB" w:rsidRDefault="00FE2FDA" w:rsidP="001146CB">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vAlign w:val="center"/>
            <w:hideMark/>
          </w:tcPr>
          <w:p w14:paraId="29A5EE7F"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25 % de la population cible</w:t>
            </w:r>
          </w:p>
        </w:tc>
        <w:tc>
          <w:tcPr>
            <w:tcW w:w="1194" w:type="dxa"/>
            <w:tcBorders>
              <w:top w:val="nil"/>
              <w:left w:val="nil"/>
              <w:bottom w:val="single" w:sz="4" w:space="0" w:color="auto"/>
              <w:right w:val="single" w:sz="4" w:space="0" w:color="auto"/>
            </w:tcBorders>
            <w:noWrap/>
            <w:vAlign w:val="center"/>
            <w:hideMark/>
          </w:tcPr>
          <w:p w14:paraId="5DBB4B9C" w14:textId="2F1508E0" w:rsidR="00FE2FDA" w:rsidRPr="00E11FFB" w:rsidRDefault="001A56F4" w:rsidP="002142A2">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32</w:t>
            </w:r>
          </w:p>
        </w:tc>
        <w:tc>
          <w:tcPr>
            <w:tcW w:w="1191" w:type="dxa"/>
            <w:tcBorders>
              <w:top w:val="nil"/>
              <w:left w:val="nil"/>
              <w:bottom w:val="single" w:sz="4" w:space="0" w:color="auto"/>
              <w:right w:val="single" w:sz="4" w:space="0" w:color="auto"/>
            </w:tcBorders>
            <w:noWrap/>
            <w:vAlign w:val="center"/>
            <w:hideMark/>
          </w:tcPr>
          <w:p w14:paraId="755098D4"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78" w:type="dxa"/>
            <w:tcBorders>
              <w:top w:val="nil"/>
              <w:left w:val="nil"/>
              <w:bottom w:val="single" w:sz="4" w:space="0" w:color="auto"/>
              <w:right w:val="single" w:sz="4" w:space="0" w:color="auto"/>
            </w:tcBorders>
            <w:vAlign w:val="center"/>
            <w:hideMark/>
          </w:tcPr>
          <w:p w14:paraId="3003F234"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75 % de la population cible</w:t>
            </w:r>
          </w:p>
        </w:tc>
        <w:tc>
          <w:tcPr>
            <w:tcW w:w="1034" w:type="dxa"/>
            <w:tcBorders>
              <w:top w:val="nil"/>
              <w:left w:val="nil"/>
              <w:bottom w:val="single" w:sz="4" w:space="0" w:color="auto"/>
              <w:right w:val="single" w:sz="4" w:space="0" w:color="auto"/>
            </w:tcBorders>
            <w:noWrap/>
            <w:vAlign w:val="center"/>
            <w:hideMark/>
          </w:tcPr>
          <w:p w14:paraId="226F9207"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2D41E7EB"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546ADFE3"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222" w:type="dxa"/>
            <w:vAlign w:val="center"/>
            <w:hideMark/>
          </w:tcPr>
          <w:p w14:paraId="231BE62D" w14:textId="77777777" w:rsidR="00FE2FDA" w:rsidRPr="00E11FFB" w:rsidRDefault="00FE2FDA" w:rsidP="001146CB">
            <w:pPr>
              <w:rPr>
                <w:color w:val="000000" w:themeColor="text1"/>
                <w:sz w:val="20"/>
                <w:szCs w:val="20"/>
              </w:rPr>
            </w:pPr>
          </w:p>
        </w:tc>
      </w:tr>
      <w:tr w:rsidR="00FE2FDA" w:rsidRPr="00E11FFB" w14:paraId="1495D2BC" w14:textId="77777777" w:rsidTr="005859E4">
        <w:trPr>
          <w:trHeight w:val="840"/>
        </w:trPr>
        <w:tc>
          <w:tcPr>
            <w:tcW w:w="2361" w:type="dxa"/>
            <w:vMerge/>
            <w:tcBorders>
              <w:left w:val="single" w:sz="4" w:space="0" w:color="auto"/>
              <w:bottom w:val="single" w:sz="4" w:space="0" w:color="auto"/>
              <w:right w:val="single" w:sz="4" w:space="0" w:color="auto"/>
            </w:tcBorders>
            <w:vAlign w:val="center"/>
            <w:hideMark/>
          </w:tcPr>
          <w:p w14:paraId="1B21EC03" w14:textId="629CE2C3" w:rsidR="00FE2FDA" w:rsidRPr="00E11FFB" w:rsidRDefault="00FE2FDA" w:rsidP="001146CB">
            <w:pPr>
              <w:rPr>
                <w:rFonts w:ascii="Calibri" w:hAnsi="Calibri" w:cs="Calibri"/>
                <w:color w:val="000000" w:themeColor="text1"/>
                <w:sz w:val="16"/>
                <w:szCs w:val="16"/>
              </w:rPr>
            </w:pPr>
          </w:p>
        </w:tc>
        <w:tc>
          <w:tcPr>
            <w:tcW w:w="2360" w:type="dxa"/>
            <w:tcBorders>
              <w:top w:val="nil"/>
              <w:left w:val="nil"/>
              <w:bottom w:val="single" w:sz="4" w:space="0" w:color="auto"/>
              <w:right w:val="single" w:sz="4" w:space="0" w:color="auto"/>
            </w:tcBorders>
            <w:vAlign w:val="center"/>
            <w:hideMark/>
          </w:tcPr>
          <w:p w14:paraId="7F67EF4D"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Pourcentage de campagnes utilisant des outils pour cibler spécifiquement les minorités et groupes vulnérables.</w:t>
            </w:r>
          </w:p>
        </w:tc>
        <w:tc>
          <w:tcPr>
            <w:tcW w:w="736" w:type="dxa"/>
            <w:tcBorders>
              <w:top w:val="nil"/>
              <w:left w:val="nil"/>
              <w:bottom w:val="single" w:sz="4" w:space="0" w:color="auto"/>
              <w:right w:val="single" w:sz="4" w:space="0" w:color="auto"/>
            </w:tcBorders>
            <w:noWrap/>
            <w:vAlign w:val="center"/>
            <w:hideMark/>
          </w:tcPr>
          <w:p w14:paraId="51545EBF" w14:textId="77777777" w:rsidR="00FE2FDA" w:rsidRPr="00E11FFB" w:rsidRDefault="00FE2FDA" w:rsidP="001146CB">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578" w:type="dxa"/>
            <w:tcBorders>
              <w:top w:val="nil"/>
              <w:left w:val="nil"/>
              <w:bottom w:val="single" w:sz="4" w:space="0" w:color="auto"/>
              <w:right w:val="single" w:sz="4" w:space="0" w:color="auto"/>
            </w:tcBorders>
            <w:noWrap/>
            <w:vAlign w:val="center"/>
            <w:hideMark/>
          </w:tcPr>
          <w:p w14:paraId="2CC3B64E"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50 % des campagnes. </w:t>
            </w:r>
          </w:p>
        </w:tc>
        <w:tc>
          <w:tcPr>
            <w:tcW w:w="1194" w:type="dxa"/>
            <w:tcBorders>
              <w:top w:val="nil"/>
              <w:left w:val="nil"/>
              <w:bottom w:val="single" w:sz="4" w:space="0" w:color="auto"/>
              <w:right w:val="single" w:sz="4" w:space="0" w:color="auto"/>
            </w:tcBorders>
            <w:noWrap/>
            <w:vAlign w:val="center"/>
            <w:hideMark/>
          </w:tcPr>
          <w:p w14:paraId="6B359DE8" w14:textId="443F5942" w:rsidR="00FE2FDA" w:rsidRPr="00E11FFB" w:rsidRDefault="001A56F4" w:rsidP="002142A2">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191" w:type="dxa"/>
            <w:tcBorders>
              <w:top w:val="nil"/>
              <w:left w:val="nil"/>
              <w:bottom w:val="single" w:sz="4" w:space="0" w:color="auto"/>
              <w:right w:val="single" w:sz="4" w:space="0" w:color="auto"/>
            </w:tcBorders>
            <w:noWrap/>
            <w:vAlign w:val="center"/>
            <w:hideMark/>
          </w:tcPr>
          <w:p w14:paraId="02F7C9BE"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78" w:type="dxa"/>
            <w:tcBorders>
              <w:top w:val="nil"/>
              <w:left w:val="nil"/>
              <w:bottom w:val="single" w:sz="4" w:space="0" w:color="auto"/>
              <w:right w:val="single" w:sz="4" w:space="0" w:color="auto"/>
            </w:tcBorders>
            <w:noWrap/>
            <w:vAlign w:val="center"/>
            <w:hideMark/>
          </w:tcPr>
          <w:p w14:paraId="77032642"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100 % des campagnes </w:t>
            </w:r>
          </w:p>
        </w:tc>
        <w:tc>
          <w:tcPr>
            <w:tcW w:w="1034" w:type="dxa"/>
            <w:tcBorders>
              <w:top w:val="nil"/>
              <w:left w:val="nil"/>
              <w:bottom w:val="single" w:sz="4" w:space="0" w:color="auto"/>
              <w:right w:val="single" w:sz="4" w:space="0" w:color="auto"/>
            </w:tcBorders>
            <w:noWrap/>
            <w:vAlign w:val="center"/>
            <w:hideMark/>
          </w:tcPr>
          <w:p w14:paraId="4EDFA093"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553" w:type="dxa"/>
            <w:tcBorders>
              <w:top w:val="nil"/>
              <w:left w:val="nil"/>
              <w:bottom w:val="single" w:sz="4" w:space="0" w:color="auto"/>
              <w:right w:val="single" w:sz="4" w:space="0" w:color="auto"/>
            </w:tcBorders>
            <w:shd w:val="clear" w:color="000000" w:fill="FFFFFF"/>
            <w:noWrap/>
            <w:vAlign w:val="center"/>
            <w:hideMark/>
          </w:tcPr>
          <w:p w14:paraId="741FF5D9"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099" w:type="dxa"/>
            <w:tcBorders>
              <w:top w:val="nil"/>
              <w:left w:val="nil"/>
              <w:bottom w:val="single" w:sz="4" w:space="0" w:color="auto"/>
              <w:right w:val="single" w:sz="4" w:space="0" w:color="auto"/>
            </w:tcBorders>
            <w:shd w:val="clear" w:color="000000" w:fill="FFFFFF"/>
            <w:noWrap/>
            <w:vAlign w:val="center"/>
            <w:hideMark/>
          </w:tcPr>
          <w:p w14:paraId="09278CDB" w14:textId="77777777" w:rsidR="00FE2FDA" w:rsidRPr="00E11FFB" w:rsidRDefault="00FE2FDA" w:rsidP="001146CB">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222" w:type="dxa"/>
            <w:vAlign w:val="center"/>
            <w:hideMark/>
          </w:tcPr>
          <w:p w14:paraId="4D536D52" w14:textId="77777777" w:rsidR="00FE2FDA" w:rsidRPr="00E11FFB" w:rsidRDefault="00FE2FDA" w:rsidP="001146CB">
            <w:pPr>
              <w:rPr>
                <w:color w:val="000000" w:themeColor="text1"/>
                <w:sz w:val="20"/>
                <w:szCs w:val="20"/>
              </w:rPr>
            </w:pPr>
          </w:p>
        </w:tc>
      </w:tr>
    </w:tbl>
    <w:p w14:paraId="652A81BB" w14:textId="77777777" w:rsidR="006536C4" w:rsidRPr="00E11FFB" w:rsidRDefault="006536C4">
      <w:pPr>
        <w:spacing w:line="250" w:lineRule="auto"/>
        <w:ind w:left="-15"/>
        <w:jc w:val="both"/>
        <w:rPr>
          <w:rFonts w:ascii="Avenir" w:eastAsia="Avenir" w:hAnsi="Avenir" w:cs="Avenir"/>
          <w:i/>
          <w:color w:val="000000"/>
          <w:sz w:val="20"/>
          <w:szCs w:val="20"/>
        </w:rPr>
      </w:pPr>
    </w:p>
    <w:p w14:paraId="0C5ACED2" w14:textId="0AD295C9" w:rsidR="005468FC" w:rsidRPr="00E11FFB" w:rsidRDefault="005468FC" w:rsidP="005468FC">
      <w:pPr>
        <w:keepNext/>
        <w:spacing w:line="271" w:lineRule="auto"/>
        <w:ind w:left="-3" w:right="35" w:firstLine="10"/>
        <w:jc w:val="both"/>
        <w:rPr>
          <w:rFonts w:ascii="Avenir" w:eastAsia="Avenir" w:hAnsi="Avenir" w:cs="Avenir"/>
          <w:b/>
          <w:bCs/>
          <w:iCs/>
          <w:color w:val="000000"/>
          <w:sz w:val="20"/>
          <w:szCs w:val="20"/>
          <w:u w:val="single"/>
        </w:rPr>
      </w:pPr>
      <w:r w:rsidRPr="00E11FFB">
        <w:rPr>
          <w:rFonts w:ascii="Avenir" w:eastAsia="Avenir" w:hAnsi="Avenir" w:cs="Avenir"/>
          <w:b/>
          <w:bCs/>
          <w:iCs/>
          <w:color w:val="000000"/>
          <w:sz w:val="20"/>
          <w:szCs w:val="20"/>
          <w:u w:val="single"/>
        </w:rPr>
        <w:t>Tableau évaluation de la performance secteur hydrocarbures</w:t>
      </w:r>
      <w:r w:rsidR="0048260B">
        <w:rPr>
          <w:rFonts w:ascii="Avenir" w:eastAsia="Avenir" w:hAnsi="Avenir" w:cs="Avenir"/>
          <w:b/>
          <w:bCs/>
          <w:iCs/>
          <w:color w:val="000000"/>
          <w:sz w:val="20"/>
          <w:szCs w:val="20"/>
          <w:u w:val="single"/>
        </w:rPr>
        <w:t xml:space="preserve"> (Effet 5)</w:t>
      </w:r>
    </w:p>
    <w:p w14:paraId="7856A5FE" w14:textId="77777777" w:rsidR="00C35FCE" w:rsidRPr="00E11FFB" w:rsidRDefault="00C35FCE" w:rsidP="005468FC">
      <w:pPr>
        <w:keepNext/>
        <w:spacing w:line="271" w:lineRule="auto"/>
        <w:ind w:left="-3" w:right="35" w:firstLine="10"/>
        <w:jc w:val="both"/>
        <w:rPr>
          <w:rFonts w:ascii="Avenir" w:eastAsia="Avenir" w:hAnsi="Avenir" w:cs="Avenir"/>
          <w:b/>
          <w:bCs/>
          <w:iCs/>
          <w:color w:val="000000"/>
          <w:sz w:val="20"/>
          <w:szCs w:val="20"/>
          <w:u w:val="single"/>
        </w:rPr>
      </w:pPr>
    </w:p>
    <w:tbl>
      <w:tblPr>
        <w:tblpPr w:leftFromText="180" w:rightFromText="180" w:vertAnchor="text" w:tblpY="1"/>
        <w:tblOverlap w:val="never"/>
        <w:tblW w:w="14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720"/>
        <w:gridCol w:w="680"/>
        <w:gridCol w:w="1780"/>
        <w:gridCol w:w="1200"/>
        <w:gridCol w:w="1200"/>
        <w:gridCol w:w="1480"/>
        <w:gridCol w:w="1200"/>
        <w:gridCol w:w="995"/>
        <w:gridCol w:w="1845"/>
      </w:tblGrid>
      <w:tr w:rsidR="00113681" w:rsidRPr="00E11FFB" w14:paraId="71FBC595" w14:textId="77777777" w:rsidTr="008D2FF7">
        <w:trPr>
          <w:trHeight w:val="630"/>
          <w:tblHeader/>
        </w:trPr>
        <w:tc>
          <w:tcPr>
            <w:tcW w:w="2520" w:type="dxa"/>
            <w:shd w:val="clear" w:color="000000" w:fill="DAE9F8"/>
            <w:noWrap/>
            <w:vAlign w:val="center"/>
            <w:hideMark/>
          </w:tcPr>
          <w:p w14:paraId="5D5C9280" w14:textId="77777777"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xml:space="preserve">Produits </w:t>
            </w:r>
          </w:p>
        </w:tc>
        <w:tc>
          <w:tcPr>
            <w:tcW w:w="1720" w:type="dxa"/>
            <w:shd w:val="clear" w:color="000000" w:fill="DAE9F8"/>
            <w:noWrap/>
            <w:vAlign w:val="center"/>
            <w:hideMark/>
          </w:tcPr>
          <w:p w14:paraId="436D1962" w14:textId="77777777"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Indicateurs</w:t>
            </w:r>
          </w:p>
        </w:tc>
        <w:tc>
          <w:tcPr>
            <w:tcW w:w="680" w:type="dxa"/>
            <w:shd w:val="clear" w:color="000000" w:fill="DAF2D0"/>
            <w:vAlign w:val="center"/>
            <w:hideMark/>
          </w:tcPr>
          <w:p w14:paraId="4B73991F" w14:textId="77777777"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Lignes de base</w:t>
            </w:r>
          </w:p>
        </w:tc>
        <w:tc>
          <w:tcPr>
            <w:tcW w:w="1780" w:type="dxa"/>
            <w:shd w:val="clear" w:color="000000" w:fill="DAF2D0"/>
            <w:vAlign w:val="center"/>
            <w:hideMark/>
          </w:tcPr>
          <w:p w14:paraId="2CC60FE8" w14:textId="7CCDAFD1" w:rsidR="005468FC" w:rsidRPr="00E11FFB" w:rsidRDefault="00E61F4C" w:rsidP="003C3A56">
            <w:pPr>
              <w:rPr>
                <w:rFonts w:ascii="Calibri" w:hAnsi="Calibri" w:cs="Calibri"/>
                <w:color w:val="000000"/>
                <w:sz w:val="16"/>
                <w:szCs w:val="16"/>
              </w:rPr>
            </w:pPr>
            <w:r w:rsidRPr="00E11FFB">
              <w:rPr>
                <w:rFonts w:ascii="Calibri" w:hAnsi="Calibri" w:cs="Calibri"/>
                <w:color w:val="000000"/>
                <w:sz w:val="16"/>
                <w:szCs w:val="16"/>
              </w:rPr>
              <w:t>Cible</w:t>
            </w:r>
            <w:r w:rsidR="005468FC" w:rsidRPr="00E11FFB">
              <w:rPr>
                <w:rFonts w:ascii="Calibri" w:hAnsi="Calibri" w:cs="Calibri"/>
                <w:color w:val="000000"/>
                <w:sz w:val="16"/>
                <w:szCs w:val="16"/>
              </w:rPr>
              <w:t xml:space="preserve"> visée pour la </w:t>
            </w:r>
            <w:r w:rsidRPr="00E11FFB">
              <w:rPr>
                <w:rFonts w:ascii="Calibri" w:hAnsi="Calibri" w:cs="Calibri"/>
                <w:color w:val="000000"/>
                <w:sz w:val="16"/>
                <w:szCs w:val="16"/>
              </w:rPr>
              <w:t>période</w:t>
            </w:r>
            <w:r w:rsidR="005468FC" w:rsidRPr="00E11FFB">
              <w:rPr>
                <w:rFonts w:ascii="Calibri" w:hAnsi="Calibri" w:cs="Calibri"/>
                <w:color w:val="000000"/>
                <w:sz w:val="16"/>
                <w:szCs w:val="16"/>
              </w:rPr>
              <w:t xml:space="preserve"> de rapportage</w:t>
            </w:r>
          </w:p>
        </w:tc>
        <w:tc>
          <w:tcPr>
            <w:tcW w:w="1200" w:type="dxa"/>
            <w:shd w:val="clear" w:color="000000" w:fill="DAF2D0"/>
            <w:vAlign w:val="center"/>
            <w:hideMark/>
          </w:tcPr>
          <w:p w14:paraId="455D025C" w14:textId="7722D37E" w:rsidR="005468FC" w:rsidRPr="00E11FFB" w:rsidRDefault="00E61F4C" w:rsidP="003C3A56">
            <w:pPr>
              <w:rPr>
                <w:rFonts w:ascii="Calibri" w:hAnsi="Calibri" w:cs="Calibri"/>
                <w:color w:val="000000"/>
                <w:sz w:val="16"/>
                <w:szCs w:val="16"/>
              </w:rPr>
            </w:pPr>
            <w:r w:rsidRPr="00E11FFB">
              <w:rPr>
                <w:rFonts w:ascii="Calibri" w:hAnsi="Calibri" w:cs="Calibri"/>
                <w:color w:val="000000"/>
                <w:sz w:val="16"/>
                <w:szCs w:val="16"/>
              </w:rPr>
              <w:t>Valeur</w:t>
            </w:r>
            <w:r w:rsidR="005468FC" w:rsidRPr="00E11FFB">
              <w:rPr>
                <w:rFonts w:ascii="Calibri" w:hAnsi="Calibri" w:cs="Calibri"/>
                <w:color w:val="000000"/>
                <w:sz w:val="16"/>
                <w:szCs w:val="16"/>
              </w:rPr>
              <w:t xml:space="preserve"> atteinte pour la </w:t>
            </w:r>
            <w:r w:rsidRPr="00E11FFB">
              <w:rPr>
                <w:rFonts w:ascii="Calibri" w:hAnsi="Calibri" w:cs="Calibri"/>
                <w:color w:val="000000"/>
                <w:sz w:val="16"/>
                <w:szCs w:val="16"/>
              </w:rPr>
              <w:t>période</w:t>
            </w:r>
            <w:r w:rsidR="005468FC" w:rsidRPr="00E11FFB">
              <w:rPr>
                <w:rFonts w:ascii="Calibri" w:hAnsi="Calibri" w:cs="Calibri"/>
                <w:color w:val="000000"/>
                <w:sz w:val="16"/>
                <w:szCs w:val="16"/>
              </w:rPr>
              <w:t xml:space="preserve"> de rapportage</w:t>
            </w:r>
          </w:p>
        </w:tc>
        <w:tc>
          <w:tcPr>
            <w:tcW w:w="1200" w:type="dxa"/>
            <w:shd w:val="clear" w:color="000000" w:fill="DAF2D0"/>
            <w:vAlign w:val="center"/>
            <w:hideMark/>
          </w:tcPr>
          <w:p w14:paraId="1C305D6A" w14:textId="729FCDD5" w:rsidR="005468FC" w:rsidRPr="00E11FFB" w:rsidRDefault="00E61F4C" w:rsidP="003C3A56">
            <w:pPr>
              <w:rPr>
                <w:rFonts w:ascii="Calibri" w:hAnsi="Calibri" w:cs="Calibri"/>
                <w:color w:val="000000"/>
                <w:sz w:val="16"/>
                <w:szCs w:val="16"/>
              </w:rPr>
            </w:pPr>
            <w:r w:rsidRPr="00E11FFB">
              <w:rPr>
                <w:rFonts w:ascii="Calibri" w:hAnsi="Calibri" w:cs="Calibri"/>
                <w:color w:val="000000"/>
                <w:sz w:val="16"/>
                <w:szCs w:val="16"/>
              </w:rPr>
              <w:t>Valeur</w:t>
            </w:r>
            <w:r w:rsidR="005468FC" w:rsidRPr="00E11FFB">
              <w:rPr>
                <w:rFonts w:ascii="Calibri" w:hAnsi="Calibri" w:cs="Calibri"/>
                <w:color w:val="000000"/>
                <w:sz w:val="16"/>
                <w:szCs w:val="16"/>
              </w:rPr>
              <w:t xml:space="preserve"> actuelle</w:t>
            </w:r>
          </w:p>
        </w:tc>
        <w:tc>
          <w:tcPr>
            <w:tcW w:w="1480" w:type="dxa"/>
            <w:shd w:val="clear" w:color="000000" w:fill="DAF2D0"/>
            <w:vAlign w:val="center"/>
            <w:hideMark/>
          </w:tcPr>
          <w:p w14:paraId="067C64C2" w14:textId="10D44924"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xml:space="preserve"> </w:t>
            </w:r>
            <w:r w:rsidR="00E61F4C" w:rsidRPr="00E11FFB">
              <w:rPr>
                <w:rFonts w:ascii="Calibri" w:hAnsi="Calibri" w:cs="Calibri"/>
                <w:color w:val="000000"/>
                <w:sz w:val="16"/>
                <w:szCs w:val="16"/>
              </w:rPr>
              <w:t>Cible</w:t>
            </w:r>
            <w:r w:rsidRPr="00E11FFB">
              <w:rPr>
                <w:rFonts w:ascii="Calibri" w:hAnsi="Calibri" w:cs="Calibri"/>
                <w:color w:val="000000"/>
                <w:sz w:val="16"/>
                <w:szCs w:val="16"/>
              </w:rPr>
              <w:t xml:space="preserve"> finale dans le prodoc</w:t>
            </w:r>
          </w:p>
        </w:tc>
        <w:tc>
          <w:tcPr>
            <w:tcW w:w="1200" w:type="dxa"/>
            <w:shd w:val="clear" w:color="000000" w:fill="DAF2D0"/>
            <w:vAlign w:val="center"/>
            <w:hideMark/>
          </w:tcPr>
          <w:p w14:paraId="6D321142" w14:textId="7B9364CE" w:rsidR="005468FC" w:rsidRPr="00E11FFB" w:rsidRDefault="00E61F4C" w:rsidP="003C3A56">
            <w:pPr>
              <w:rPr>
                <w:rFonts w:ascii="Calibri" w:hAnsi="Calibri" w:cs="Calibri"/>
                <w:color w:val="000000"/>
                <w:sz w:val="16"/>
                <w:szCs w:val="16"/>
              </w:rPr>
            </w:pPr>
            <w:r w:rsidRPr="00E11FFB">
              <w:rPr>
                <w:rFonts w:ascii="Calibri" w:hAnsi="Calibri" w:cs="Calibri"/>
                <w:color w:val="000000"/>
                <w:sz w:val="16"/>
                <w:szCs w:val="16"/>
              </w:rPr>
              <w:t>Cible</w:t>
            </w:r>
            <w:r w:rsidR="005468FC" w:rsidRPr="00E11FFB">
              <w:rPr>
                <w:rFonts w:ascii="Calibri" w:hAnsi="Calibri" w:cs="Calibri"/>
                <w:color w:val="000000"/>
                <w:sz w:val="16"/>
                <w:szCs w:val="16"/>
              </w:rPr>
              <w:t xml:space="preserve"> finale </w:t>
            </w:r>
            <w:r w:rsidRPr="00E11FFB">
              <w:rPr>
                <w:rFonts w:ascii="Calibri" w:hAnsi="Calibri" w:cs="Calibri"/>
                <w:color w:val="000000"/>
                <w:sz w:val="16"/>
                <w:szCs w:val="16"/>
              </w:rPr>
              <w:t>révisée</w:t>
            </w:r>
            <w:r w:rsidR="005468FC" w:rsidRPr="00E11FFB">
              <w:rPr>
                <w:rFonts w:ascii="Calibri" w:hAnsi="Calibri" w:cs="Calibri"/>
                <w:color w:val="000000"/>
                <w:sz w:val="16"/>
                <w:szCs w:val="16"/>
              </w:rPr>
              <w:t xml:space="preserve"> le cas </w:t>
            </w:r>
            <w:r w:rsidRPr="00E11FFB">
              <w:rPr>
                <w:rFonts w:ascii="Calibri" w:hAnsi="Calibri" w:cs="Calibri"/>
                <w:color w:val="000000"/>
                <w:sz w:val="16"/>
                <w:szCs w:val="16"/>
              </w:rPr>
              <w:t>échéant</w:t>
            </w:r>
            <w:r w:rsidR="005468FC" w:rsidRPr="00E11FFB">
              <w:rPr>
                <w:rFonts w:ascii="Calibri" w:hAnsi="Calibri" w:cs="Calibri"/>
                <w:color w:val="000000"/>
                <w:sz w:val="16"/>
                <w:szCs w:val="16"/>
              </w:rPr>
              <w:t xml:space="preserve"> </w:t>
            </w:r>
          </w:p>
        </w:tc>
        <w:tc>
          <w:tcPr>
            <w:tcW w:w="995" w:type="dxa"/>
            <w:shd w:val="clear" w:color="000000" w:fill="D9D9D9"/>
            <w:vAlign w:val="center"/>
            <w:hideMark/>
          </w:tcPr>
          <w:p w14:paraId="34CD0651" w14:textId="2B2ECF8F" w:rsidR="005468FC" w:rsidRPr="00E11FFB" w:rsidRDefault="00E61F4C" w:rsidP="003C3A56">
            <w:pPr>
              <w:rPr>
                <w:rFonts w:ascii="Calibri" w:hAnsi="Calibri" w:cs="Calibri"/>
                <w:color w:val="000000"/>
                <w:sz w:val="16"/>
                <w:szCs w:val="16"/>
              </w:rPr>
            </w:pPr>
            <w:r w:rsidRPr="00E11FFB">
              <w:rPr>
                <w:rFonts w:ascii="Calibri" w:hAnsi="Calibri" w:cs="Calibri"/>
                <w:color w:val="000000"/>
                <w:sz w:val="16"/>
                <w:szCs w:val="16"/>
              </w:rPr>
              <w:t>Hyperlien</w:t>
            </w:r>
          </w:p>
        </w:tc>
        <w:tc>
          <w:tcPr>
            <w:tcW w:w="1845" w:type="dxa"/>
            <w:shd w:val="clear" w:color="000000" w:fill="D9D9D9"/>
            <w:noWrap/>
            <w:vAlign w:val="center"/>
            <w:hideMark/>
          </w:tcPr>
          <w:p w14:paraId="38781649" w14:textId="738BB6C3" w:rsidR="005468FC" w:rsidRPr="00E11FFB" w:rsidRDefault="00E61F4C" w:rsidP="003C3A56">
            <w:pPr>
              <w:rPr>
                <w:rFonts w:ascii="Calibri" w:hAnsi="Calibri" w:cs="Calibri"/>
                <w:color w:val="000000"/>
                <w:sz w:val="16"/>
                <w:szCs w:val="16"/>
              </w:rPr>
            </w:pPr>
            <w:r w:rsidRPr="00E11FFB">
              <w:rPr>
                <w:rFonts w:ascii="Calibri" w:hAnsi="Calibri" w:cs="Calibri"/>
                <w:color w:val="000000"/>
                <w:sz w:val="16"/>
                <w:szCs w:val="16"/>
              </w:rPr>
              <w:t>Commentaire</w:t>
            </w:r>
            <w:r w:rsidR="005468FC" w:rsidRPr="00E11FFB">
              <w:rPr>
                <w:rFonts w:ascii="Calibri" w:hAnsi="Calibri" w:cs="Calibri"/>
                <w:color w:val="000000"/>
                <w:sz w:val="16"/>
                <w:szCs w:val="16"/>
              </w:rPr>
              <w:t xml:space="preserve"> </w:t>
            </w:r>
          </w:p>
        </w:tc>
      </w:tr>
      <w:tr w:rsidR="00113681" w:rsidRPr="00E11FFB" w14:paraId="1C05A863" w14:textId="77777777" w:rsidTr="00C80665">
        <w:trPr>
          <w:trHeight w:val="420"/>
        </w:trPr>
        <w:tc>
          <w:tcPr>
            <w:tcW w:w="2520" w:type="dxa"/>
            <w:vMerge w:val="restart"/>
            <w:vAlign w:val="center"/>
            <w:hideMark/>
          </w:tcPr>
          <w:p w14:paraId="62D7E7E1" w14:textId="29441AE0" w:rsidR="005468FC" w:rsidRPr="00E11FFB" w:rsidRDefault="005468FC" w:rsidP="004A43DE">
            <w:pPr>
              <w:rPr>
                <w:rFonts w:ascii="Calibri" w:hAnsi="Calibri" w:cs="Calibri"/>
                <w:color w:val="000000"/>
                <w:sz w:val="16"/>
                <w:szCs w:val="16"/>
              </w:rPr>
            </w:pPr>
            <w:r w:rsidRPr="00E11FFB">
              <w:rPr>
                <w:rFonts w:ascii="Calibri" w:hAnsi="Calibri" w:cs="Calibri"/>
                <w:color w:val="000000"/>
                <w:sz w:val="16"/>
                <w:szCs w:val="16"/>
              </w:rPr>
              <w:t xml:space="preserve">Produit 5.1 (jalon 6 c) : Démontrer la mise en œuvre des obligations légales de réalisation des évaluations environnementales et sociales par les opérateurs exerçant dans les secteurs forêt, mines, hydrocarbures, agriculture, infrastructures et énergie, </w:t>
            </w:r>
            <w:r w:rsidR="004A43DE" w:rsidRPr="00E11FFB">
              <w:rPr>
                <w:rFonts w:ascii="Calibri" w:hAnsi="Calibri" w:cs="Calibri"/>
                <w:color w:val="000000"/>
                <w:sz w:val="16"/>
                <w:szCs w:val="16"/>
              </w:rPr>
              <w:t>etc.</w:t>
            </w:r>
          </w:p>
        </w:tc>
        <w:tc>
          <w:tcPr>
            <w:tcW w:w="1720" w:type="dxa"/>
            <w:vAlign w:val="center"/>
            <w:hideMark/>
          </w:tcPr>
          <w:p w14:paraId="0FE77B3B" w14:textId="77777777" w:rsidR="005468FC" w:rsidRPr="00E11FFB" w:rsidRDefault="005468FC" w:rsidP="003C3A56">
            <w:pPr>
              <w:rPr>
                <w:rFonts w:ascii="Calibri" w:hAnsi="Calibri" w:cs="Calibri"/>
                <w:color w:val="FF0000"/>
                <w:sz w:val="16"/>
                <w:szCs w:val="16"/>
              </w:rPr>
            </w:pPr>
            <w:r w:rsidRPr="00E11FFB">
              <w:rPr>
                <w:rFonts w:ascii="Calibri" w:hAnsi="Calibri" w:cs="Calibri"/>
                <w:color w:val="000000" w:themeColor="text1"/>
                <w:sz w:val="16"/>
                <w:szCs w:val="16"/>
              </w:rPr>
              <w:t xml:space="preserve">Arrêté interministériel publié </w:t>
            </w:r>
          </w:p>
        </w:tc>
        <w:tc>
          <w:tcPr>
            <w:tcW w:w="680" w:type="dxa"/>
            <w:noWrap/>
            <w:vAlign w:val="center"/>
            <w:hideMark/>
          </w:tcPr>
          <w:p w14:paraId="3E6F4DC4" w14:textId="77777777" w:rsidR="005468FC" w:rsidRPr="00E11FFB" w:rsidRDefault="005468FC" w:rsidP="003C3A56">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noWrap/>
            <w:vAlign w:val="center"/>
            <w:hideMark/>
          </w:tcPr>
          <w:p w14:paraId="4F072F0B" w14:textId="77777777" w:rsidR="005468FC" w:rsidRPr="00E11FFB" w:rsidRDefault="005468FC" w:rsidP="003C3A56">
            <w:pPr>
              <w:jc w:val="center"/>
              <w:rPr>
                <w:rFonts w:ascii="Calibri" w:hAnsi="Calibri" w:cs="Calibri"/>
                <w:color w:val="000000"/>
                <w:sz w:val="16"/>
                <w:szCs w:val="16"/>
              </w:rPr>
            </w:pPr>
            <w:r w:rsidRPr="00E11FFB">
              <w:rPr>
                <w:rFonts w:ascii="Calibri" w:hAnsi="Calibri" w:cs="Calibri"/>
                <w:color w:val="000000"/>
                <w:sz w:val="16"/>
                <w:szCs w:val="16"/>
              </w:rPr>
              <w:t>1</w:t>
            </w:r>
          </w:p>
        </w:tc>
        <w:tc>
          <w:tcPr>
            <w:tcW w:w="1200" w:type="dxa"/>
            <w:noWrap/>
            <w:vAlign w:val="center"/>
            <w:hideMark/>
          </w:tcPr>
          <w:p w14:paraId="61A4A6D7" w14:textId="40780715"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w:t>
            </w:r>
            <w:r w:rsidR="00840CA4" w:rsidRPr="00E11FFB">
              <w:rPr>
                <w:rFonts w:ascii="Calibri" w:hAnsi="Calibri" w:cs="Calibri"/>
                <w:color w:val="000000"/>
                <w:sz w:val="16"/>
                <w:szCs w:val="16"/>
              </w:rPr>
              <w:t xml:space="preserve">1 draft </w:t>
            </w:r>
          </w:p>
        </w:tc>
        <w:tc>
          <w:tcPr>
            <w:tcW w:w="1200" w:type="dxa"/>
            <w:noWrap/>
            <w:vAlign w:val="center"/>
            <w:hideMark/>
          </w:tcPr>
          <w:p w14:paraId="04A16AE3" w14:textId="77777777"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w:t>
            </w:r>
          </w:p>
        </w:tc>
        <w:tc>
          <w:tcPr>
            <w:tcW w:w="1480" w:type="dxa"/>
            <w:noWrap/>
            <w:vAlign w:val="center"/>
            <w:hideMark/>
          </w:tcPr>
          <w:p w14:paraId="3F8E45B4" w14:textId="77777777" w:rsidR="005468FC" w:rsidRPr="00E11FFB" w:rsidRDefault="005468FC" w:rsidP="003C3A56">
            <w:pPr>
              <w:jc w:val="center"/>
              <w:rPr>
                <w:rFonts w:ascii="Calibri" w:hAnsi="Calibri" w:cs="Calibri"/>
                <w:color w:val="000000"/>
                <w:sz w:val="16"/>
                <w:szCs w:val="16"/>
              </w:rPr>
            </w:pPr>
            <w:r w:rsidRPr="00E11FFB">
              <w:rPr>
                <w:rFonts w:ascii="Calibri" w:hAnsi="Calibri" w:cs="Calibri"/>
                <w:color w:val="000000"/>
                <w:sz w:val="16"/>
                <w:szCs w:val="16"/>
              </w:rPr>
              <w:t>1</w:t>
            </w:r>
          </w:p>
        </w:tc>
        <w:tc>
          <w:tcPr>
            <w:tcW w:w="1200" w:type="dxa"/>
            <w:noWrap/>
            <w:vAlign w:val="center"/>
            <w:hideMark/>
          </w:tcPr>
          <w:p w14:paraId="5014EFEB" w14:textId="77777777"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4E44E8EE" w14:textId="77777777"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44A8D524" w14:textId="2AB5F78A" w:rsidR="005468FC" w:rsidRPr="00E11FFB" w:rsidRDefault="005468FC" w:rsidP="003C3A56">
            <w:pPr>
              <w:rPr>
                <w:rFonts w:ascii="Calibri" w:hAnsi="Calibri" w:cs="Calibri"/>
                <w:color w:val="000000"/>
                <w:sz w:val="16"/>
                <w:szCs w:val="16"/>
              </w:rPr>
            </w:pPr>
            <w:r w:rsidRPr="00E11FFB">
              <w:rPr>
                <w:rFonts w:ascii="Calibri" w:hAnsi="Calibri" w:cs="Calibri"/>
                <w:color w:val="000000"/>
                <w:sz w:val="16"/>
                <w:szCs w:val="16"/>
              </w:rPr>
              <w:t> </w:t>
            </w:r>
            <w:r w:rsidR="00840CA4" w:rsidRPr="00E11FFB">
              <w:rPr>
                <w:rFonts w:ascii="Calibri" w:hAnsi="Calibri" w:cs="Calibri"/>
                <w:color w:val="000000"/>
                <w:sz w:val="16"/>
                <w:szCs w:val="16"/>
              </w:rPr>
              <w:t xml:space="preserve">Deux ateliers ont interministériels ont été organisés et un projet d’arrêté transmis aux autorités pour la prise d’acte. </w:t>
            </w:r>
          </w:p>
        </w:tc>
      </w:tr>
      <w:tr w:rsidR="00113681" w:rsidRPr="00E11FFB" w14:paraId="18840F2F" w14:textId="77777777" w:rsidTr="00C80665">
        <w:trPr>
          <w:trHeight w:val="1050"/>
        </w:trPr>
        <w:tc>
          <w:tcPr>
            <w:tcW w:w="2520" w:type="dxa"/>
            <w:vMerge/>
            <w:vAlign w:val="center"/>
            <w:hideMark/>
          </w:tcPr>
          <w:p w14:paraId="20EDFE86" w14:textId="77777777" w:rsidR="00840CA4" w:rsidRPr="00E11FFB" w:rsidRDefault="00840CA4" w:rsidP="00840CA4">
            <w:pPr>
              <w:rPr>
                <w:rFonts w:ascii="Calibri" w:hAnsi="Calibri" w:cs="Calibri"/>
                <w:color w:val="000000"/>
                <w:sz w:val="16"/>
                <w:szCs w:val="16"/>
              </w:rPr>
            </w:pPr>
          </w:p>
        </w:tc>
        <w:tc>
          <w:tcPr>
            <w:tcW w:w="1720" w:type="dxa"/>
            <w:shd w:val="clear" w:color="000000" w:fill="FFFFFF"/>
            <w:vAlign w:val="center"/>
            <w:hideMark/>
          </w:tcPr>
          <w:p w14:paraId="654A187E" w14:textId="767B633A"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Nombre de missions d’inspections, de contrôle et évaluation environnementale organisées ;</w:t>
            </w:r>
          </w:p>
        </w:tc>
        <w:tc>
          <w:tcPr>
            <w:tcW w:w="680" w:type="dxa"/>
            <w:noWrap/>
            <w:vAlign w:val="center"/>
            <w:hideMark/>
          </w:tcPr>
          <w:p w14:paraId="669A945B"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vAlign w:val="center"/>
            <w:hideMark/>
          </w:tcPr>
          <w:p w14:paraId="533A4731"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Au moins 15 missions d’inspections dans les PIREDD.</w:t>
            </w:r>
          </w:p>
        </w:tc>
        <w:tc>
          <w:tcPr>
            <w:tcW w:w="1200" w:type="dxa"/>
            <w:vAlign w:val="center"/>
            <w:hideMark/>
          </w:tcPr>
          <w:p w14:paraId="7DC9FE5C" w14:textId="40B6360A" w:rsidR="00840CA4" w:rsidRPr="00E11FFB" w:rsidRDefault="00ED6A5E" w:rsidP="00ED6A5E">
            <w:pPr>
              <w:jc w:val="center"/>
              <w:rPr>
                <w:rFonts w:ascii="Calibri" w:hAnsi="Calibri" w:cs="Calibri"/>
                <w:color w:val="000000"/>
                <w:sz w:val="16"/>
                <w:szCs w:val="16"/>
              </w:rPr>
            </w:pPr>
            <w:r w:rsidRPr="00E11FFB">
              <w:rPr>
                <w:rFonts w:ascii="Calibri" w:hAnsi="Calibri" w:cs="Calibri"/>
                <w:color w:val="000000"/>
                <w:sz w:val="16"/>
                <w:szCs w:val="16"/>
              </w:rPr>
              <w:t>1</w:t>
            </w:r>
          </w:p>
        </w:tc>
        <w:tc>
          <w:tcPr>
            <w:tcW w:w="1200" w:type="dxa"/>
            <w:vAlign w:val="center"/>
            <w:hideMark/>
          </w:tcPr>
          <w:p w14:paraId="49300E46" w14:textId="73AB24EA"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480" w:type="dxa"/>
            <w:vAlign w:val="center"/>
            <w:hideMark/>
          </w:tcPr>
          <w:p w14:paraId="53A08133"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xml:space="preserve">Au moins un total de 20 missions d’inspections dans les PIREDD. </w:t>
            </w:r>
          </w:p>
        </w:tc>
        <w:tc>
          <w:tcPr>
            <w:tcW w:w="1200" w:type="dxa"/>
            <w:noWrap/>
            <w:vAlign w:val="center"/>
            <w:hideMark/>
          </w:tcPr>
          <w:p w14:paraId="4F895F56"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641B4FF7"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06D79BE3" w14:textId="46FD34D1" w:rsidR="00840CA4" w:rsidRPr="00E11FFB" w:rsidRDefault="00ED6A5E" w:rsidP="00840CA4">
            <w:pPr>
              <w:rPr>
                <w:rFonts w:ascii="Calibri" w:hAnsi="Calibri" w:cs="Calibri"/>
                <w:color w:val="000000"/>
                <w:sz w:val="16"/>
                <w:szCs w:val="16"/>
                <w:highlight w:val="yellow"/>
              </w:rPr>
            </w:pPr>
            <w:r w:rsidRPr="00E11FFB">
              <w:rPr>
                <w:rFonts w:ascii="Calibri" w:hAnsi="Calibri" w:cs="Calibri"/>
                <w:color w:val="000000" w:themeColor="text1"/>
                <w:sz w:val="16"/>
                <w:szCs w:val="16"/>
              </w:rPr>
              <w:t xml:space="preserve">Le budget final prévu pour PAAJ a aligné </w:t>
            </w:r>
            <w:r w:rsidR="00323B61" w:rsidRPr="00E11FFB">
              <w:rPr>
                <w:rFonts w:ascii="Calibri" w:hAnsi="Calibri" w:cs="Calibri"/>
                <w:color w:val="000000" w:themeColor="text1"/>
                <w:sz w:val="16"/>
                <w:szCs w:val="16"/>
              </w:rPr>
              <w:t xml:space="preserve">uniquement </w:t>
            </w:r>
            <w:r w:rsidRPr="00E11FFB">
              <w:rPr>
                <w:rFonts w:ascii="Calibri" w:hAnsi="Calibri" w:cs="Calibri"/>
                <w:color w:val="000000" w:themeColor="text1"/>
                <w:sz w:val="16"/>
                <w:szCs w:val="16"/>
              </w:rPr>
              <w:t>2 missions</w:t>
            </w:r>
            <w:r w:rsidR="002F1617" w:rsidRPr="00E11FFB">
              <w:rPr>
                <w:rFonts w:ascii="Calibri" w:hAnsi="Calibri" w:cs="Calibri"/>
                <w:color w:val="000000" w:themeColor="text1"/>
                <w:sz w:val="16"/>
                <w:szCs w:val="16"/>
              </w:rPr>
              <w:t xml:space="preserve">. </w:t>
            </w:r>
          </w:p>
        </w:tc>
      </w:tr>
      <w:tr w:rsidR="00C80665" w:rsidRPr="00E11FFB" w14:paraId="45B181F9" w14:textId="77777777" w:rsidTr="00C80665">
        <w:trPr>
          <w:trHeight w:val="722"/>
        </w:trPr>
        <w:tc>
          <w:tcPr>
            <w:tcW w:w="2520" w:type="dxa"/>
            <w:vMerge/>
            <w:vAlign w:val="center"/>
            <w:hideMark/>
          </w:tcPr>
          <w:p w14:paraId="1D474F00" w14:textId="77777777" w:rsidR="00840CA4" w:rsidRPr="00E11FFB" w:rsidRDefault="00840CA4" w:rsidP="00840CA4">
            <w:pPr>
              <w:rPr>
                <w:rFonts w:ascii="Calibri" w:hAnsi="Calibri" w:cs="Calibri"/>
                <w:color w:val="000000"/>
                <w:sz w:val="16"/>
                <w:szCs w:val="16"/>
              </w:rPr>
            </w:pPr>
          </w:p>
        </w:tc>
        <w:tc>
          <w:tcPr>
            <w:tcW w:w="1720" w:type="dxa"/>
            <w:shd w:val="clear" w:color="000000" w:fill="FFFFFF"/>
            <w:vAlign w:val="center"/>
            <w:hideMark/>
          </w:tcPr>
          <w:p w14:paraId="53AE6D12"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Nombre de personnes formées,</w:t>
            </w:r>
          </w:p>
        </w:tc>
        <w:tc>
          <w:tcPr>
            <w:tcW w:w="680" w:type="dxa"/>
            <w:noWrap/>
            <w:vAlign w:val="center"/>
            <w:hideMark/>
          </w:tcPr>
          <w:p w14:paraId="659B1C9C"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vAlign w:val="center"/>
          </w:tcPr>
          <w:p w14:paraId="0AA57B0B" w14:textId="33C3289E" w:rsidR="00840CA4" w:rsidRPr="00E11FFB" w:rsidRDefault="00840CA4" w:rsidP="00840CA4">
            <w:pPr>
              <w:rPr>
                <w:rFonts w:ascii="Calibri" w:hAnsi="Calibri" w:cs="Calibri"/>
                <w:color w:val="000000"/>
                <w:sz w:val="16"/>
                <w:szCs w:val="16"/>
              </w:rPr>
            </w:pPr>
            <w:r w:rsidRPr="00E11FFB">
              <w:rPr>
                <w:rFonts w:ascii="Calibri" w:hAnsi="Calibri" w:cs="Calibri"/>
                <w:color w:val="000000" w:themeColor="text1"/>
                <w:sz w:val="16"/>
                <w:szCs w:val="16"/>
              </w:rPr>
              <w:t xml:space="preserve">A déterminer (3 mois à après le démarrage du projet) </w:t>
            </w:r>
          </w:p>
        </w:tc>
        <w:tc>
          <w:tcPr>
            <w:tcW w:w="1200" w:type="dxa"/>
            <w:vAlign w:val="center"/>
            <w:hideMark/>
          </w:tcPr>
          <w:p w14:paraId="096E1DD4" w14:textId="2FB0A6AF" w:rsidR="00840CA4" w:rsidRPr="00E11FFB" w:rsidRDefault="003E6111" w:rsidP="00037CB3">
            <w:pPr>
              <w:jc w:val="center"/>
              <w:rPr>
                <w:rFonts w:ascii="Calibri" w:hAnsi="Calibri" w:cs="Calibri"/>
                <w:color w:val="000000"/>
                <w:sz w:val="16"/>
                <w:szCs w:val="16"/>
              </w:rPr>
            </w:pPr>
            <w:r w:rsidRPr="00E11FFB">
              <w:rPr>
                <w:rFonts w:ascii="Calibri" w:hAnsi="Calibri" w:cs="Calibri"/>
                <w:color w:val="000000" w:themeColor="text1"/>
                <w:sz w:val="16"/>
                <w:szCs w:val="16"/>
              </w:rPr>
              <w:t>20</w:t>
            </w:r>
          </w:p>
        </w:tc>
        <w:tc>
          <w:tcPr>
            <w:tcW w:w="1200" w:type="dxa"/>
            <w:vAlign w:val="center"/>
            <w:hideMark/>
          </w:tcPr>
          <w:p w14:paraId="607B16C5"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480" w:type="dxa"/>
            <w:vAlign w:val="center"/>
          </w:tcPr>
          <w:p w14:paraId="6D256BB7" w14:textId="5DE84C47" w:rsidR="00840CA4" w:rsidRPr="00E11FFB" w:rsidRDefault="00840CA4" w:rsidP="00840CA4">
            <w:pPr>
              <w:rPr>
                <w:rFonts w:ascii="Calibri" w:hAnsi="Calibri" w:cs="Calibri"/>
                <w:color w:val="000000"/>
                <w:sz w:val="16"/>
                <w:szCs w:val="16"/>
              </w:rPr>
            </w:pPr>
            <w:r w:rsidRPr="00E11FFB">
              <w:rPr>
                <w:rFonts w:ascii="Calibri" w:hAnsi="Calibri" w:cs="Calibri"/>
                <w:color w:val="000000" w:themeColor="text1"/>
                <w:sz w:val="16"/>
                <w:szCs w:val="16"/>
              </w:rPr>
              <w:t xml:space="preserve">A déterminer (3 mois à après le démarrage du projet) </w:t>
            </w:r>
          </w:p>
        </w:tc>
        <w:tc>
          <w:tcPr>
            <w:tcW w:w="1200" w:type="dxa"/>
            <w:noWrap/>
            <w:vAlign w:val="center"/>
            <w:hideMark/>
          </w:tcPr>
          <w:p w14:paraId="4FA237C0"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1D41ACB9"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7B8C053A" w14:textId="4427787E" w:rsidR="00840CA4" w:rsidRPr="00E11FFB" w:rsidRDefault="003E6111" w:rsidP="00840CA4">
            <w:pPr>
              <w:rPr>
                <w:rFonts w:ascii="Calibri" w:hAnsi="Calibri" w:cs="Calibri"/>
                <w:color w:val="000000"/>
                <w:sz w:val="16"/>
                <w:szCs w:val="16"/>
              </w:rPr>
            </w:pPr>
            <w:r w:rsidRPr="00E11FFB">
              <w:rPr>
                <w:rFonts w:ascii="Calibri" w:hAnsi="Calibri" w:cs="Calibri"/>
                <w:color w:val="000000" w:themeColor="text1"/>
                <w:sz w:val="16"/>
                <w:szCs w:val="16"/>
              </w:rPr>
              <w:t>Le SG hydro a désigné 20 personnes pour la formation</w:t>
            </w:r>
          </w:p>
        </w:tc>
      </w:tr>
      <w:tr w:rsidR="00113681" w:rsidRPr="00E11FFB" w14:paraId="280F61B4" w14:textId="77777777" w:rsidTr="00C80665">
        <w:trPr>
          <w:trHeight w:val="840"/>
        </w:trPr>
        <w:tc>
          <w:tcPr>
            <w:tcW w:w="2520" w:type="dxa"/>
            <w:vMerge/>
            <w:vAlign w:val="center"/>
            <w:hideMark/>
          </w:tcPr>
          <w:p w14:paraId="45D409B2" w14:textId="77777777" w:rsidR="00840CA4" w:rsidRPr="00E11FFB" w:rsidRDefault="00840CA4" w:rsidP="00840CA4">
            <w:pPr>
              <w:rPr>
                <w:rFonts w:ascii="Calibri" w:hAnsi="Calibri" w:cs="Calibri"/>
                <w:color w:val="000000"/>
                <w:sz w:val="16"/>
                <w:szCs w:val="16"/>
              </w:rPr>
            </w:pPr>
          </w:p>
        </w:tc>
        <w:tc>
          <w:tcPr>
            <w:tcW w:w="1720" w:type="dxa"/>
            <w:shd w:val="clear" w:color="000000" w:fill="FFFFFF"/>
            <w:vAlign w:val="center"/>
            <w:hideMark/>
          </w:tcPr>
          <w:p w14:paraId="7284BC24"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Nombre de séances de formations réalisées, Nombre de provinces formées.</w:t>
            </w:r>
          </w:p>
        </w:tc>
        <w:tc>
          <w:tcPr>
            <w:tcW w:w="680" w:type="dxa"/>
            <w:noWrap/>
            <w:vAlign w:val="center"/>
            <w:hideMark/>
          </w:tcPr>
          <w:p w14:paraId="6932A00B"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vAlign w:val="center"/>
            <w:hideMark/>
          </w:tcPr>
          <w:p w14:paraId="5632C6A6" w14:textId="16D1D7A3"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xml:space="preserve">20 séances Au moins 10 provinces PIREDD   </w:t>
            </w:r>
          </w:p>
        </w:tc>
        <w:tc>
          <w:tcPr>
            <w:tcW w:w="1200" w:type="dxa"/>
            <w:vAlign w:val="center"/>
            <w:hideMark/>
          </w:tcPr>
          <w:p w14:paraId="74FBA36C" w14:textId="1127F452" w:rsidR="00840CA4" w:rsidRPr="00E11FFB" w:rsidRDefault="004A43DE" w:rsidP="00037CB3">
            <w:pPr>
              <w:jc w:val="center"/>
              <w:rPr>
                <w:rFonts w:ascii="Calibri" w:hAnsi="Calibri" w:cs="Calibri"/>
                <w:color w:val="000000"/>
                <w:sz w:val="16"/>
                <w:szCs w:val="16"/>
              </w:rPr>
            </w:pPr>
            <w:r w:rsidRPr="00E11FFB">
              <w:rPr>
                <w:rFonts w:ascii="Calibri" w:hAnsi="Calibri" w:cs="Calibri"/>
                <w:color w:val="000000"/>
                <w:sz w:val="16"/>
                <w:szCs w:val="16"/>
              </w:rPr>
              <w:t>4</w:t>
            </w:r>
          </w:p>
        </w:tc>
        <w:tc>
          <w:tcPr>
            <w:tcW w:w="1200" w:type="dxa"/>
            <w:vAlign w:val="center"/>
            <w:hideMark/>
          </w:tcPr>
          <w:p w14:paraId="74B94D42"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480" w:type="dxa"/>
            <w:vAlign w:val="center"/>
            <w:hideMark/>
          </w:tcPr>
          <w:p w14:paraId="03D5D3E4" w14:textId="59773B20"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xml:space="preserve">Au moins un total de 30 séances. Au moins 12 provinces PIREDD  </w:t>
            </w:r>
          </w:p>
        </w:tc>
        <w:tc>
          <w:tcPr>
            <w:tcW w:w="1200" w:type="dxa"/>
            <w:noWrap/>
            <w:vAlign w:val="center"/>
            <w:hideMark/>
          </w:tcPr>
          <w:p w14:paraId="3D2E8F7F"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3E43C16B"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48600E3F" w14:textId="1601CE60" w:rsidR="00840CA4" w:rsidRPr="00E11FFB" w:rsidRDefault="004A43DE" w:rsidP="00840CA4">
            <w:pPr>
              <w:rPr>
                <w:rFonts w:ascii="Calibri" w:hAnsi="Calibri" w:cs="Calibri"/>
                <w:color w:val="000000"/>
                <w:sz w:val="16"/>
                <w:szCs w:val="16"/>
              </w:rPr>
            </w:pPr>
            <w:r w:rsidRPr="00E11FFB">
              <w:rPr>
                <w:rFonts w:ascii="Calibri" w:hAnsi="Calibri" w:cs="Calibri"/>
                <w:color w:val="000000"/>
                <w:sz w:val="16"/>
                <w:szCs w:val="16"/>
              </w:rPr>
              <w:t>4</w:t>
            </w:r>
            <w:r w:rsidR="00511E03" w:rsidRPr="00E11FFB">
              <w:rPr>
                <w:rFonts w:ascii="Calibri" w:hAnsi="Calibri" w:cs="Calibri"/>
                <w:color w:val="000000"/>
                <w:sz w:val="16"/>
                <w:szCs w:val="16"/>
              </w:rPr>
              <w:t xml:space="preserve"> séances ont été organisées avec PAAJ </w:t>
            </w:r>
            <w:r w:rsidRPr="00E11FFB">
              <w:rPr>
                <w:rFonts w:ascii="Calibri" w:hAnsi="Calibri" w:cs="Calibri"/>
                <w:color w:val="000000"/>
                <w:sz w:val="16"/>
                <w:szCs w:val="16"/>
              </w:rPr>
              <w:t xml:space="preserve">du 22 au 25 septembre 2025. </w:t>
            </w:r>
          </w:p>
        </w:tc>
      </w:tr>
      <w:tr w:rsidR="00113681" w:rsidRPr="00E11FFB" w14:paraId="3D2428F4" w14:textId="77777777" w:rsidTr="00C80665">
        <w:trPr>
          <w:trHeight w:val="1064"/>
        </w:trPr>
        <w:tc>
          <w:tcPr>
            <w:tcW w:w="2520" w:type="dxa"/>
            <w:vMerge/>
            <w:vAlign w:val="center"/>
            <w:hideMark/>
          </w:tcPr>
          <w:p w14:paraId="7123EF8F" w14:textId="77777777" w:rsidR="00840CA4" w:rsidRPr="00E11FFB" w:rsidRDefault="00840CA4" w:rsidP="00840CA4">
            <w:pPr>
              <w:rPr>
                <w:rFonts w:ascii="Calibri" w:hAnsi="Calibri" w:cs="Calibri"/>
                <w:color w:val="000000"/>
                <w:sz w:val="16"/>
                <w:szCs w:val="16"/>
              </w:rPr>
            </w:pPr>
          </w:p>
        </w:tc>
        <w:tc>
          <w:tcPr>
            <w:tcW w:w="1720" w:type="dxa"/>
            <w:vAlign w:val="center"/>
            <w:hideMark/>
          </w:tcPr>
          <w:p w14:paraId="0AAA317F"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Nombre de personnes déclarant utiliser (ou utilisant) les outils et informations auxquels ils ont été formés un an après</w:t>
            </w:r>
          </w:p>
        </w:tc>
        <w:tc>
          <w:tcPr>
            <w:tcW w:w="680" w:type="dxa"/>
            <w:vAlign w:val="center"/>
            <w:hideMark/>
          </w:tcPr>
          <w:p w14:paraId="3E398205"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vAlign w:val="center"/>
            <w:hideMark/>
          </w:tcPr>
          <w:p w14:paraId="3F3DCC17" w14:textId="6E28304C"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xml:space="preserve">80 % des personnes formées </w:t>
            </w:r>
            <w:r w:rsidRPr="00E11FFB">
              <w:rPr>
                <w:rFonts w:ascii="Calibri" w:hAnsi="Calibri" w:cs="Calibri"/>
                <w:color w:val="000000"/>
                <w:sz w:val="16"/>
                <w:szCs w:val="16"/>
              </w:rPr>
              <w:br/>
            </w:r>
          </w:p>
        </w:tc>
        <w:tc>
          <w:tcPr>
            <w:tcW w:w="1200" w:type="dxa"/>
            <w:noWrap/>
            <w:vAlign w:val="center"/>
            <w:hideMark/>
          </w:tcPr>
          <w:p w14:paraId="40CB52C4" w14:textId="26F74DEF" w:rsidR="00840CA4" w:rsidRPr="00E11FFB" w:rsidRDefault="00511E03" w:rsidP="00037CB3">
            <w:pPr>
              <w:jc w:val="center"/>
              <w:rPr>
                <w:rFonts w:ascii="Calibri" w:hAnsi="Calibri" w:cs="Calibri"/>
                <w:color w:val="000000"/>
                <w:sz w:val="16"/>
                <w:szCs w:val="16"/>
              </w:rPr>
            </w:pPr>
            <w:r w:rsidRPr="00E11FFB">
              <w:rPr>
                <w:rFonts w:ascii="Calibri" w:hAnsi="Calibri" w:cs="Calibri"/>
                <w:color w:val="000000"/>
                <w:sz w:val="16"/>
                <w:szCs w:val="16"/>
              </w:rPr>
              <w:t>100%</w:t>
            </w:r>
          </w:p>
        </w:tc>
        <w:tc>
          <w:tcPr>
            <w:tcW w:w="1200" w:type="dxa"/>
            <w:noWrap/>
            <w:vAlign w:val="center"/>
            <w:hideMark/>
          </w:tcPr>
          <w:p w14:paraId="5332FCD2" w14:textId="2096CD33"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480" w:type="dxa"/>
            <w:vAlign w:val="center"/>
            <w:hideMark/>
          </w:tcPr>
          <w:p w14:paraId="6619F966" w14:textId="4E242B04"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xml:space="preserve">80 % des personnes formées </w:t>
            </w:r>
            <w:r w:rsidRPr="00E11FFB">
              <w:rPr>
                <w:rFonts w:ascii="Calibri" w:hAnsi="Calibri" w:cs="Calibri"/>
                <w:color w:val="000000"/>
                <w:sz w:val="16"/>
                <w:szCs w:val="16"/>
              </w:rPr>
              <w:br/>
            </w:r>
          </w:p>
        </w:tc>
        <w:tc>
          <w:tcPr>
            <w:tcW w:w="1200" w:type="dxa"/>
            <w:noWrap/>
            <w:vAlign w:val="center"/>
            <w:hideMark/>
          </w:tcPr>
          <w:p w14:paraId="0D81BA97"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44DFE1FC"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5BED640D" w14:textId="60667624" w:rsidR="00840CA4" w:rsidRPr="00E11FFB" w:rsidRDefault="00511E03" w:rsidP="00840CA4">
            <w:pPr>
              <w:rPr>
                <w:rFonts w:ascii="Calibri" w:hAnsi="Calibri" w:cs="Calibri"/>
                <w:color w:val="000000"/>
                <w:sz w:val="16"/>
                <w:szCs w:val="16"/>
              </w:rPr>
            </w:pPr>
            <w:r w:rsidRPr="00E11FFB">
              <w:rPr>
                <w:rFonts w:ascii="Calibri" w:hAnsi="Calibri" w:cs="Calibri"/>
                <w:color w:val="000000"/>
                <w:sz w:val="16"/>
                <w:szCs w:val="16"/>
              </w:rPr>
              <w:t xml:space="preserve">Pour l’année 2025, toutes les personnes formées utilisent les outils pour leur travail quotidien. </w:t>
            </w:r>
          </w:p>
        </w:tc>
      </w:tr>
      <w:tr w:rsidR="00840CA4" w:rsidRPr="00E11FFB" w14:paraId="34FD3321" w14:textId="77777777" w:rsidTr="00C80665">
        <w:trPr>
          <w:trHeight w:val="686"/>
        </w:trPr>
        <w:tc>
          <w:tcPr>
            <w:tcW w:w="2520" w:type="dxa"/>
            <w:vMerge w:val="restart"/>
            <w:vAlign w:val="center"/>
            <w:hideMark/>
          </w:tcPr>
          <w:p w14:paraId="7E2B86A1" w14:textId="1131B6A5"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Produit 5.2 (jalon 6 h) : Les contrats miniers et des hydrocarbures sont publiés</w:t>
            </w:r>
          </w:p>
        </w:tc>
        <w:tc>
          <w:tcPr>
            <w:tcW w:w="1720" w:type="dxa"/>
            <w:vAlign w:val="center"/>
            <w:hideMark/>
          </w:tcPr>
          <w:p w14:paraId="66D8DD3A" w14:textId="2C45B0F5" w:rsidR="00840CA4" w:rsidRPr="00E11FFB" w:rsidRDefault="00840CA4" w:rsidP="00840CA4">
            <w:pPr>
              <w:rPr>
                <w:rFonts w:ascii="Calibri" w:hAnsi="Calibri" w:cs="Calibri"/>
                <w:sz w:val="16"/>
                <w:szCs w:val="16"/>
              </w:rPr>
            </w:pPr>
            <w:r w:rsidRPr="00E11FFB">
              <w:rPr>
                <w:rFonts w:ascii="Calibri" w:hAnsi="Calibri" w:cs="Calibri"/>
                <w:sz w:val="16"/>
                <w:szCs w:val="16"/>
              </w:rPr>
              <w:t xml:space="preserve">Nombre de Site web du secteur des </w:t>
            </w:r>
            <w:r w:rsidR="003229C1" w:rsidRPr="00E11FFB">
              <w:rPr>
                <w:rFonts w:ascii="Calibri" w:hAnsi="Calibri" w:cs="Calibri"/>
                <w:sz w:val="16"/>
                <w:szCs w:val="16"/>
              </w:rPr>
              <w:t>hydrocarbures</w:t>
            </w:r>
            <w:r w:rsidRPr="00E11FFB">
              <w:rPr>
                <w:rFonts w:ascii="Calibri" w:hAnsi="Calibri" w:cs="Calibri"/>
                <w:sz w:val="16"/>
                <w:szCs w:val="16"/>
              </w:rPr>
              <w:t xml:space="preserve"> opérationnel</w:t>
            </w:r>
          </w:p>
        </w:tc>
        <w:tc>
          <w:tcPr>
            <w:tcW w:w="680" w:type="dxa"/>
            <w:vAlign w:val="center"/>
            <w:hideMark/>
          </w:tcPr>
          <w:p w14:paraId="28ABD4F6"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vAlign w:val="center"/>
            <w:hideMark/>
          </w:tcPr>
          <w:p w14:paraId="6315A181" w14:textId="3AF8BD81"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1 site web des secteurs des hydrocarbures opérationnel ; Au moins 2 contrats du secteur</w:t>
            </w:r>
            <w:r w:rsidR="008868FC" w:rsidRPr="00E11FFB">
              <w:rPr>
                <w:rFonts w:ascii="Calibri" w:hAnsi="Calibri" w:cs="Calibri"/>
                <w:color w:val="000000"/>
                <w:sz w:val="16"/>
                <w:szCs w:val="16"/>
              </w:rPr>
              <w:t xml:space="preserve"> </w:t>
            </w:r>
            <w:r w:rsidRPr="00E11FFB">
              <w:rPr>
                <w:rFonts w:ascii="Calibri" w:hAnsi="Calibri" w:cs="Calibri"/>
                <w:color w:val="000000"/>
                <w:sz w:val="16"/>
                <w:szCs w:val="16"/>
              </w:rPr>
              <w:t xml:space="preserve">publiés ; </w:t>
            </w:r>
          </w:p>
        </w:tc>
        <w:tc>
          <w:tcPr>
            <w:tcW w:w="1200" w:type="dxa"/>
            <w:noWrap/>
            <w:vAlign w:val="center"/>
            <w:hideMark/>
          </w:tcPr>
          <w:p w14:paraId="4FE1BE49" w14:textId="3E97EEDA" w:rsidR="00840CA4" w:rsidRPr="00E11FFB" w:rsidRDefault="003229C1" w:rsidP="00037CB3">
            <w:pPr>
              <w:jc w:val="center"/>
              <w:rPr>
                <w:rFonts w:ascii="Calibri" w:hAnsi="Calibri" w:cs="Calibri"/>
                <w:color w:val="000000"/>
                <w:sz w:val="16"/>
                <w:szCs w:val="16"/>
              </w:rPr>
            </w:pPr>
            <w:r w:rsidRPr="00E11FFB">
              <w:rPr>
                <w:rFonts w:ascii="Calibri" w:hAnsi="Calibri" w:cs="Calibri"/>
                <w:color w:val="000000"/>
                <w:sz w:val="16"/>
                <w:szCs w:val="16"/>
              </w:rPr>
              <w:t>2</w:t>
            </w:r>
          </w:p>
        </w:tc>
        <w:tc>
          <w:tcPr>
            <w:tcW w:w="1200" w:type="dxa"/>
            <w:noWrap/>
            <w:vAlign w:val="center"/>
            <w:hideMark/>
          </w:tcPr>
          <w:p w14:paraId="224DC9FE" w14:textId="4E75F50C"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r w:rsidR="007540E2" w:rsidRPr="00E11FFB">
              <w:rPr>
                <w:rFonts w:ascii="Calibri" w:hAnsi="Calibri" w:cs="Calibri"/>
                <w:color w:val="000000"/>
                <w:sz w:val="16"/>
                <w:szCs w:val="16"/>
              </w:rPr>
              <w:t>2</w:t>
            </w:r>
          </w:p>
        </w:tc>
        <w:tc>
          <w:tcPr>
            <w:tcW w:w="1480" w:type="dxa"/>
            <w:vAlign w:val="center"/>
            <w:hideMark/>
          </w:tcPr>
          <w:p w14:paraId="1D4AD617" w14:textId="18FBB88C"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2 sites web des secteurs</w:t>
            </w:r>
            <w:r w:rsidR="00E67D7A" w:rsidRPr="00E11FFB">
              <w:rPr>
                <w:rFonts w:ascii="Calibri" w:hAnsi="Calibri" w:cs="Calibri"/>
                <w:color w:val="000000"/>
                <w:sz w:val="16"/>
                <w:szCs w:val="16"/>
              </w:rPr>
              <w:t> ;</w:t>
            </w:r>
            <w:r w:rsidRPr="00E11FFB">
              <w:rPr>
                <w:rFonts w:ascii="Calibri" w:hAnsi="Calibri" w:cs="Calibri"/>
                <w:color w:val="000000"/>
                <w:sz w:val="16"/>
                <w:szCs w:val="16"/>
              </w:rPr>
              <w:t xml:space="preserve"> Au moins un total de 15 contrats du secteur publiés</w:t>
            </w:r>
          </w:p>
        </w:tc>
        <w:tc>
          <w:tcPr>
            <w:tcW w:w="1200" w:type="dxa"/>
            <w:noWrap/>
            <w:vAlign w:val="center"/>
            <w:hideMark/>
          </w:tcPr>
          <w:p w14:paraId="5B03E867"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3FF78C2A"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16C8EB72" w14:textId="6FF48BAD" w:rsidR="00840CA4" w:rsidRPr="00E11FFB" w:rsidRDefault="003229C1" w:rsidP="00840CA4">
            <w:pPr>
              <w:rPr>
                <w:rFonts w:ascii="Calibri" w:hAnsi="Calibri" w:cs="Calibri"/>
                <w:color w:val="000000"/>
                <w:sz w:val="16"/>
                <w:szCs w:val="16"/>
              </w:rPr>
            </w:pPr>
            <w:r w:rsidRPr="00E11FFB">
              <w:rPr>
                <w:rFonts w:ascii="Calibri" w:hAnsi="Calibri" w:cs="Calibri"/>
                <w:color w:val="000000"/>
                <w:sz w:val="16"/>
                <w:szCs w:val="16"/>
              </w:rPr>
              <w:t xml:space="preserve">2 sites </w:t>
            </w:r>
            <w:r w:rsidR="008868FC" w:rsidRPr="00E11FFB">
              <w:rPr>
                <w:rFonts w:ascii="Calibri" w:hAnsi="Calibri" w:cs="Calibri"/>
                <w:color w:val="000000"/>
                <w:sz w:val="16"/>
                <w:szCs w:val="16"/>
              </w:rPr>
              <w:t>fonctionnent</w:t>
            </w:r>
            <w:r w:rsidR="007540E2" w:rsidRPr="00E11FFB">
              <w:rPr>
                <w:rFonts w:ascii="Calibri" w:hAnsi="Calibri" w:cs="Calibri"/>
                <w:color w:val="000000"/>
                <w:sz w:val="16"/>
                <w:szCs w:val="16"/>
              </w:rPr>
              <w:t xml:space="preserve"> (site SG et site datawarehouse sur les contrats </w:t>
            </w:r>
            <w:r w:rsidR="00350A07" w:rsidRPr="00E11FFB">
              <w:rPr>
                <w:rFonts w:ascii="Calibri" w:hAnsi="Calibri" w:cs="Calibri"/>
                <w:color w:val="000000"/>
                <w:sz w:val="16"/>
                <w:szCs w:val="16"/>
              </w:rPr>
              <w:t>hydrocarbures</w:t>
            </w:r>
          </w:p>
        </w:tc>
      </w:tr>
      <w:tr w:rsidR="00840CA4" w:rsidRPr="00E11FFB" w14:paraId="7EA79198" w14:textId="77777777" w:rsidTr="00C80665">
        <w:trPr>
          <w:trHeight w:val="50"/>
        </w:trPr>
        <w:tc>
          <w:tcPr>
            <w:tcW w:w="2520" w:type="dxa"/>
            <w:vMerge/>
            <w:vAlign w:val="center"/>
            <w:hideMark/>
          </w:tcPr>
          <w:p w14:paraId="709F5419" w14:textId="77777777" w:rsidR="00840CA4" w:rsidRPr="00E11FFB" w:rsidRDefault="00840CA4" w:rsidP="00840CA4">
            <w:pPr>
              <w:rPr>
                <w:rFonts w:ascii="Calibri" w:hAnsi="Calibri" w:cs="Calibri"/>
                <w:color w:val="000000"/>
                <w:sz w:val="16"/>
                <w:szCs w:val="16"/>
              </w:rPr>
            </w:pPr>
          </w:p>
        </w:tc>
        <w:tc>
          <w:tcPr>
            <w:tcW w:w="1720" w:type="dxa"/>
            <w:vAlign w:val="center"/>
            <w:hideMark/>
          </w:tcPr>
          <w:p w14:paraId="2B6A3E7E" w14:textId="77777777" w:rsidR="00840CA4" w:rsidRPr="00E11FFB" w:rsidRDefault="00840CA4" w:rsidP="00840CA4">
            <w:pPr>
              <w:rPr>
                <w:rFonts w:ascii="Calibri" w:hAnsi="Calibri" w:cs="Calibri"/>
                <w:sz w:val="16"/>
                <w:szCs w:val="16"/>
              </w:rPr>
            </w:pPr>
            <w:r w:rsidRPr="00E11FFB">
              <w:rPr>
                <w:rFonts w:ascii="Calibri" w:hAnsi="Calibri" w:cs="Calibri"/>
                <w:sz w:val="16"/>
                <w:szCs w:val="16"/>
              </w:rPr>
              <w:t>Nombre de séances d’actualisation des données des entreprises, Banque des données.</w:t>
            </w:r>
          </w:p>
        </w:tc>
        <w:tc>
          <w:tcPr>
            <w:tcW w:w="680" w:type="dxa"/>
            <w:vAlign w:val="center"/>
            <w:hideMark/>
          </w:tcPr>
          <w:p w14:paraId="25EC218C"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0</w:t>
            </w:r>
          </w:p>
        </w:tc>
        <w:tc>
          <w:tcPr>
            <w:tcW w:w="1780" w:type="dxa"/>
            <w:vAlign w:val="center"/>
            <w:hideMark/>
          </w:tcPr>
          <w:p w14:paraId="6ECFAD0E" w14:textId="77777777" w:rsidR="00840CA4" w:rsidRPr="00E11FFB" w:rsidRDefault="00840CA4" w:rsidP="00840CA4">
            <w:pPr>
              <w:jc w:val="center"/>
              <w:rPr>
                <w:rFonts w:ascii="Calibri" w:hAnsi="Calibri" w:cs="Calibri"/>
                <w:color w:val="000000"/>
                <w:sz w:val="16"/>
                <w:szCs w:val="16"/>
              </w:rPr>
            </w:pPr>
            <w:r w:rsidRPr="00E11FFB">
              <w:rPr>
                <w:rFonts w:ascii="Calibri" w:hAnsi="Calibri" w:cs="Calibri"/>
                <w:color w:val="000000"/>
                <w:sz w:val="16"/>
                <w:szCs w:val="16"/>
              </w:rPr>
              <w:t xml:space="preserve">Banque des données actualisées du secteur des mines </w:t>
            </w:r>
          </w:p>
        </w:tc>
        <w:tc>
          <w:tcPr>
            <w:tcW w:w="1200" w:type="dxa"/>
            <w:noWrap/>
            <w:vAlign w:val="center"/>
            <w:hideMark/>
          </w:tcPr>
          <w:p w14:paraId="302EF0F1" w14:textId="5B324F1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r w:rsidR="00B41FB2" w:rsidRPr="00E11FFB">
              <w:rPr>
                <w:rFonts w:ascii="Calibri" w:hAnsi="Calibri" w:cs="Calibri"/>
                <w:color w:val="000000"/>
                <w:sz w:val="16"/>
                <w:szCs w:val="16"/>
              </w:rPr>
              <w:t xml:space="preserve">Une actualisation </w:t>
            </w:r>
          </w:p>
        </w:tc>
        <w:tc>
          <w:tcPr>
            <w:tcW w:w="1200" w:type="dxa"/>
            <w:noWrap/>
            <w:vAlign w:val="center"/>
            <w:hideMark/>
          </w:tcPr>
          <w:p w14:paraId="13DE14F6"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480" w:type="dxa"/>
            <w:vAlign w:val="center"/>
            <w:hideMark/>
          </w:tcPr>
          <w:p w14:paraId="49D6D8D0"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Banque des données actualisées du secteur des mines e</w:t>
            </w:r>
          </w:p>
        </w:tc>
        <w:tc>
          <w:tcPr>
            <w:tcW w:w="1200" w:type="dxa"/>
            <w:noWrap/>
            <w:vAlign w:val="center"/>
            <w:hideMark/>
          </w:tcPr>
          <w:p w14:paraId="52488D49"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995" w:type="dxa"/>
            <w:noWrap/>
            <w:vAlign w:val="center"/>
            <w:hideMark/>
          </w:tcPr>
          <w:p w14:paraId="44610EAC"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c>
          <w:tcPr>
            <w:tcW w:w="1845" w:type="dxa"/>
            <w:noWrap/>
            <w:vAlign w:val="center"/>
            <w:hideMark/>
          </w:tcPr>
          <w:p w14:paraId="5A7CBE90"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 </w:t>
            </w:r>
          </w:p>
        </w:tc>
      </w:tr>
      <w:tr w:rsidR="00840CA4" w:rsidRPr="00E11FFB" w14:paraId="459B2338" w14:textId="77777777" w:rsidTr="002F5EBB">
        <w:trPr>
          <w:trHeight w:val="417"/>
        </w:trPr>
        <w:tc>
          <w:tcPr>
            <w:tcW w:w="2520" w:type="dxa"/>
            <w:vMerge w:val="restart"/>
            <w:vAlign w:val="center"/>
            <w:hideMark/>
          </w:tcPr>
          <w:p w14:paraId="7D897B03" w14:textId="77777777" w:rsidR="00840CA4" w:rsidRPr="00E11FFB" w:rsidRDefault="00840CA4" w:rsidP="00840CA4">
            <w:pPr>
              <w:rPr>
                <w:rFonts w:ascii="Calibri" w:hAnsi="Calibri" w:cs="Calibri"/>
                <w:color w:val="000000"/>
                <w:sz w:val="16"/>
                <w:szCs w:val="16"/>
              </w:rPr>
            </w:pPr>
            <w:r w:rsidRPr="00E11FFB">
              <w:rPr>
                <w:rFonts w:ascii="Calibri" w:hAnsi="Calibri" w:cs="Calibri"/>
                <w:color w:val="000000"/>
                <w:sz w:val="16"/>
                <w:szCs w:val="16"/>
              </w:rPr>
              <w:t>Produit 5.3 (jalon 6 g) : Les Normes REDD+ sont élaborées de manière participative, adoptées dans le Manuel d'Opérations et de procédures des évaluations environnementales et sociales, assorties d'un mécanisme d'audit indépendant</w:t>
            </w:r>
          </w:p>
        </w:tc>
        <w:tc>
          <w:tcPr>
            <w:tcW w:w="1720" w:type="dxa"/>
            <w:vAlign w:val="center"/>
            <w:hideMark/>
          </w:tcPr>
          <w:p w14:paraId="1E41199A" w14:textId="77777777" w:rsidR="00840CA4" w:rsidRPr="00E11FFB" w:rsidRDefault="00840CA4" w:rsidP="00840CA4">
            <w:pPr>
              <w:rPr>
                <w:rFonts w:ascii="Calibri" w:hAnsi="Calibri" w:cs="Calibri"/>
                <w:sz w:val="16"/>
                <w:szCs w:val="16"/>
              </w:rPr>
            </w:pPr>
            <w:r w:rsidRPr="00E11FFB">
              <w:rPr>
                <w:rFonts w:ascii="Calibri" w:hAnsi="Calibri" w:cs="Calibri"/>
                <w:sz w:val="16"/>
                <w:szCs w:val="16"/>
              </w:rPr>
              <w:t xml:space="preserve">Plan National des hydrocarbures </w:t>
            </w:r>
            <w:r w:rsidRPr="00E11FFB">
              <w:rPr>
                <w:rFonts w:ascii="Calibri" w:hAnsi="Calibri" w:cs="Calibri"/>
                <w:sz w:val="16"/>
                <w:szCs w:val="16"/>
              </w:rPr>
              <w:br/>
              <w:t xml:space="preserve">élaborée et promulguée. </w:t>
            </w:r>
          </w:p>
        </w:tc>
        <w:tc>
          <w:tcPr>
            <w:tcW w:w="680" w:type="dxa"/>
            <w:noWrap/>
            <w:vAlign w:val="center"/>
            <w:hideMark/>
          </w:tcPr>
          <w:p w14:paraId="427FF7FF" w14:textId="77777777" w:rsidR="00840CA4" w:rsidRPr="00E11FFB" w:rsidRDefault="00840CA4" w:rsidP="00840CA4">
            <w:pPr>
              <w:jc w:val="center"/>
              <w:rPr>
                <w:rFonts w:ascii="Calibri" w:hAnsi="Calibri" w:cs="Calibri"/>
                <w:sz w:val="16"/>
                <w:szCs w:val="16"/>
              </w:rPr>
            </w:pPr>
            <w:r w:rsidRPr="00E11FFB">
              <w:rPr>
                <w:rFonts w:ascii="Calibri" w:hAnsi="Calibri" w:cs="Calibri"/>
                <w:sz w:val="16"/>
                <w:szCs w:val="16"/>
              </w:rPr>
              <w:t>0</w:t>
            </w:r>
          </w:p>
        </w:tc>
        <w:tc>
          <w:tcPr>
            <w:tcW w:w="1780" w:type="dxa"/>
            <w:vAlign w:val="center"/>
            <w:hideMark/>
          </w:tcPr>
          <w:p w14:paraId="4259BD51" w14:textId="19A15CC4" w:rsidR="00840CA4" w:rsidRPr="00E11FFB" w:rsidRDefault="00840CA4" w:rsidP="009E4F66">
            <w:pPr>
              <w:rPr>
                <w:rFonts w:ascii="Calibri" w:hAnsi="Calibri" w:cs="Calibri"/>
                <w:sz w:val="16"/>
                <w:szCs w:val="16"/>
              </w:rPr>
            </w:pPr>
            <w:r w:rsidRPr="00E11FFB">
              <w:rPr>
                <w:rFonts w:ascii="Calibri" w:hAnsi="Calibri" w:cs="Calibri"/>
                <w:sz w:val="16"/>
                <w:szCs w:val="16"/>
              </w:rPr>
              <w:t xml:space="preserve">Un draft du Plan National du </w:t>
            </w:r>
            <w:r w:rsidRPr="00E11FFB">
              <w:rPr>
                <w:rFonts w:ascii="Calibri" w:hAnsi="Calibri" w:cs="Calibri"/>
                <w:sz w:val="16"/>
                <w:szCs w:val="16"/>
              </w:rPr>
              <w:br/>
              <w:t xml:space="preserve">secteur des </w:t>
            </w:r>
            <w:r w:rsidRPr="00E11FFB">
              <w:rPr>
                <w:rFonts w:ascii="Calibri" w:hAnsi="Calibri" w:cs="Calibri"/>
                <w:sz w:val="16"/>
                <w:szCs w:val="16"/>
              </w:rPr>
              <w:br/>
              <w:t>Hydrocarbures élaboré.</w:t>
            </w:r>
          </w:p>
        </w:tc>
        <w:tc>
          <w:tcPr>
            <w:tcW w:w="1200" w:type="dxa"/>
            <w:noWrap/>
            <w:vAlign w:val="center"/>
            <w:hideMark/>
          </w:tcPr>
          <w:p w14:paraId="07C09170" w14:textId="41873C75" w:rsidR="00840CA4" w:rsidRPr="00E11FFB" w:rsidRDefault="007540E2" w:rsidP="00840CA4">
            <w:pPr>
              <w:jc w:val="center"/>
              <w:rPr>
                <w:rFonts w:ascii="Calibri" w:hAnsi="Calibri" w:cs="Calibri"/>
                <w:sz w:val="16"/>
                <w:szCs w:val="16"/>
                <w:highlight w:val="yellow"/>
              </w:rPr>
            </w:pPr>
            <w:r w:rsidRPr="00E11FFB">
              <w:rPr>
                <w:rFonts w:ascii="Calibri" w:hAnsi="Calibri" w:cs="Calibri"/>
                <w:sz w:val="16"/>
                <w:szCs w:val="16"/>
              </w:rPr>
              <w:t>1 draft produit</w:t>
            </w:r>
          </w:p>
        </w:tc>
        <w:tc>
          <w:tcPr>
            <w:tcW w:w="1200" w:type="dxa"/>
            <w:noWrap/>
            <w:vAlign w:val="center"/>
            <w:hideMark/>
          </w:tcPr>
          <w:p w14:paraId="01983455" w14:textId="1BFAF36C" w:rsidR="00840CA4" w:rsidRPr="00E11FFB" w:rsidRDefault="00840CA4" w:rsidP="00840CA4">
            <w:pPr>
              <w:jc w:val="center"/>
              <w:rPr>
                <w:rFonts w:ascii="Calibri" w:hAnsi="Calibri" w:cs="Calibri"/>
                <w:sz w:val="16"/>
                <w:szCs w:val="16"/>
              </w:rPr>
            </w:pPr>
          </w:p>
        </w:tc>
        <w:tc>
          <w:tcPr>
            <w:tcW w:w="1480" w:type="dxa"/>
            <w:vAlign w:val="center"/>
            <w:hideMark/>
          </w:tcPr>
          <w:p w14:paraId="471C4EA9" w14:textId="05592CB6" w:rsidR="00840CA4" w:rsidRPr="00E11FFB" w:rsidRDefault="00840CA4" w:rsidP="00840CA4">
            <w:pPr>
              <w:jc w:val="center"/>
              <w:rPr>
                <w:rFonts w:ascii="Calibri" w:hAnsi="Calibri" w:cs="Calibri"/>
                <w:sz w:val="16"/>
                <w:szCs w:val="16"/>
              </w:rPr>
            </w:pPr>
            <w:r w:rsidRPr="00E11FFB">
              <w:rPr>
                <w:rFonts w:ascii="Calibri" w:hAnsi="Calibri" w:cs="Calibri"/>
                <w:sz w:val="16"/>
                <w:szCs w:val="16"/>
              </w:rPr>
              <w:t>Un Plan National du secteur des Hydrocarbures promulguée.</w:t>
            </w:r>
          </w:p>
        </w:tc>
        <w:tc>
          <w:tcPr>
            <w:tcW w:w="1200" w:type="dxa"/>
            <w:noWrap/>
            <w:vAlign w:val="center"/>
            <w:hideMark/>
          </w:tcPr>
          <w:p w14:paraId="24028290" w14:textId="77777777" w:rsidR="00840CA4" w:rsidRPr="00E11FFB" w:rsidRDefault="00840CA4" w:rsidP="00840CA4">
            <w:pPr>
              <w:rPr>
                <w:rFonts w:ascii="Calibri" w:hAnsi="Calibri" w:cs="Calibri"/>
                <w:sz w:val="16"/>
                <w:szCs w:val="16"/>
              </w:rPr>
            </w:pPr>
            <w:r w:rsidRPr="00E11FFB">
              <w:rPr>
                <w:rFonts w:ascii="Calibri" w:hAnsi="Calibri" w:cs="Calibri"/>
                <w:sz w:val="16"/>
                <w:szCs w:val="16"/>
              </w:rPr>
              <w:t> </w:t>
            </w:r>
          </w:p>
        </w:tc>
        <w:tc>
          <w:tcPr>
            <w:tcW w:w="995" w:type="dxa"/>
            <w:noWrap/>
            <w:vAlign w:val="center"/>
            <w:hideMark/>
          </w:tcPr>
          <w:p w14:paraId="0F57931A" w14:textId="77777777" w:rsidR="00840CA4" w:rsidRPr="00E11FFB" w:rsidRDefault="00840CA4" w:rsidP="00840CA4">
            <w:pPr>
              <w:rPr>
                <w:rFonts w:ascii="Calibri" w:hAnsi="Calibri" w:cs="Calibri"/>
                <w:sz w:val="16"/>
                <w:szCs w:val="16"/>
              </w:rPr>
            </w:pPr>
            <w:r w:rsidRPr="00E11FFB">
              <w:rPr>
                <w:rFonts w:ascii="Calibri" w:hAnsi="Calibri" w:cs="Calibri"/>
                <w:sz w:val="16"/>
                <w:szCs w:val="16"/>
              </w:rPr>
              <w:t> </w:t>
            </w:r>
          </w:p>
        </w:tc>
        <w:tc>
          <w:tcPr>
            <w:tcW w:w="1845" w:type="dxa"/>
            <w:noWrap/>
            <w:vAlign w:val="center"/>
            <w:hideMark/>
          </w:tcPr>
          <w:p w14:paraId="2DB2F62F" w14:textId="77777777" w:rsidR="00840CA4" w:rsidRPr="00E11FFB" w:rsidRDefault="00840CA4" w:rsidP="00840CA4">
            <w:pPr>
              <w:rPr>
                <w:rFonts w:ascii="Calibri" w:hAnsi="Calibri" w:cs="Calibri"/>
                <w:sz w:val="16"/>
                <w:szCs w:val="16"/>
              </w:rPr>
            </w:pPr>
            <w:r w:rsidRPr="00E11FFB">
              <w:rPr>
                <w:rFonts w:ascii="Calibri" w:hAnsi="Calibri" w:cs="Calibri"/>
                <w:sz w:val="16"/>
                <w:szCs w:val="16"/>
              </w:rPr>
              <w:t> </w:t>
            </w:r>
          </w:p>
        </w:tc>
      </w:tr>
      <w:tr w:rsidR="00840CA4" w:rsidRPr="00E11FFB" w14:paraId="422B5BBE" w14:textId="77777777" w:rsidTr="00C80665">
        <w:trPr>
          <w:trHeight w:val="832"/>
        </w:trPr>
        <w:tc>
          <w:tcPr>
            <w:tcW w:w="2520" w:type="dxa"/>
            <w:vMerge/>
            <w:vAlign w:val="center"/>
          </w:tcPr>
          <w:p w14:paraId="750FBA50" w14:textId="77777777" w:rsidR="00840CA4" w:rsidRPr="00E11FFB" w:rsidRDefault="00840CA4" w:rsidP="00840CA4">
            <w:pPr>
              <w:rPr>
                <w:rFonts w:ascii="Calibri" w:hAnsi="Calibri" w:cs="Calibri"/>
                <w:color w:val="000000"/>
                <w:sz w:val="16"/>
                <w:szCs w:val="16"/>
              </w:rPr>
            </w:pPr>
          </w:p>
        </w:tc>
        <w:tc>
          <w:tcPr>
            <w:tcW w:w="1720" w:type="dxa"/>
            <w:vAlign w:val="center"/>
          </w:tcPr>
          <w:p w14:paraId="776B7F27" w14:textId="16E8F357" w:rsidR="00840CA4" w:rsidRPr="00E11FFB" w:rsidRDefault="00840CA4" w:rsidP="00840CA4">
            <w:pPr>
              <w:rPr>
                <w:rFonts w:ascii="Calibri" w:hAnsi="Calibri" w:cs="Calibri"/>
                <w:sz w:val="16"/>
                <w:szCs w:val="16"/>
              </w:rPr>
            </w:pPr>
            <w:r w:rsidRPr="00E11FFB">
              <w:rPr>
                <w:rFonts w:ascii="Calibri" w:hAnsi="Calibri" w:cs="Calibri"/>
                <w:sz w:val="16"/>
                <w:szCs w:val="16"/>
              </w:rPr>
              <w:t>Accompagnement du projet sur les normes des secteurs des mines (appui aux réunions). La Norme est publiée</w:t>
            </w:r>
          </w:p>
        </w:tc>
        <w:tc>
          <w:tcPr>
            <w:tcW w:w="680" w:type="dxa"/>
            <w:noWrap/>
            <w:vAlign w:val="center"/>
          </w:tcPr>
          <w:p w14:paraId="71F9F12D" w14:textId="321E80AF" w:rsidR="00840CA4" w:rsidRPr="00E11FFB" w:rsidRDefault="00F74540" w:rsidP="00840CA4">
            <w:pPr>
              <w:jc w:val="center"/>
              <w:rPr>
                <w:rFonts w:ascii="Calibri" w:hAnsi="Calibri" w:cs="Calibri"/>
                <w:sz w:val="16"/>
                <w:szCs w:val="16"/>
              </w:rPr>
            </w:pPr>
            <w:r w:rsidRPr="00E11FFB">
              <w:rPr>
                <w:rFonts w:ascii="Calibri" w:hAnsi="Calibri" w:cs="Calibri"/>
                <w:sz w:val="16"/>
                <w:szCs w:val="16"/>
              </w:rPr>
              <w:t>0</w:t>
            </w:r>
          </w:p>
        </w:tc>
        <w:tc>
          <w:tcPr>
            <w:tcW w:w="1780" w:type="dxa"/>
            <w:vAlign w:val="center"/>
          </w:tcPr>
          <w:p w14:paraId="1CA64ED9" w14:textId="01CC1FF5" w:rsidR="00840CA4" w:rsidRPr="00E11FFB" w:rsidRDefault="00840CA4" w:rsidP="00840CA4">
            <w:pPr>
              <w:jc w:val="center"/>
              <w:rPr>
                <w:rFonts w:ascii="Calibri" w:hAnsi="Calibri" w:cs="Calibri"/>
                <w:sz w:val="16"/>
                <w:szCs w:val="16"/>
              </w:rPr>
            </w:pPr>
            <w:r w:rsidRPr="00E11FFB">
              <w:rPr>
                <w:rFonts w:ascii="Calibri" w:hAnsi="Calibri" w:cs="Calibri"/>
                <w:sz w:val="16"/>
                <w:szCs w:val="16"/>
              </w:rPr>
              <w:t>1</w:t>
            </w:r>
          </w:p>
        </w:tc>
        <w:tc>
          <w:tcPr>
            <w:tcW w:w="1200" w:type="dxa"/>
            <w:noWrap/>
            <w:vAlign w:val="center"/>
          </w:tcPr>
          <w:p w14:paraId="332BAC48" w14:textId="2F1AFA8E" w:rsidR="00840CA4" w:rsidRPr="00E11FFB" w:rsidRDefault="00342FA0" w:rsidP="00840CA4">
            <w:pPr>
              <w:jc w:val="center"/>
              <w:rPr>
                <w:rFonts w:ascii="Calibri" w:hAnsi="Calibri" w:cs="Calibri"/>
                <w:sz w:val="16"/>
                <w:szCs w:val="16"/>
              </w:rPr>
            </w:pPr>
            <w:r w:rsidRPr="00E11FFB">
              <w:rPr>
                <w:rFonts w:ascii="Calibri" w:hAnsi="Calibri" w:cs="Calibri"/>
                <w:sz w:val="16"/>
                <w:szCs w:val="16"/>
              </w:rPr>
              <w:t>4</w:t>
            </w:r>
          </w:p>
        </w:tc>
        <w:tc>
          <w:tcPr>
            <w:tcW w:w="1200" w:type="dxa"/>
            <w:noWrap/>
            <w:vAlign w:val="center"/>
          </w:tcPr>
          <w:p w14:paraId="2D7D0AA4" w14:textId="77777777" w:rsidR="00840CA4" w:rsidRPr="00E11FFB" w:rsidRDefault="00840CA4" w:rsidP="00840CA4">
            <w:pPr>
              <w:jc w:val="center"/>
              <w:rPr>
                <w:rFonts w:ascii="Calibri" w:hAnsi="Calibri" w:cs="Calibri"/>
                <w:sz w:val="16"/>
                <w:szCs w:val="16"/>
              </w:rPr>
            </w:pPr>
          </w:p>
        </w:tc>
        <w:tc>
          <w:tcPr>
            <w:tcW w:w="1480" w:type="dxa"/>
            <w:vAlign w:val="center"/>
          </w:tcPr>
          <w:p w14:paraId="310E102B" w14:textId="0EF2BB32" w:rsidR="00840CA4" w:rsidRPr="00E11FFB" w:rsidRDefault="00840CA4" w:rsidP="00840CA4">
            <w:pPr>
              <w:jc w:val="center"/>
              <w:rPr>
                <w:rFonts w:ascii="Calibri" w:hAnsi="Calibri" w:cs="Calibri"/>
                <w:sz w:val="16"/>
                <w:szCs w:val="16"/>
              </w:rPr>
            </w:pPr>
            <w:r w:rsidRPr="00E11FFB">
              <w:rPr>
                <w:rFonts w:ascii="Calibri" w:hAnsi="Calibri" w:cs="Calibri"/>
                <w:sz w:val="16"/>
                <w:szCs w:val="16"/>
              </w:rPr>
              <w:t>1</w:t>
            </w:r>
          </w:p>
        </w:tc>
        <w:tc>
          <w:tcPr>
            <w:tcW w:w="1200" w:type="dxa"/>
            <w:noWrap/>
            <w:vAlign w:val="center"/>
          </w:tcPr>
          <w:p w14:paraId="038F0C41" w14:textId="77777777" w:rsidR="00840CA4" w:rsidRPr="00E11FFB" w:rsidRDefault="00840CA4" w:rsidP="00840CA4">
            <w:pPr>
              <w:rPr>
                <w:rFonts w:ascii="Calibri" w:hAnsi="Calibri" w:cs="Calibri"/>
                <w:sz w:val="16"/>
                <w:szCs w:val="16"/>
              </w:rPr>
            </w:pPr>
          </w:p>
        </w:tc>
        <w:tc>
          <w:tcPr>
            <w:tcW w:w="995" w:type="dxa"/>
            <w:noWrap/>
            <w:vAlign w:val="center"/>
          </w:tcPr>
          <w:p w14:paraId="21D5C9CB" w14:textId="77777777" w:rsidR="00840CA4" w:rsidRPr="00E11FFB" w:rsidRDefault="00840CA4" w:rsidP="00840CA4">
            <w:pPr>
              <w:rPr>
                <w:rFonts w:ascii="Calibri" w:hAnsi="Calibri" w:cs="Calibri"/>
                <w:sz w:val="16"/>
                <w:szCs w:val="16"/>
              </w:rPr>
            </w:pPr>
          </w:p>
        </w:tc>
        <w:tc>
          <w:tcPr>
            <w:tcW w:w="1845" w:type="dxa"/>
            <w:noWrap/>
            <w:vAlign w:val="center"/>
          </w:tcPr>
          <w:p w14:paraId="21AB42B8" w14:textId="76A54F08" w:rsidR="00840CA4" w:rsidRPr="00E11FFB" w:rsidRDefault="00C80665" w:rsidP="00840CA4">
            <w:pPr>
              <w:rPr>
                <w:rFonts w:ascii="Calibri" w:hAnsi="Calibri" w:cs="Calibri"/>
                <w:sz w:val="16"/>
                <w:szCs w:val="16"/>
              </w:rPr>
            </w:pPr>
            <w:r w:rsidRPr="00E11FFB">
              <w:rPr>
                <w:rFonts w:ascii="Calibri" w:hAnsi="Calibri" w:cs="Calibri"/>
                <w:sz w:val="16"/>
                <w:szCs w:val="16"/>
              </w:rPr>
              <w:t xml:space="preserve">Les réunions d’harmonisation entre le projet normes et le PAAJ pour l’élaboration du PNH et la mutualisation des actions. </w:t>
            </w:r>
          </w:p>
        </w:tc>
      </w:tr>
      <w:tr w:rsidR="00113681" w:rsidRPr="00E11FFB" w14:paraId="38629EBA" w14:textId="77777777" w:rsidTr="002142A2">
        <w:trPr>
          <w:trHeight w:val="1260"/>
        </w:trPr>
        <w:tc>
          <w:tcPr>
            <w:tcW w:w="2520" w:type="dxa"/>
            <w:vMerge w:val="restart"/>
            <w:hideMark/>
          </w:tcPr>
          <w:p w14:paraId="36B41E8D" w14:textId="77777777" w:rsidR="00113681" w:rsidRPr="00E11FFB" w:rsidRDefault="00113681" w:rsidP="00840CA4">
            <w:pPr>
              <w:rPr>
                <w:rFonts w:ascii="Calibri" w:hAnsi="Calibri" w:cs="Calibri"/>
                <w:color w:val="000000"/>
                <w:sz w:val="16"/>
                <w:szCs w:val="16"/>
              </w:rPr>
            </w:pPr>
            <w:r w:rsidRPr="00E11FFB">
              <w:rPr>
                <w:rFonts w:ascii="Avenir" w:eastAsia="Avenir" w:hAnsi="Avenir" w:cs="Avenir"/>
                <w:color w:val="000000"/>
                <w:sz w:val="16"/>
                <w:szCs w:val="16"/>
              </w:rPr>
              <w:t>Renforcer la transparence, la communication et de la coordination dans la mise en œuvre du projet</w:t>
            </w:r>
          </w:p>
          <w:p w14:paraId="3704E928" w14:textId="77777777" w:rsidR="00113681" w:rsidRPr="00E11FFB" w:rsidRDefault="00113681" w:rsidP="00840CA4">
            <w:pPr>
              <w:rPr>
                <w:rFonts w:ascii="Calibri" w:hAnsi="Calibri" w:cs="Calibri"/>
                <w:color w:val="000000"/>
                <w:sz w:val="16"/>
                <w:szCs w:val="16"/>
              </w:rPr>
            </w:pPr>
            <w:r w:rsidRPr="00E11FFB">
              <w:rPr>
                <w:rFonts w:ascii="Calibri" w:hAnsi="Calibri" w:cs="Calibri"/>
                <w:color w:val="000000"/>
                <w:sz w:val="16"/>
                <w:szCs w:val="16"/>
              </w:rPr>
              <w:t> </w:t>
            </w:r>
          </w:p>
          <w:p w14:paraId="6BA2F362" w14:textId="52716684" w:rsidR="00113681" w:rsidRPr="00E11FFB" w:rsidRDefault="00113681" w:rsidP="003A6DE1">
            <w:pPr>
              <w:rPr>
                <w:rFonts w:ascii="Calibri" w:hAnsi="Calibri" w:cs="Calibri"/>
                <w:color w:val="000000"/>
                <w:sz w:val="16"/>
                <w:szCs w:val="16"/>
              </w:rPr>
            </w:pPr>
            <w:r w:rsidRPr="00E11FFB">
              <w:rPr>
                <w:rFonts w:ascii="Calibri" w:hAnsi="Calibri" w:cs="Calibri"/>
                <w:color w:val="000000"/>
                <w:sz w:val="16"/>
                <w:szCs w:val="16"/>
              </w:rPr>
              <w:t> </w:t>
            </w:r>
          </w:p>
        </w:tc>
        <w:tc>
          <w:tcPr>
            <w:tcW w:w="1720" w:type="dxa"/>
            <w:vAlign w:val="center"/>
            <w:hideMark/>
          </w:tcPr>
          <w:p w14:paraId="655FE0D9"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Nb (calculé) de personnes touchées par les campagnes de communication visant principalement à informer sur le projet. </w:t>
            </w:r>
          </w:p>
        </w:tc>
        <w:tc>
          <w:tcPr>
            <w:tcW w:w="680" w:type="dxa"/>
            <w:noWrap/>
            <w:vAlign w:val="center"/>
            <w:hideMark/>
          </w:tcPr>
          <w:p w14:paraId="2A41D48D" w14:textId="77777777" w:rsidR="00113681" w:rsidRPr="00E11FFB" w:rsidRDefault="00113681" w:rsidP="00840CA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780" w:type="dxa"/>
            <w:vAlign w:val="center"/>
            <w:hideMark/>
          </w:tcPr>
          <w:p w14:paraId="3A83F865"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50 % de la population cible dans les zones d’intervention</w:t>
            </w:r>
          </w:p>
        </w:tc>
        <w:tc>
          <w:tcPr>
            <w:tcW w:w="1200" w:type="dxa"/>
            <w:noWrap/>
            <w:vAlign w:val="center"/>
          </w:tcPr>
          <w:p w14:paraId="73DD05FE" w14:textId="75DBB9EE" w:rsidR="00113681" w:rsidRPr="002142A2" w:rsidRDefault="00F74540" w:rsidP="002142A2">
            <w:pPr>
              <w:jc w:val="center"/>
              <w:rPr>
                <w:rFonts w:ascii="Calibri" w:hAnsi="Calibri" w:cs="Calibri"/>
                <w:color w:val="000000" w:themeColor="text1"/>
                <w:sz w:val="16"/>
                <w:szCs w:val="16"/>
              </w:rPr>
            </w:pPr>
            <w:r w:rsidRPr="002142A2">
              <w:rPr>
                <w:rFonts w:ascii="Calibri" w:hAnsi="Calibri" w:cs="Calibri"/>
                <w:color w:val="000000" w:themeColor="text1"/>
                <w:sz w:val="16"/>
                <w:szCs w:val="16"/>
              </w:rPr>
              <w:t>62</w:t>
            </w:r>
          </w:p>
        </w:tc>
        <w:tc>
          <w:tcPr>
            <w:tcW w:w="1200" w:type="dxa"/>
            <w:noWrap/>
            <w:vAlign w:val="center"/>
            <w:hideMark/>
          </w:tcPr>
          <w:p w14:paraId="013BD02C"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480" w:type="dxa"/>
            <w:vAlign w:val="center"/>
            <w:hideMark/>
          </w:tcPr>
          <w:p w14:paraId="6EADD4DD"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90 % de la population cible dans les zones d’intervention. </w:t>
            </w:r>
          </w:p>
        </w:tc>
        <w:tc>
          <w:tcPr>
            <w:tcW w:w="1200" w:type="dxa"/>
            <w:noWrap/>
            <w:vAlign w:val="center"/>
            <w:hideMark/>
          </w:tcPr>
          <w:p w14:paraId="1DCC1AEC"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995" w:type="dxa"/>
            <w:noWrap/>
            <w:vAlign w:val="center"/>
            <w:hideMark/>
          </w:tcPr>
          <w:p w14:paraId="3A319FAF"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845" w:type="dxa"/>
            <w:noWrap/>
            <w:vAlign w:val="center"/>
            <w:hideMark/>
          </w:tcPr>
          <w:p w14:paraId="1CC7CF26" w14:textId="683E800A"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 </w:t>
            </w:r>
          </w:p>
        </w:tc>
      </w:tr>
      <w:tr w:rsidR="00113681" w:rsidRPr="00E11FFB" w14:paraId="723B3C18" w14:textId="77777777" w:rsidTr="002142A2">
        <w:trPr>
          <w:trHeight w:val="1470"/>
        </w:trPr>
        <w:tc>
          <w:tcPr>
            <w:tcW w:w="2520" w:type="dxa"/>
            <w:vMerge/>
            <w:vAlign w:val="center"/>
            <w:hideMark/>
          </w:tcPr>
          <w:p w14:paraId="3A7008B5" w14:textId="11E91AC1" w:rsidR="00113681" w:rsidRPr="00E11FFB" w:rsidRDefault="00113681" w:rsidP="003A6DE1">
            <w:pPr>
              <w:rPr>
                <w:rFonts w:ascii="Calibri" w:hAnsi="Calibri" w:cs="Calibri"/>
                <w:color w:val="000000"/>
                <w:sz w:val="16"/>
                <w:szCs w:val="16"/>
              </w:rPr>
            </w:pPr>
          </w:p>
        </w:tc>
        <w:tc>
          <w:tcPr>
            <w:tcW w:w="1720" w:type="dxa"/>
            <w:vAlign w:val="center"/>
            <w:hideMark/>
          </w:tcPr>
          <w:p w14:paraId="770AD800"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Nb (calculé) de personnes touchées par les campagnes de communication visant principalement à modifier les attitudes et pratiques.  </w:t>
            </w:r>
          </w:p>
        </w:tc>
        <w:tc>
          <w:tcPr>
            <w:tcW w:w="680" w:type="dxa"/>
            <w:noWrap/>
            <w:vAlign w:val="center"/>
            <w:hideMark/>
          </w:tcPr>
          <w:p w14:paraId="760D6671" w14:textId="77777777" w:rsidR="00113681" w:rsidRPr="00E11FFB" w:rsidRDefault="00113681" w:rsidP="00840CA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780" w:type="dxa"/>
            <w:vAlign w:val="center"/>
            <w:hideMark/>
          </w:tcPr>
          <w:p w14:paraId="7B1FF35C"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25 % de la population cible</w:t>
            </w:r>
          </w:p>
        </w:tc>
        <w:tc>
          <w:tcPr>
            <w:tcW w:w="1200" w:type="dxa"/>
            <w:noWrap/>
            <w:vAlign w:val="center"/>
          </w:tcPr>
          <w:p w14:paraId="13C8096F" w14:textId="10E5C2B2" w:rsidR="00113681" w:rsidRPr="002142A2" w:rsidRDefault="00F74540" w:rsidP="002142A2">
            <w:pPr>
              <w:jc w:val="center"/>
              <w:rPr>
                <w:rFonts w:ascii="Calibri" w:hAnsi="Calibri" w:cs="Calibri"/>
                <w:color w:val="000000" w:themeColor="text1"/>
                <w:sz w:val="16"/>
                <w:szCs w:val="16"/>
              </w:rPr>
            </w:pPr>
            <w:r w:rsidRPr="002142A2">
              <w:rPr>
                <w:rFonts w:ascii="Calibri" w:hAnsi="Calibri" w:cs="Calibri"/>
                <w:color w:val="000000" w:themeColor="text1"/>
                <w:sz w:val="16"/>
                <w:szCs w:val="16"/>
              </w:rPr>
              <w:t>21</w:t>
            </w:r>
          </w:p>
        </w:tc>
        <w:tc>
          <w:tcPr>
            <w:tcW w:w="1200" w:type="dxa"/>
            <w:noWrap/>
            <w:vAlign w:val="center"/>
            <w:hideMark/>
          </w:tcPr>
          <w:p w14:paraId="7C1EA849"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480" w:type="dxa"/>
            <w:vAlign w:val="center"/>
            <w:hideMark/>
          </w:tcPr>
          <w:p w14:paraId="3F2AE4DE"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75 % de la population cible</w:t>
            </w:r>
          </w:p>
        </w:tc>
        <w:tc>
          <w:tcPr>
            <w:tcW w:w="1200" w:type="dxa"/>
            <w:noWrap/>
            <w:vAlign w:val="center"/>
            <w:hideMark/>
          </w:tcPr>
          <w:p w14:paraId="6B9AE54C"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995" w:type="dxa"/>
            <w:noWrap/>
            <w:vAlign w:val="center"/>
            <w:hideMark/>
          </w:tcPr>
          <w:p w14:paraId="305B8DD8"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845" w:type="dxa"/>
            <w:noWrap/>
            <w:vAlign w:val="center"/>
          </w:tcPr>
          <w:p w14:paraId="435D6D69" w14:textId="38985BC9" w:rsidR="00113681" w:rsidRPr="00E11FFB" w:rsidRDefault="00113681" w:rsidP="009E4F66">
            <w:pPr>
              <w:rPr>
                <w:rFonts w:ascii="Calibri" w:hAnsi="Calibri" w:cs="Calibri"/>
                <w:color w:val="000000" w:themeColor="text1"/>
                <w:sz w:val="16"/>
                <w:szCs w:val="16"/>
              </w:rPr>
            </w:pPr>
          </w:p>
        </w:tc>
      </w:tr>
      <w:tr w:rsidR="00113681" w:rsidRPr="00E11FFB" w14:paraId="5EBBA3CB" w14:textId="77777777" w:rsidTr="002142A2">
        <w:trPr>
          <w:trHeight w:val="1260"/>
        </w:trPr>
        <w:tc>
          <w:tcPr>
            <w:tcW w:w="2520" w:type="dxa"/>
            <w:vMerge/>
            <w:vAlign w:val="center"/>
            <w:hideMark/>
          </w:tcPr>
          <w:p w14:paraId="657D5496" w14:textId="1D816D75" w:rsidR="00113681" w:rsidRPr="00E11FFB" w:rsidRDefault="00113681" w:rsidP="00840CA4">
            <w:pPr>
              <w:rPr>
                <w:rFonts w:ascii="Calibri" w:hAnsi="Calibri" w:cs="Calibri"/>
                <w:color w:val="000000"/>
                <w:sz w:val="16"/>
                <w:szCs w:val="16"/>
              </w:rPr>
            </w:pPr>
          </w:p>
        </w:tc>
        <w:tc>
          <w:tcPr>
            <w:tcW w:w="1720" w:type="dxa"/>
            <w:vAlign w:val="center"/>
            <w:hideMark/>
          </w:tcPr>
          <w:p w14:paraId="1422DFAD"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Pourcentage de campagnes utilisant des outils pour cibler spécifiquement les minorités et groupes vulnérables.</w:t>
            </w:r>
          </w:p>
        </w:tc>
        <w:tc>
          <w:tcPr>
            <w:tcW w:w="680" w:type="dxa"/>
            <w:noWrap/>
            <w:vAlign w:val="center"/>
            <w:hideMark/>
          </w:tcPr>
          <w:p w14:paraId="18EBB9E1" w14:textId="77777777" w:rsidR="00113681" w:rsidRPr="00E11FFB" w:rsidRDefault="00113681" w:rsidP="00840CA4">
            <w:pPr>
              <w:jc w:val="center"/>
              <w:rPr>
                <w:rFonts w:ascii="Calibri" w:hAnsi="Calibri" w:cs="Calibri"/>
                <w:color w:val="000000" w:themeColor="text1"/>
                <w:sz w:val="16"/>
                <w:szCs w:val="16"/>
              </w:rPr>
            </w:pPr>
            <w:r w:rsidRPr="00E11FFB">
              <w:rPr>
                <w:rFonts w:ascii="Calibri" w:hAnsi="Calibri" w:cs="Calibri"/>
                <w:color w:val="000000" w:themeColor="text1"/>
                <w:sz w:val="16"/>
                <w:szCs w:val="16"/>
              </w:rPr>
              <w:t>0</w:t>
            </w:r>
          </w:p>
        </w:tc>
        <w:tc>
          <w:tcPr>
            <w:tcW w:w="1780" w:type="dxa"/>
            <w:noWrap/>
            <w:vAlign w:val="center"/>
            <w:hideMark/>
          </w:tcPr>
          <w:p w14:paraId="2646B1E6"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50 % des campagnes. </w:t>
            </w:r>
          </w:p>
        </w:tc>
        <w:tc>
          <w:tcPr>
            <w:tcW w:w="1200" w:type="dxa"/>
            <w:noWrap/>
            <w:vAlign w:val="center"/>
          </w:tcPr>
          <w:p w14:paraId="01239123" w14:textId="10C6EAB1" w:rsidR="00113681" w:rsidRPr="002142A2" w:rsidRDefault="00F74540" w:rsidP="002142A2">
            <w:pPr>
              <w:jc w:val="center"/>
              <w:rPr>
                <w:rFonts w:ascii="Calibri" w:hAnsi="Calibri" w:cs="Calibri"/>
                <w:color w:val="000000" w:themeColor="text1"/>
                <w:sz w:val="16"/>
                <w:szCs w:val="16"/>
              </w:rPr>
            </w:pPr>
            <w:r w:rsidRPr="002142A2">
              <w:rPr>
                <w:rFonts w:ascii="Calibri" w:hAnsi="Calibri" w:cs="Calibri"/>
                <w:color w:val="000000" w:themeColor="text1"/>
                <w:sz w:val="16"/>
                <w:szCs w:val="16"/>
              </w:rPr>
              <w:t>0%</w:t>
            </w:r>
          </w:p>
        </w:tc>
        <w:tc>
          <w:tcPr>
            <w:tcW w:w="1200" w:type="dxa"/>
            <w:noWrap/>
            <w:vAlign w:val="center"/>
            <w:hideMark/>
          </w:tcPr>
          <w:p w14:paraId="4C839141"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480" w:type="dxa"/>
            <w:vAlign w:val="center"/>
            <w:hideMark/>
          </w:tcPr>
          <w:p w14:paraId="6E684487"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xml:space="preserve">100 % des campagnes </w:t>
            </w:r>
          </w:p>
        </w:tc>
        <w:tc>
          <w:tcPr>
            <w:tcW w:w="1200" w:type="dxa"/>
            <w:noWrap/>
            <w:vAlign w:val="center"/>
            <w:hideMark/>
          </w:tcPr>
          <w:p w14:paraId="3119D326"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995" w:type="dxa"/>
            <w:noWrap/>
            <w:vAlign w:val="center"/>
            <w:hideMark/>
          </w:tcPr>
          <w:p w14:paraId="46C6260E" w14:textId="77777777" w:rsidR="00113681" w:rsidRPr="00E11FFB" w:rsidRDefault="00113681" w:rsidP="00840CA4">
            <w:pPr>
              <w:rPr>
                <w:rFonts w:ascii="Calibri" w:hAnsi="Calibri" w:cs="Calibri"/>
                <w:color w:val="000000" w:themeColor="text1"/>
                <w:sz w:val="16"/>
                <w:szCs w:val="16"/>
              </w:rPr>
            </w:pPr>
            <w:r w:rsidRPr="00E11FFB">
              <w:rPr>
                <w:rFonts w:ascii="Calibri" w:hAnsi="Calibri" w:cs="Calibri"/>
                <w:color w:val="000000" w:themeColor="text1"/>
                <w:sz w:val="16"/>
                <w:szCs w:val="16"/>
              </w:rPr>
              <w:t> </w:t>
            </w:r>
          </w:p>
        </w:tc>
        <w:tc>
          <w:tcPr>
            <w:tcW w:w="1845" w:type="dxa"/>
            <w:noWrap/>
            <w:vAlign w:val="center"/>
          </w:tcPr>
          <w:p w14:paraId="3AAECB57" w14:textId="653783BF" w:rsidR="00113681" w:rsidRPr="00E11FFB" w:rsidRDefault="00113681" w:rsidP="00840CA4">
            <w:pPr>
              <w:rPr>
                <w:rFonts w:ascii="Calibri" w:hAnsi="Calibri" w:cs="Calibri"/>
                <w:color w:val="000000" w:themeColor="text1"/>
                <w:sz w:val="16"/>
                <w:szCs w:val="16"/>
              </w:rPr>
            </w:pPr>
          </w:p>
        </w:tc>
      </w:tr>
    </w:tbl>
    <w:bookmarkEnd w:id="10"/>
    <w:p w14:paraId="06F85C6F" w14:textId="4BF8F679" w:rsidR="005468FC" w:rsidRPr="00E11FFB" w:rsidRDefault="003C3A56">
      <w:pPr>
        <w:spacing w:line="250" w:lineRule="auto"/>
        <w:ind w:left="-15"/>
        <w:jc w:val="both"/>
        <w:rPr>
          <w:rFonts w:ascii="Avenir" w:eastAsia="Avenir" w:hAnsi="Avenir" w:cs="Avenir"/>
          <w:iCs/>
          <w:color w:val="000000"/>
          <w:sz w:val="20"/>
          <w:szCs w:val="20"/>
        </w:rPr>
      </w:pPr>
      <w:r w:rsidRPr="00E11FFB">
        <w:rPr>
          <w:rFonts w:ascii="Avenir" w:eastAsia="Avenir" w:hAnsi="Avenir" w:cs="Avenir"/>
          <w:iCs/>
          <w:color w:val="000000"/>
          <w:sz w:val="20"/>
          <w:szCs w:val="20"/>
        </w:rPr>
        <w:br w:type="textWrapping" w:clear="all"/>
      </w:r>
    </w:p>
    <w:p w14:paraId="6F8F8599" w14:textId="127A72C3" w:rsidR="002115B9" w:rsidRPr="00E11FFB" w:rsidRDefault="002115B9" w:rsidP="002115B9">
      <w:pPr>
        <w:keepNext/>
        <w:spacing w:line="271" w:lineRule="auto"/>
        <w:ind w:left="-3" w:right="35" w:firstLine="10"/>
        <w:jc w:val="both"/>
        <w:rPr>
          <w:rFonts w:ascii="Avenir" w:eastAsia="Avenir" w:hAnsi="Avenir" w:cs="Avenir"/>
          <w:b/>
          <w:bCs/>
          <w:iCs/>
          <w:color w:val="000000"/>
          <w:sz w:val="20"/>
          <w:szCs w:val="20"/>
          <w:u w:val="single"/>
        </w:rPr>
      </w:pPr>
      <w:r w:rsidRPr="00E11FFB">
        <w:rPr>
          <w:rFonts w:ascii="Avenir" w:eastAsia="Avenir" w:hAnsi="Avenir" w:cs="Avenir"/>
          <w:b/>
          <w:bCs/>
          <w:iCs/>
          <w:color w:val="000000"/>
          <w:sz w:val="20"/>
          <w:szCs w:val="20"/>
          <w:u w:val="single"/>
        </w:rPr>
        <w:t xml:space="preserve">Tableau évaluation de la performance </w:t>
      </w:r>
      <w:r w:rsidR="00CB360A" w:rsidRPr="00E11FFB">
        <w:rPr>
          <w:rFonts w:ascii="Avenir" w:eastAsia="Avenir" w:hAnsi="Avenir" w:cs="Avenir"/>
          <w:b/>
          <w:bCs/>
          <w:iCs/>
          <w:color w:val="000000"/>
          <w:sz w:val="20"/>
          <w:szCs w:val="20"/>
          <w:u w:val="single"/>
        </w:rPr>
        <w:t>ITIE</w:t>
      </w:r>
      <w:r w:rsidRPr="00E11FFB">
        <w:rPr>
          <w:rFonts w:ascii="Avenir" w:eastAsia="Avenir" w:hAnsi="Avenir" w:cs="Avenir"/>
          <w:b/>
          <w:bCs/>
          <w:iCs/>
          <w:color w:val="000000"/>
          <w:sz w:val="20"/>
          <w:szCs w:val="20"/>
          <w:u w:val="single"/>
        </w:rPr>
        <w:t xml:space="preserve"> </w:t>
      </w:r>
      <w:r w:rsidR="0048260B">
        <w:rPr>
          <w:rFonts w:ascii="Avenir" w:eastAsia="Avenir" w:hAnsi="Avenir" w:cs="Avenir"/>
          <w:b/>
          <w:bCs/>
          <w:iCs/>
          <w:color w:val="000000"/>
          <w:sz w:val="20"/>
          <w:szCs w:val="20"/>
          <w:u w:val="single"/>
        </w:rPr>
        <w:t>(Effet 6)</w:t>
      </w:r>
    </w:p>
    <w:p w14:paraId="794CBE9D" w14:textId="77777777" w:rsidR="005468FC" w:rsidRPr="00E11FFB" w:rsidRDefault="005468FC">
      <w:pPr>
        <w:spacing w:line="250" w:lineRule="auto"/>
        <w:ind w:left="-15"/>
        <w:jc w:val="both"/>
        <w:rPr>
          <w:rFonts w:ascii="Avenir" w:eastAsia="Avenir" w:hAnsi="Avenir" w:cs="Avenir"/>
          <w:iCs/>
          <w:color w:val="000000"/>
          <w:sz w:val="20"/>
          <w:szCs w:val="20"/>
        </w:rPr>
      </w:pPr>
    </w:p>
    <w:tbl>
      <w:tblPr>
        <w:tblW w:w="14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2215"/>
        <w:gridCol w:w="1122"/>
        <w:gridCol w:w="1634"/>
        <w:gridCol w:w="1252"/>
        <w:gridCol w:w="1241"/>
        <w:gridCol w:w="1593"/>
        <w:gridCol w:w="889"/>
        <w:gridCol w:w="1613"/>
        <w:gridCol w:w="1572"/>
      </w:tblGrid>
      <w:tr w:rsidR="00A6465F" w:rsidRPr="00E11FFB" w14:paraId="2DABAD6D" w14:textId="77777777" w:rsidTr="00FC2A97">
        <w:trPr>
          <w:trHeight w:val="609"/>
          <w:tblHeader/>
        </w:trPr>
        <w:tc>
          <w:tcPr>
            <w:tcW w:w="1779" w:type="dxa"/>
            <w:noWrap/>
            <w:vAlign w:val="center"/>
            <w:hideMark/>
          </w:tcPr>
          <w:p w14:paraId="2B87273E" w14:textId="6EBF01AF" w:rsidR="00CB360A" w:rsidRPr="00E11FFB" w:rsidRDefault="00CB360A">
            <w:pPr>
              <w:rPr>
                <w:rFonts w:ascii="Calibri" w:hAnsi="Calibri" w:cs="Calibri"/>
                <w:color w:val="000000"/>
                <w:sz w:val="16"/>
                <w:szCs w:val="16"/>
              </w:rPr>
            </w:pPr>
            <w:bookmarkStart w:id="11" w:name="_Hlk216353396"/>
            <w:r w:rsidRPr="00E11FFB">
              <w:rPr>
                <w:rFonts w:ascii="Calibri" w:hAnsi="Calibri" w:cs="Calibri"/>
                <w:color w:val="000000"/>
                <w:sz w:val="16"/>
                <w:szCs w:val="16"/>
              </w:rPr>
              <w:t>Produits</w:t>
            </w:r>
          </w:p>
        </w:tc>
        <w:tc>
          <w:tcPr>
            <w:tcW w:w="2215" w:type="dxa"/>
            <w:noWrap/>
            <w:vAlign w:val="center"/>
            <w:hideMark/>
          </w:tcPr>
          <w:p w14:paraId="7AF94DDC" w14:textId="77777777"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Indicateurs</w:t>
            </w:r>
          </w:p>
        </w:tc>
        <w:tc>
          <w:tcPr>
            <w:tcW w:w="1122" w:type="dxa"/>
            <w:shd w:val="clear" w:color="000000" w:fill="DAF2D0"/>
            <w:vAlign w:val="center"/>
            <w:hideMark/>
          </w:tcPr>
          <w:p w14:paraId="492CF70B" w14:textId="77777777"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Lignes de base</w:t>
            </w:r>
          </w:p>
        </w:tc>
        <w:tc>
          <w:tcPr>
            <w:tcW w:w="1634" w:type="dxa"/>
            <w:shd w:val="clear" w:color="000000" w:fill="DAF2D0"/>
            <w:vAlign w:val="center"/>
            <w:hideMark/>
          </w:tcPr>
          <w:p w14:paraId="5D0E403A" w14:textId="44667661"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Cible visée pour la période de rapportage</w:t>
            </w:r>
          </w:p>
        </w:tc>
        <w:tc>
          <w:tcPr>
            <w:tcW w:w="1252" w:type="dxa"/>
            <w:shd w:val="clear" w:color="000000" w:fill="DAF2D0"/>
            <w:vAlign w:val="center"/>
            <w:hideMark/>
          </w:tcPr>
          <w:p w14:paraId="06C2EC1B" w14:textId="446F325C"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 xml:space="preserve">Valeur atteinte pour la </w:t>
            </w:r>
            <w:r w:rsidR="0031594A" w:rsidRPr="00E11FFB">
              <w:rPr>
                <w:rFonts w:ascii="Calibri" w:hAnsi="Calibri" w:cs="Calibri"/>
                <w:color w:val="000000"/>
                <w:sz w:val="16"/>
                <w:szCs w:val="16"/>
              </w:rPr>
              <w:t>période</w:t>
            </w:r>
            <w:r w:rsidRPr="00E11FFB">
              <w:rPr>
                <w:rFonts w:ascii="Calibri" w:hAnsi="Calibri" w:cs="Calibri"/>
                <w:color w:val="000000"/>
                <w:sz w:val="16"/>
                <w:szCs w:val="16"/>
              </w:rPr>
              <w:t xml:space="preserve"> de rapportage</w:t>
            </w:r>
          </w:p>
        </w:tc>
        <w:tc>
          <w:tcPr>
            <w:tcW w:w="1241" w:type="dxa"/>
            <w:shd w:val="clear" w:color="000000" w:fill="DAF2D0"/>
            <w:vAlign w:val="center"/>
            <w:hideMark/>
          </w:tcPr>
          <w:p w14:paraId="7EE88506" w14:textId="14A2238A"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Valeur actuelle</w:t>
            </w:r>
          </w:p>
        </w:tc>
        <w:tc>
          <w:tcPr>
            <w:tcW w:w="1593" w:type="dxa"/>
            <w:shd w:val="clear" w:color="000000" w:fill="DAF2D0"/>
            <w:vAlign w:val="center"/>
            <w:hideMark/>
          </w:tcPr>
          <w:p w14:paraId="39442061" w14:textId="719D8A02"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 xml:space="preserve"> Cible finale dans le prodoc</w:t>
            </w:r>
          </w:p>
        </w:tc>
        <w:tc>
          <w:tcPr>
            <w:tcW w:w="889" w:type="dxa"/>
            <w:shd w:val="clear" w:color="000000" w:fill="DAF2D0"/>
            <w:vAlign w:val="center"/>
            <w:hideMark/>
          </w:tcPr>
          <w:p w14:paraId="059B03FB" w14:textId="6C2D1086"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 xml:space="preserve">Cible finale </w:t>
            </w:r>
            <w:r w:rsidR="0031594A" w:rsidRPr="00E11FFB">
              <w:rPr>
                <w:rFonts w:ascii="Calibri" w:hAnsi="Calibri" w:cs="Calibri"/>
                <w:color w:val="000000"/>
                <w:sz w:val="16"/>
                <w:szCs w:val="16"/>
              </w:rPr>
              <w:t>révisée</w:t>
            </w:r>
            <w:r w:rsidRPr="00E11FFB">
              <w:rPr>
                <w:rFonts w:ascii="Calibri" w:hAnsi="Calibri" w:cs="Calibri"/>
                <w:color w:val="000000"/>
                <w:sz w:val="16"/>
                <w:szCs w:val="16"/>
              </w:rPr>
              <w:t xml:space="preserve"> le cas </w:t>
            </w:r>
            <w:r w:rsidR="0031594A" w:rsidRPr="00E11FFB">
              <w:rPr>
                <w:rFonts w:ascii="Calibri" w:hAnsi="Calibri" w:cs="Calibri"/>
                <w:color w:val="000000"/>
                <w:sz w:val="16"/>
                <w:szCs w:val="16"/>
              </w:rPr>
              <w:t>échéant</w:t>
            </w:r>
            <w:r w:rsidRPr="00E11FFB">
              <w:rPr>
                <w:rFonts w:ascii="Calibri" w:hAnsi="Calibri" w:cs="Calibri"/>
                <w:color w:val="000000"/>
                <w:sz w:val="16"/>
                <w:szCs w:val="16"/>
              </w:rPr>
              <w:t xml:space="preserve"> </w:t>
            </w:r>
          </w:p>
        </w:tc>
        <w:tc>
          <w:tcPr>
            <w:tcW w:w="1613" w:type="dxa"/>
            <w:shd w:val="clear" w:color="000000" w:fill="D0D0D0"/>
            <w:vAlign w:val="center"/>
            <w:hideMark/>
          </w:tcPr>
          <w:p w14:paraId="26F46663" w14:textId="04630DEE"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Hyperlien</w:t>
            </w:r>
          </w:p>
        </w:tc>
        <w:tc>
          <w:tcPr>
            <w:tcW w:w="1572" w:type="dxa"/>
            <w:shd w:val="clear" w:color="000000" w:fill="D0D0D0"/>
            <w:noWrap/>
            <w:vAlign w:val="center"/>
            <w:hideMark/>
          </w:tcPr>
          <w:p w14:paraId="0908B245" w14:textId="713C0C58" w:rsidR="00CB360A" w:rsidRPr="00E11FFB" w:rsidRDefault="00CB360A">
            <w:pPr>
              <w:rPr>
                <w:rFonts w:ascii="Calibri" w:hAnsi="Calibri" w:cs="Calibri"/>
                <w:color w:val="000000"/>
                <w:sz w:val="16"/>
                <w:szCs w:val="16"/>
              </w:rPr>
            </w:pPr>
            <w:r w:rsidRPr="00E11FFB">
              <w:rPr>
                <w:rFonts w:ascii="Calibri" w:hAnsi="Calibri" w:cs="Calibri"/>
                <w:color w:val="000000"/>
                <w:sz w:val="16"/>
                <w:szCs w:val="16"/>
              </w:rPr>
              <w:t xml:space="preserve">Commentaire </w:t>
            </w:r>
          </w:p>
        </w:tc>
      </w:tr>
      <w:tr w:rsidR="00087FE7" w:rsidRPr="00E11FFB" w14:paraId="5A475C94" w14:textId="77777777" w:rsidTr="00FC2A97">
        <w:trPr>
          <w:trHeight w:val="255"/>
        </w:trPr>
        <w:tc>
          <w:tcPr>
            <w:tcW w:w="1779" w:type="dxa"/>
            <w:vMerge w:val="restart"/>
            <w:vAlign w:val="center"/>
            <w:hideMark/>
          </w:tcPr>
          <w:p w14:paraId="2E28F675" w14:textId="1E5E78E9"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Produit 6.1 (Jalon 4 I) : Le Secteur forêt est clairement et fortement intégré dans l'Initiative pour la Transparence dans les Industries Extractives (l'ITIE) et à ce titre, tous les contrats de concessions d'exploitation industrielle et de conservation, y compris les rapports d'audit, de revue</w:t>
            </w:r>
          </w:p>
        </w:tc>
        <w:tc>
          <w:tcPr>
            <w:tcW w:w="2215" w:type="dxa"/>
            <w:vAlign w:val="center"/>
            <w:hideMark/>
          </w:tcPr>
          <w:p w14:paraId="7483A165"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xml:space="preserve">Pourcentage de délégués qui participent à l’ITIE </w:t>
            </w:r>
          </w:p>
        </w:tc>
        <w:tc>
          <w:tcPr>
            <w:tcW w:w="1122" w:type="dxa"/>
            <w:noWrap/>
            <w:vAlign w:val="center"/>
            <w:hideMark/>
          </w:tcPr>
          <w:p w14:paraId="78D3970D" w14:textId="60939AFF" w:rsidR="00087FE7" w:rsidRPr="00E11FFB" w:rsidRDefault="00087FE7" w:rsidP="005D726C">
            <w:pPr>
              <w:rPr>
                <w:rFonts w:ascii="Calibri" w:hAnsi="Calibri" w:cs="Calibri"/>
                <w:color w:val="000000"/>
                <w:sz w:val="16"/>
                <w:szCs w:val="16"/>
              </w:rPr>
            </w:pPr>
            <w:r w:rsidRPr="00E11FFB">
              <w:rPr>
                <w:rFonts w:ascii="Calibri" w:hAnsi="Calibri" w:cs="Calibri"/>
                <w:color w:val="000000"/>
                <w:sz w:val="16"/>
                <w:szCs w:val="16"/>
              </w:rPr>
              <w:t>10 % de délégués forêt qui participent à l'ITIE</w:t>
            </w:r>
          </w:p>
        </w:tc>
        <w:tc>
          <w:tcPr>
            <w:tcW w:w="1634" w:type="dxa"/>
            <w:vAlign w:val="center"/>
            <w:hideMark/>
          </w:tcPr>
          <w:p w14:paraId="6856B532"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60 % de délégués forêt qui participent à l'ITIE</w:t>
            </w:r>
          </w:p>
        </w:tc>
        <w:tc>
          <w:tcPr>
            <w:tcW w:w="1252" w:type="dxa"/>
            <w:noWrap/>
            <w:vAlign w:val="center"/>
            <w:hideMark/>
          </w:tcPr>
          <w:p w14:paraId="47A370AE" w14:textId="5649054E" w:rsidR="008373D6" w:rsidRPr="00E11FFB" w:rsidRDefault="008373D6" w:rsidP="008373D6">
            <w:pPr>
              <w:rPr>
                <w:rFonts w:ascii="Avenir" w:eastAsia="Avenir" w:hAnsi="Avenir" w:cs="Avenir"/>
                <w:color w:val="000000"/>
                <w:sz w:val="16"/>
                <w:szCs w:val="16"/>
              </w:rPr>
            </w:pPr>
            <w:r w:rsidRPr="00E11FFB">
              <w:rPr>
                <w:rFonts w:ascii="Avenir" w:eastAsia="Avenir" w:hAnsi="Avenir" w:cs="Avenir"/>
                <w:color w:val="000000"/>
                <w:sz w:val="16"/>
                <w:szCs w:val="16"/>
              </w:rPr>
              <w:t>Sensibilisation dans huit provinces sur la norme ITIE sur l</w:t>
            </w:r>
            <w:r w:rsidR="00342FA0" w:rsidRPr="00E11FFB">
              <w:rPr>
                <w:rFonts w:ascii="Avenir" w:eastAsia="Avenir" w:hAnsi="Avenir" w:cs="Avenir"/>
                <w:color w:val="000000"/>
                <w:sz w:val="16"/>
                <w:szCs w:val="16"/>
              </w:rPr>
              <w:t>’</w:t>
            </w:r>
            <w:r w:rsidRPr="00E11FFB">
              <w:rPr>
                <w:rFonts w:ascii="Avenir" w:eastAsia="Avenir" w:hAnsi="Avenir" w:cs="Avenir"/>
                <w:color w:val="000000"/>
                <w:sz w:val="16"/>
                <w:szCs w:val="16"/>
              </w:rPr>
              <w:t xml:space="preserve">intégration de ITIE dans l’exploitation forestière ; (exploitants, société civile, étatiques, entreprises, 100% des parties sensibilisées). </w:t>
            </w:r>
          </w:p>
          <w:p w14:paraId="61723985" w14:textId="64269568" w:rsidR="00087FE7" w:rsidRPr="00E11FFB" w:rsidRDefault="00087FE7">
            <w:pPr>
              <w:rPr>
                <w:rFonts w:ascii="Calibri" w:hAnsi="Calibri" w:cs="Calibri"/>
                <w:color w:val="000000"/>
                <w:sz w:val="16"/>
                <w:szCs w:val="16"/>
              </w:rPr>
            </w:pPr>
          </w:p>
        </w:tc>
        <w:tc>
          <w:tcPr>
            <w:tcW w:w="1241" w:type="dxa"/>
            <w:noWrap/>
            <w:vAlign w:val="center"/>
          </w:tcPr>
          <w:p w14:paraId="761594E8" w14:textId="359161F4" w:rsidR="008D112D" w:rsidRPr="00E11FFB" w:rsidRDefault="008D112D">
            <w:pPr>
              <w:rPr>
                <w:rFonts w:ascii="Calibri" w:hAnsi="Calibri" w:cs="Calibri"/>
                <w:color w:val="000000"/>
                <w:sz w:val="16"/>
                <w:szCs w:val="16"/>
              </w:rPr>
            </w:pPr>
          </w:p>
        </w:tc>
        <w:tc>
          <w:tcPr>
            <w:tcW w:w="1593" w:type="dxa"/>
            <w:vAlign w:val="center"/>
            <w:hideMark/>
          </w:tcPr>
          <w:p w14:paraId="34FE7035" w14:textId="1D0BB9A2" w:rsidR="00087FE7" w:rsidRPr="00E11FFB" w:rsidRDefault="008D112D">
            <w:pPr>
              <w:rPr>
                <w:rFonts w:ascii="Calibri" w:hAnsi="Calibri" w:cs="Calibri"/>
                <w:color w:val="000000"/>
                <w:sz w:val="16"/>
                <w:szCs w:val="16"/>
              </w:rPr>
            </w:pPr>
            <w:r w:rsidRPr="00E11FFB">
              <w:rPr>
                <w:rFonts w:ascii="Calibri" w:hAnsi="Calibri" w:cs="Calibri"/>
                <w:color w:val="000000"/>
                <w:sz w:val="16"/>
                <w:szCs w:val="16"/>
              </w:rPr>
              <w:t>Au moins 85 %</w:t>
            </w:r>
            <w:r w:rsidR="00087FE7" w:rsidRPr="00E11FFB">
              <w:rPr>
                <w:rFonts w:ascii="Calibri" w:hAnsi="Calibri" w:cs="Calibri"/>
                <w:color w:val="000000"/>
                <w:sz w:val="16"/>
                <w:szCs w:val="16"/>
              </w:rPr>
              <w:br/>
              <w:t xml:space="preserve">délégués forêt qui </w:t>
            </w:r>
            <w:r w:rsidR="00087FE7" w:rsidRPr="00E11FFB">
              <w:rPr>
                <w:rFonts w:ascii="Calibri" w:hAnsi="Calibri" w:cs="Calibri"/>
                <w:color w:val="000000"/>
                <w:sz w:val="16"/>
                <w:szCs w:val="16"/>
              </w:rPr>
              <w:br/>
              <w:t>participent à l'ITIE</w:t>
            </w:r>
          </w:p>
        </w:tc>
        <w:tc>
          <w:tcPr>
            <w:tcW w:w="889" w:type="dxa"/>
            <w:noWrap/>
            <w:vAlign w:val="center"/>
            <w:hideMark/>
          </w:tcPr>
          <w:p w14:paraId="202378B3"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c>
          <w:tcPr>
            <w:tcW w:w="1613" w:type="dxa"/>
            <w:noWrap/>
            <w:vAlign w:val="center"/>
            <w:hideMark/>
          </w:tcPr>
          <w:p w14:paraId="0BDA1D88"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c>
          <w:tcPr>
            <w:tcW w:w="1572" w:type="dxa"/>
            <w:noWrap/>
            <w:vAlign w:val="center"/>
            <w:hideMark/>
          </w:tcPr>
          <w:p w14:paraId="49ABAE37" w14:textId="2D8A452E"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r>
      <w:tr w:rsidR="00087FE7" w:rsidRPr="00E11FFB" w14:paraId="19576AB5" w14:textId="77777777" w:rsidTr="00FC2A97">
        <w:trPr>
          <w:trHeight w:val="831"/>
        </w:trPr>
        <w:tc>
          <w:tcPr>
            <w:tcW w:w="1779" w:type="dxa"/>
            <w:vMerge/>
            <w:vAlign w:val="center"/>
            <w:hideMark/>
          </w:tcPr>
          <w:p w14:paraId="7EB7897B" w14:textId="77777777" w:rsidR="00087FE7" w:rsidRPr="00E11FFB" w:rsidRDefault="00087FE7">
            <w:pPr>
              <w:rPr>
                <w:rFonts w:ascii="Calibri" w:hAnsi="Calibri" w:cs="Calibri"/>
                <w:color w:val="000000"/>
                <w:sz w:val="16"/>
                <w:szCs w:val="16"/>
              </w:rPr>
            </w:pPr>
          </w:p>
        </w:tc>
        <w:tc>
          <w:tcPr>
            <w:tcW w:w="2215" w:type="dxa"/>
            <w:vAlign w:val="center"/>
            <w:hideMark/>
          </w:tcPr>
          <w:p w14:paraId="62222D37"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xml:space="preserve">Pourcentage des opérateurs </w:t>
            </w:r>
            <w:r w:rsidRPr="00E11FFB">
              <w:rPr>
                <w:rFonts w:ascii="Calibri" w:hAnsi="Calibri" w:cs="Calibri"/>
                <w:color w:val="000000"/>
                <w:sz w:val="16"/>
                <w:szCs w:val="16"/>
              </w:rPr>
              <w:br/>
              <w:t xml:space="preserve">forestiers formés à l’ITIE </w:t>
            </w:r>
          </w:p>
        </w:tc>
        <w:tc>
          <w:tcPr>
            <w:tcW w:w="1122" w:type="dxa"/>
            <w:noWrap/>
            <w:vAlign w:val="center"/>
            <w:hideMark/>
          </w:tcPr>
          <w:p w14:paraId="542D88CC" w14:textId="303C9BE2" w:rsidR="00087FE7" w:rsidRPr="00E11FFB" w:rsidRDefault="00087FE7" w:rsidP="005D726C">
            <w:pPr>
              <w:rPr>
                <w:rFonts w:ascii="Calibri" w:hAnsi="Calibri" w:cs="Calibri"/>
                <w:color w:val="000000"/>
                <w:sz w:val="16"/>
                <w:szCs w:val="16"/>
              </w:rPr>
            </w:pPr>
            <w:r w:rsidRPr="00E11FFB">
              <w:rPr>
                <w:rFonts w:ascii="Calibri" w:hAnsi="Calibri" w:cs="Calibri"/>
                <w:color w:val="000000"/>
                <w:sz w:val="16"/>
                <w:szCs w:val="16"/>
              </w:rPr>
              <w:t>10 % des opérateurs forêt sont formés à l'ITIE</w:t>
            </w:r>
          </w:p>
        </w:tc>
        <w:tc>
          <w:tcPr>
            <w:tcW w:w="1634" w:type="dxa"/>
            <w:vAlign w:val="center"/>
            <w:hideMark/>
          </w:tcPr>
          <w:p w14:paraId="71E5D093"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xml:space="preserve">60 % des opérateurs forêt sont formés à l'ITIE </w:t>
            </w:r>
          </w:p>
        </w:tc>
        <w:tc>
          <w:tcPr>
            <w:tcW w:w="1252" w:type="dxa"/>
            <w:noWrap/>
            <w:vAlign w:val="center"/>
            <w:hideMark/>
          </w:tcPr>
          <w:p w14:paraId="187F88C6" w14:textId="4A5D68A9" w:rsidR="00087FE7" w:rsidRPr="00E11FFB" w:rsidRDefault="008373D6">
            <w:pPr>
              <w:rPr>
                <w:rFonts w:ascii="Calibri" w:hAnsi="Calibri" w:cs="Calibri"/>
                <w:color w:val="000000"/>
                <w:sz w:val="16"/>
                <w:szCs w:val="16"/>
              </w:rPr>
            </w:pPr>
            <w:r w:rsidRPr="00E11FFB">
              <w:rPr>
                <w:rFonts w:ascii="Avenir" w:eastAsia="Avenir" w:hAnsi="Avenir" w:cs="Avenir"/>
                <w:color w:val="000000"/>
                <w:sz w:val="16"/>
                <w:szCs w:val="16"/>
              </w:rPr>
              <w:t>Sensibilisation sur le code forestier et ses mesures d’application (opérateurs 100% sensibilisés)</w:t>
            </w:r>
          </w:p>
        </w:tc>
        <w:tc>
          <w:tcPr>
            <w:tcW w:w="1241" w:type="dxa"/>
            <w:noWrap/>
            <w:vAlign w:val="center"/>
          </w:tcPr>
          <w:p w14:paraId="6FAEC0A9" w14:textId="25679280" w:rsidR="00087FE7" w:rsidRPr="00E11FFB" w:rsidRDefault="00087FE7">
            <w:pPr>
              <w:rPr>
                <w:rFonts w:ascii="Calibri" w:hAnsi="Calibri" w:cs="Calibri"/>
                <w:color w:val="000000"/>
                <w:sz w:val="16"/>
                <w:szCs w:val="16"/>
              </w:rPr>
            </w:pPr>
          </w:p>
        </w:tc>
        <w:tc>
          <w:tcPr>
            <w:tcW w:w="1593" w:type="dxa"/>
            <w:vAlign w:val="center"/>
            <w:hideMark/>
          </w:tcPr>
          <w:p w14:paraId="1E21FE18" w14:textId="77777777" w:rsidR="00087FE7" w:rsidRPr="00E11FFB" w:rsidRDefault="00087FE7" w:rsidP="00CB360A">
            <w:pPr>
              <w:rPr>
                <w:rFonts w:ascii="Calibri" w:hAnsi="Calibri" w:cs="Calibri"/>
                <w:color w:val="000000"/>
                <w:sz w:val="16"/>
                <w:szCs w:val="16"/>
              </w:rPr>
            </w:pPr>
            <w:r w:rsidRPr="00E11FFB">
              <w:rPr>
                <w:rFonts w:ascii="Calibri" w:hAnsi="Calibri" w:cs="Calibri"/>
                <w:color w:val="000000"/>
                <w:sz w:val="16"/>
                <w:szCs w:val="16"/>
              </w:rPr>
              <w:t xml:space="preserve">Au moins 85 % des </w:t>
            </w:r>
            <w:r w:rsidRPr="00E11FFB">
              <w:rPr>
                <w:rFonts w:ascii="Calibri" w:hAnsi="Calibri" w:cs="Calibri"/>
                <w:color w:val="000000"/>
                <w:sz w:val="16"/>
                <w:szCs w:val="16"/>
              </w:rPr>
              <w:br/>
              <w:t xml:space="preserve">opérateurs forêt sont </w:t>
            </w:r>
            <w:r w:rsidRPr="00E11FFB">
              <w:rPr>
                <w:rFonts w:ascii="Calibri" w:hAnsi="Calibri" w:cs="Calibri"/>
                <w:color w:val="000000"/>
                <w:sz w:val="16"/>
                <w:szCs w:val="16"/>
              </w:rPr>
              <w:br/>
              <w:t xml:space="preserve">formés sur la norme  </w:t>
            </w:r>
            <w:r w:rsidRPr="00E11FFB">
              <w:rPr>
                <w:rFonts w:ascii="Calibri" w:hAnsi="Calibri" w:cs="Calibri"/>
                <w:color w:val="000000"/>
                <w:sz w:val="16"/>
                <w:szCs w:val="16"/>
              </w:rPr>
              <w:br/>
              <w:t>l'ITIE</w:t>
            </w:r>
          </w:p>
        </w:tc>
        <w:tc>
          <w:tcPr>
            <w:tcW w:w="889" w:type="dxa"/>
            <w:noWrap/>
            <w:vAlign w:val="center"/>
            <w:hideMark/>
          </w:tcPr>
          <w:p w14:paraId="191DAB60"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c>
          <w:tcPr>
            <w:tcW w:w="1613" w:type="dxa"/>
            <w:noWrap/>
            <w:vAlign w:val="center"/>
            <w:hideMark/>
          </w:tcPr>
          <w:p w14:paraId="22442E62"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c>
          <w:tcPr>
            <w:tcW w:w="1572" w:type="dxa"/>
            <w:noWrap/>
            <w:vAlign w:val="center"/>
            <w:hideMark/>
          </w:tcPr>
          <w:p w14:paraId="2CB43B65"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r>
      <w:tr w:rsidR="00087FE7" w:rsidRPr="00E11FFB" w14:paraId="6C920476" w14:textId="77777777" w:rsidTr="00FC2A97">
        <w:trPr>
          <w:trHeight w:val="812"/>
        </w:trPr>
        <w:tc>
          <w:tcPr>
            <w:tcW w:w="1779" w:type="dxa"/>
            <w:vMerge/>
            <w:vAlign w:val="center"/>
            <w:hideMark/>
          </w:tcPr>
          <w:p w14:paraId="49A57380" w14:textId="77777777" w:rsidR="00087FE7" w:rsidRPr="00E11FFB" w:rsidRDefault="00087FE7">
            <w:pPr>
              <w:rPr>
                <w:rFonts w:ascii="Calibri" w:hAnsi="Calibri" w:cs="Calibri"/>
                <w:color w:val="000000"/>
                <w:sz w:val="16"/>
                <w:szCs w:val="16"/>
              </w:rPr>
            </w:pPr>
          </w:p>
        </w:tc>
        <w:tc>
          <w:tcPr>
            <w:tcW w:w="2215" w:type="dxa"/>
            <w:vAlign w:val="center"/>
            <w:hideMark/>
          </w:tcPr>
          <w:p w14:paraId="6B4CD5DB" w14:textId="29D8420E"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xml:space="preserve">Publication des Rapport ITIE sur le secteur forestier  </w:t>
            </w:r>
          </w:p>
        </w:tc>
        <w:tc>
          <w:tcPr>
            <w:tcW w:w="1122" w:type="dxa"/>
            <w:noWrap/>
            <w:vAlign w:val="center"/>
            <w:hideMark/>
          </w:tcPr>
          <w:p w14:paraId="7DB52306" w14:textId="77777777" w:rsidR="00087FE7" w:rsidRPr="00E11FFB" w:rsidRDefault="00087FE7">
            <w:pPr>
              <w:jc w:val="center"/>
              <w:rPr>
                <w:rFonts w:ascii="Calibri" w:hAnsi="Calibri" w:cs="Calibri"/>
                <w:color w:val="000000"/>
                <w:sz w:val="16"/>
                <w:szCs w:val="16"/>
              </w:rPr>
            </w:pPr>
            <w:r w:rsidRPr="00E11FFB">
              <w:rPr>
                <w:rFonts w:ascii="Calibri" w:hAnsi="Calibri" w:cs="Calibri"/>
                <w:color w:val="000000"/>
                <w:sz w:val="16"/>
                <w:szCs w:val="16"/>
              </w:rPr>
              <w:t>0</w:t>
            </w:r>
          </w:p>
        </w:tc>
        <w:tc>
          <w:tcPr>
            <w:tcW w:w="1634" w:type="dxa"/>
            <w:vAlign w:val="center"/>
            <w:hideMark/>
          </w:tcPr>
          <w:p w14:paraId="290D8FBF"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xml:space="preserve">Publication des Rapports ITIE (2023-2024-2025) sur le secteur forestier </w:t>
            </w:r>
          </w:p>
        </w:tc>
        <w:tc>
          <w:tcPr>
            <w:tcW w:w="1252" w:type="dxa"/>
            <w:noWrap/>
            <w:vAlign w:val="center"/>
            <w:hideMark/>
          </w:tcPr>
          <w:p w14:paraId="085061E4" w14:textId="45D2DE99" w:rsidR="00087FE7" w:rsidRPr="00E11FFB" w:rsidRDefault="001A55CF">
            <w:pPr>
              <w:rPr>
                <w:rFonts w:ascii="Calibri" w:hAnsi="Calibri" w:cs="Calibri"/>
                <w:color w:val="000000"/>
                <w:sz w:val="16"/>
                <w:szCs w:val="16"/>
              </w:rPr>
            </w:pPr>
            <w:r w:rsidRPr="00E11FFB">
              <w:rPr>
                <w:rFonts w:ascii="Calibri" w:hAnsi="Calibri" w:cs="Calibri"/>
                <w:color w:val="000000"/>
                <w:sz w:val="16"/>
                <w:szCs w:val="16"/>
              </w:rPr>
              <w:t xml:space="preserve">TDRs produits </w:t>
            </w:r>
          </w:p>
        </w:tc>
        <w:tc>
          <w:tcPr>
            <w:tcW w:w="1241" w:type="dxa"/>
            <w:noWrap/>
            <w:vAlign w:val="center"/>
            <w:hideMark/>
          </w:tcPr>
          <w:p w14:paraId="0EC81098" w14:textId="10CBB36C"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r w:rsidR="008D112D" w:rsidRPr="00E11FFB">
              <w:rPr>
                <w:rFonts w:ascii="Calibri" w:hAnsi="Calibri" w:cs="Calibri"/>
                <w:color w:val="000000"/>
                <w:sz w:val="16"/>
                <w:szCs w:val="16"/>
              </w:rPr>
              <w:t xml:space="preserve"> </w:t>
            </w:r>
          </w:p>
        </w:tc>
        <w:tc>
          <w:tcPr>
            <w:tcW w:w="1593" w:type="dxa"/>
            <w:vAlign w:val="center"/>
            <w:hideMark/>
          </w:tcPr>
          <w:p w14:paraId="2C314381" w14:textId="77777777" w:rsidR="00087FE7" w:rsidRPr="00E11FFB" w:rsidRDefault="00087FE7" w:rsidP="00CB360A">
            <w:pPr>
              <w:rPr>
                <w:rFonts w:ascii="Calibri" w:hAnsi="Calibri" w:cs="Calibri"/>
                <w:color w:val="000000"/>
                <w:sz w:val="16"/>
                <w:szCs w:val="16"/>
              </w:rPr>
            </w:pPr>
            <w:r w:rsidRPr="00E11FFB">
              <w:rPr>
                <w:rFonts w:ascii="Calibri" w:hAnsi="Calibri" w:cs="Calibri"/>
                <w:color w:val="000000"/>
                <w:sz w:val="16"/>
                <w:szCs w:val="16"/>
              </w:rPr>
              <w:t xml:space="preserve">Publication des </w:t>
            </w:r>
            <w:r w:rsidRPr="00E11FFB">
              <w:rPr>
                <w:rFonts w:ascii="Calibri" w:hAnsi="Calibri" w:cs="Calibri"/>
                <w:color w:val="000000"/>
                <w:sz w:val="16"/>
                <w:szCs w:val="16"/>
              </w:rPr>
              <w:br/>
              <w:t xml:space="preserve">Rapports ITIE (2026) </w:t>
            </w:r>
            <w:r w:rsidRPr="00E11FFB">
              <w:rPr>
                <w:rFonts w:ascii="Calibri" w:hAnsi="Calibri" w:cs="Calibri"/>
                <w:color w:val="000000"/>
                <w:sz w:val="16"/>
                <w:szCs w:val="16"/>
              </w:rPr>
              <w:br/>
              <w:t>sur le secteur forestier</w:t>
            </w:r>
          </w:p>
        </w:tc>
        <w:tc>
          <w:tcPr>
            <w:tcW w:w="889" w:type="dxa"/>
            <w:noWrap/>
            <w:vAlign w:val="center"/>
            <w:hideMark/>
          </w:tcPr>
          <w:p w14:paraId="78F76CBF"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c>
          <w:tcPr>
            <w:tcW w:w="1613" w:type="dxa"/>
            <w:noWrap/>
            <w:vAlign w:val="center"/>
            <w:hideMark/>
          </w:tcPr>
          <w:p w14:paraId="4713E721"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c>
          <w:tcPr>
            <w:tcW w:w="1572" w:type="dxa"/>
            <w:noWrap/>
            <w:vAlign w:val="center"/>
            <w:hideMark/>
          </w:tcPr>
          <w:p w14:paraId="6196ADAF" w14:textId="77777777" w:rsidR="00087FE7" w:rsidRPr="00E11FFB" w:rsidRDefault="00087FE7">
            <w:pPr>
              <w:rPr>
                <w:rFonts w:ascii="Calibri" w:hAnsi="Calibri" w:cs="Calibri"/>
                <w:color w:val="000000"/>
                <w:sz w:val="16"/>
                <w:szCs w:val="16"/>
              </w:rPr>
            </w:pPr>
            <w:r w:rsidRPr="00E11FFB">
              <w:rPr>
                <w:rFonts w:ascii="Calibri" w:hAnsi="Calibri" w:cs="Calibri"/>
                <w:color w:val="000000"/>
                <w:sz w:val="16"/>
                <w:szCs w:val="16"/>
              </w:rPr>
              <w:t> </w:t>
            </w:r>
          </w:p>
        </w:tc>
      </w:tr>
      <w:tr w:rsidR="00987BAD" w:rsidRPr="00E11FFB" w14:paraId="181B5059" w14:textId="77777777" w:rsidTr="00FC2A97">
        <w:trPr>
          <w:trHeight w:val="1015"/>
        </w:trPr>
        <w:tc>
          <w:tcPr>
            <w:tcW w:w="1779" w:type="dxa"/>
            <w:vMerge/>
            <w:vAlign w:val="center"/>
            <w:hideMark/>
          </w:tcPr>
          <w:p w14:paraId="38C226AB" w14:textId="77777777" w:rsidR="00987BAD" w:rsidRPr="00E11FFB" w:rsidRDefault="00987BAD" w:rsidP="00987BAD">
            <w:pPr>
              <w:rPr>
                <w:rFonts w:ascii="Calibri" w:hAnsi="Calibri" w:cs="Calibri"/>
                <w:color w:val="000000"/>
                <w:sz w:val="16"/>
                <w:szCs w:val="16"/>
              </w:rPr>
            </w:pPr>
          </w:p>
        </w:tc>
        <w:tc>
          <w:tcPr>
            <w:tcW w:w="2215" w:type="dxa"/>
            <w:vAlign w:val="center"/>
            <w:hideMark/>
          </w:tcPr>
          <w:p w14:paraId="0B523515" w14:textId="19DD783A"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Des contrats de concessions d'exploitation industrielle des forêts et de conservation des forêts sont publiés sur le site web</w:t>
            </w:r>
          </w:p>
        </w:tc>
        <w:tc>
          <w:tcPr>
            <w:tcW w:w="1122" w:type="dxa"/>
            <w:noWrap/>
            <w:vAlign w:val="center"/>
            <w:hideMark/>
          </w:tcPr>
          <w:p w14:paraId="6BCB1AA0" w14:textId="1AC366BD" w:rsidR="00987BAD" w:rsidRPr="00E11FFB" w:rsidRDefault="00710B90" w:rsidP="00987BAD">
            <w:pPr>
              <w:jc w:val="center"/>
              <w:rPr>
                <w:rFonts w:ascii="Calibri" w:hAnsi="Calibri" w:cs="Calibri"/>
                <w:color w:val="000000"/>
                <w:sz w:val="16"/>
                <w:szCs w:val="16"/>
              </w:rPr>
            </w:pPr>
            <w:r w:rsidRPr="00E11FFB">
              <w:rPr>
                <w:rFonts w:ascii="Calibri" w:hAnsi="Calibri" w:cs="Calibri"/>
                <w:color w:val="000000"/>
                <w:sz w:val="16"/>
                <w:szCs w:val="16"/>
              </w:rPr>
              <w:t>Aucun contrat de concessions d'exploitation industrielle des forêts et de conservation des forêts n’est publié sur le site web de l’ITIE</w:t>
            </w:r>
          </w:p>
        </w:tc>
        <w:tc>
          <w:tcPr>
            <w:tcW w:w="1634" w:type="dxa"/>
            <w:vAlign w:val="center"/>
          </w:tcPr>
          <w:p w14:paraId="69C96E93" w14:textId="32A5A4A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xml:space="preserve">Publication des Rapports ITIE (2023-2024-2025) sur le secteur forestier </w:t>
            </w:r>
          </w:p>
        </w:tc>
        <w:tc>
          <w:tcPr>
            <w:tcW w:w="1252" w:type="dxa"/>
            <w:noWrap/>
            <w:vAlign w:val="center"/>
            <w:hideMark/>
          </w:tcPr>
          <w:p w14:paraId="6FA3E061" w14:textId="3127426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w:t>
            </w:r>
            <w:r w:rsidR="001A55CF" w:rsidRPr="00E11FFB">
              <w:rPr>
                <w:rFonts w:ascii="Calibri" w:hAnsi="Calibri" w:cs="Calibri"/>
                <w:color w:val="000000"/>
                <w:sz w:val="16"/>
                <w:szCs w:val="16"/>
              </w:rPr>
              <w:t>Identification des rapports et documents contractuels existants.</w:t>
            </w:r>
          </w:p>
        </w:tc>
        <w:tc>
          <w:tcPr>
            <w:tcW w:w="1241" w:type="dxa"/>
            <w:noWrap/>
            <w:vAlign w:val="center"/>
          </w:tcPr>
          <w:p w14:paraId="7CE3E76A" w14:textId="6B503528" w:rsidR="00987BAD" w:rsidRPr="00E11FFB" w:rsidRDefault="00987BAD" w:rsidP="00987BAD">
            <w:pPr>
              <w:rPr>
                <w:rFonts w:ascii="Calibri" w:hAnsi="Calibri" w:cs="Calibri"/>
                <w:color w:val="000000"/>
                <w:sz w:val="16"/>
                <w:szCs w:val="16"/>
              </w:rPr>
            </w:pPr>
          </w:p>
        </w:tc>
        <w:tc>
          <w:tcPr>
            <w:tcW w:w="1593" w:type="dxa"/>
            <w:vAlign w:val="center"/>
          </w:tcPr>
          <w:p w14:paraId="6F90E0A5" w14:textId="7777777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xml:space="preserve">Publication des </w:t>
            </w:r>
          </w:p>
          <w:p w14:paraId="24071679" w14:textId="7777777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xml:space="preserve">Rapports ITIE (2026) </w:t>
            </w:r>
          </w:p>
          <w:p w14:paraId="4E31C937" w14:textId="3EF5F59A"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sur le secteur forestier</w:t>
            </w:r>
          </w:p>
        </w:tc>
        <w:tc>
          <w:tcPr>
            <w:tcW w:w="889" w:type="dxa"/>
            <w:noWrap/>
            <w:vAlign w:val="center"/>
            <w:hideMark/>
          </w:tcPr>
          <w:p w14:paraId="6701189F" w14:textId="7777777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w:t>
            </w:r>
          </w:p>
        </w:tc>
        <w:tc>
          <w:tcPr>
            <w:tcW w:w="1613" w:type="dxa"/>
            <w:noWrap/>
            <w:vAlign w:val="center"/>
            <w:hideMark/>
          </w:tcPr>
          <w:p w14:paraId="301A7D34" w14:textId="7777777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w:t>
            </w:r>
          </w:p>
        </w:tc>
        <w:tc>
          <w:tcPr>
            <w:tcW w:w="1572" w:type="dxa"/>
            <w:noWrap/>
            <w:vAlign w:val="center"/>
            <w:hideMark/>
          </w:tcPr>
          <w:p w14:paraId="03420DE2" w14:textId="77777777" w:rsidR="00987BAD" w:rsidRPr="00E11FFB" w:rsidRDefault="00987BAD" w:rsidP="00987BAD">
            <w:pPr>
              <w:rPr>
                <w:rFonts w:ascii="Calibri" w:hAnsi="Calibri" w:cs="Calibri"/>
                <w:color w:val="000000"/>
                <w:sz w:val="16"/>
                <w:szCs w:val="16"/>
              </w:rPr>
            </w:pPr>
            <w:r w:rsidRPr="00E11FFB">
              <w:rPr>
                <w:rFonts w:ascii="Calibri" w:hAnsi="Calibri" w:cs="Calibri"/>
                <w:color w:val="000000"/>
                <w:sz w:val="16"/>
                <w:szCs w:val="16"/>
              </w:rPr>
              <w:t> </w:t>
            </w:r>
          </w:p>
        </w:tc>
      </w:tr>
      <w:tr w:rsidR="00987BAD" w:rsidRPr="00E11FFB" w14:paraId="0EF2D585" w14:textId="77777777" w:rsidTr="00FC2A97">
        <w:trPr>
          <w:trHeight w:val="2641"/>
        </w:trPr>
        <w:tc>
          <w:tcPr>
            <w:tcW w:w="1779" w:type="dxa"/>
            <w:vAlign w:val="center"/>
          </w:tcPr>
          <w:p w14:paraId="73C16A28" w14:textId="7D0D1F16" w:rsidR="00987BAD" w:rsidRPr="00E11FFB" w:rsidRDefault="00987BAD" w:rsidP="00987BAD">
            <w:pPr>
              <w:rPr>
                <w:rFonts w:ascii="Calibri" w:hAnsi="Calibri" w:cs="Calibri"/>
                <w:sz w:val="16"/>
                <w:szCs w:val="16"/>
              </w:rPr>
            </w:pPr>
            <w:r w:rsidRPr="00E11FFB">
              <w:rPr>
                <w:rFonts w:ascii="Calibri" w:hAnsi="Calibri" w:cs="Calibri"/>
                <w:sz w:val="16"/>
                <w:szCs w:val="16"/>
              </w:rPr>
              <w:t>Produit 6.2 (Jalon 6 c) : Démontrer la mise en œuvre des obligations légales de réalisation des évaluations environnementales et sociales par les opérateurs exerçant dans les secteurs forêt, mines, hydrocarbures, agriculture, infrastructures et énergie, etc. Pilotage</w:t>
            </w:r>
          </w:p>
        </w:tc>
        <w:tc>
          <w:tcPr>
            <w:tcW w:w="2215" w:type="dxa"/>
            <w:vAlign w:val="center"/>
          </w:tcPr>
          <w:p w14:paraId="5E126DB3" w14:textId="1E1F225D" w:rsidR="00987BAD" w:rsidRPr="00E11FFB" w:rsidRDefault="00987BAD" w:rsidP="00987BAD">
            <w:pPr>
              <w:rPr>
                <w:rFonts w:ascii="Calibri" w:hAnsi="Calibri" w:cs="Calibri"/>
                <w:sz w:val="16"/>
                <w:szCs w:val="16"/>
              </w:rPr>
            </w:pPr>
            <w:r w:rsidRPr="00E11FFB">
              <w:rPr>
                <w:rFonts w:ascii="Calibri" w:hAnsi="Calibri" w:cs="Calibri"/>
                <w:sz w:val="16"/>
                <w:szCs w:val="16"/>
              </w:rPr>
              <w:t>Publication du Rapport sur le respect par les opérateurs exerçant dans les secteurs forêt, mines, hydrocarbures, de leurs obligations environnementales et sociales</w:t>
            </w:r>
          </w:p>
        </w:tc>
        <w:tc>
          <w:tcPr>
            <w:tcW w:w="1122" w:type="dxa"/>
            <w:noWrap/>
            <w:vAlign w:val="center"/>
          </w:tcPr>
          <w:p w14:paraId="129B20F4" w14:textId="77777777" w:rsidR="00F74540" w:rsidRPr="002142A2" w:rsidRDefault="00F74540" w:rsidP="00F74540">
            <w:pPr>
              <w:pStyle w:val="Default"/>
              <w:jc w:val="center"/>
              <w:rPr>
                <w:sz w:val="16"/>
                <w:szCs w:val="16"/>
                <w:lang w:val="fr-CD"/>
              </w:rPr>
            </w:pPr>
            <w:r w:rsidRPr="002142A2">
              <w:rPr>
                <w:sz w:val="16"/>
                <w:szCs w:val="16"/>
                <w:lang w:val="fr-CD"/>
              </w:rPr>
              <w:t xml:space="preserve">Aucun Rapport ITIE sur le secteur forestier n’est publié </w:t>
            </w:r>
          </w:p>
          <w:p w14:paraId="04075EE5" w14:textId="77777777" w:rsidR="00987BAD" w:rsidRPr="00E11FFB" w:rsidRDefault="00987BAD" w:rsidP="00987BAD">
            <w:pPr>
              <w:jc w:val="center"/>
              <w:rPr>
                <w:rFonts w:ascii="Calibri" w:hAnsi="Calibri" w:cs="Calibri"/>
                <w:sz w:val="16"/>
                <w:szCs w:val="16"/>
              </w:rPr>
            </w:pPr>
          </w:p>
        </w:tc>
        <w:tc>
          <w:tcPr>
            <w:tcW w:w="1634" w:type="dxa"/>
            <w:vAlign w:val="center"/>
          </w:tcPr>
          <w:p w14:paraId="29D03C21" w14:textId="68164DEE" w:rsidR="00987BAD" w:rsidRPr="00E11FFB" w:rsidRDefault="00987BAD" w:rsidP="00987BAD">
            <w:pPr>
              <w:rPr>
                <w:rFonts w:ascii="Calibri" w:hAnsi="Calibri" w:cs="Calibri"/>
                <w:sz w:val="16"/>
                <w:szCs w:val="16"/>
              </w:rPr>
            </w:pPr>
            <w:r w:rsidRPr="00E11FFB">
              <w:rPr>
                <w:rFonts w:ascii="Calibri" w:hAnsi="Calibri" w:cs="Calibri"/>
                <w:sz w:val="16"/>
                <w:szCs w:val="16"/>
              </w:rPr>
              <w:t xml:space="preserve">Publication du Rapport sur le respect par les entreprises forestières, de leurs obligations environnementales et sociales. </w:t>
            </w:r>
          </w:p>
        </w:tc>
        <w:tc>
          <w:tcPr>
            <w:tcW w:w="1252" w:type="dxa"/>
            <w:noWrap/>
            <w:vAlign w:val="center"/>
          </w:tcPr>
          <w:p w14:paraId="349F75A9" w14:textId="3F0A47B6" w:rsidR="00987BAD" w:rsidRPr="00E11FFB" w:rsidRDefault="001A55CF" w:rsidP="00987BAD">
            <w:pPr>
              <w:rPr>
                <w:rFonts w:ascii="Calibri" w:hAnsi="Calibri" w:cs="Calibri"/>
                <w:sz w:val="16"/>
                <w:szCs w:val="16"/>
              </w:rPr>
            </w:pPr>
            <w:r w:rsidRPr="00E11FFB">
              <w:rPr>
                <w:rFonts w:ascii="Calibri" w:hAnsi="Calibri" w:cs="Calibri"/>
                <w:sz w:val="16"/>
                <w:szCs w:val="16"/>
              </w:rPr>
              <w:t>Réunions de planification ACE et ITIE, production des TDRS de recrutement du consultant</w:t>
            </w:r>
          </w:p>
        </w:tc>
        <w:tc>
          <w:tcPr>
            <w:tcW w:w="1241" w:type="dxa"/>
            <w:noWrap/>
            <w:vAlign w:val="center"/>
          </w:tcPr>
          <w:p w14:paraId="6471ACA8" w14:textId="79EAC812" w:rsidR="00987BAD" w:rsidRPr="00E11FFB" w:rsidRDefault="00987BAD" w:rsidP="00987BAD">
            <w:pPr>
              <w:rPr>
                <w:rFonts w:ascii="Calibri" w:hAnsi="Calibri" w:cs="Calibri"/>
                <w:sz w:val="16"/>
                <w:szCs w:val="16"/>
              </w:rPr>
            </w:pPr>
          </w:p>
        </w:tc>
        <w:tc>
          <w:tcPr>
            <w:tcW w:w="1593" w:type="dxa"/>
            <w:vAlign w:val="center"/>
          </w:tcPr>
          <w:p w14:paraId="77F9A82E" w14:textId="6A260D09" w:rsidR="00987BAD" w:rsidRPr="00E11FFB" w:rsidRDefault="00987BAD" w:rsidP="00987BAD">
            <w:pPr>
              <w:rPr>
                <w:rFonts w:ascii="Calibri" w:hAnsi="Calibri" w:cs="Calibri"/>
                <w:sz w:val="16"/>
                <w:szCs w:val="16"/>
              </w:rPr>
            </w:pPr>
            <w:r w:rsidRPr="00E11FFB">
              <w:rPr>
                <w:rFonts w:ascii="Calibri" w:hAnsi="Calibri" w:cs="Calibri"/>
                <w:sz w:val="16"/>
                <w:szCs w:val="16"/>
              </w:rPr>
              <w:t>Publication du Rapport sur le respect par les entreprises forestières, de leurs obligations environnementales et sociales (2023)</w:t>
            </w:r>
          </w:p>
        </w:tc>
        <w:tc>
          <w:tcPr>
            <w:tcW w:w="889" w:type="dxa"/>
            <w:noWrap/>
            <w:vAlign w:val="center"/>
          </w:tcPr>
          <w:p w14:paraId="3FB5F648" w14:textId="77777777" w:rsidR="00987BAD" w:rsidRPr="00E11FFB" w:rsidRDefault="00987BAD" w:rsidP="00987BAD">
            <w:pPr>
              <w:rPr>
                <w:rFonts w:ascii="Calibri" w:hAnsi="Calibri" w:cs="Calibri"/>
                <w:sz w:val="16"/>
                <w:szCs w:val="16"/>
              </w:rPr>
            </w:pPr>
          </w:p>
        </w:tc>
        <w:tc>
          <w:tcPr>
            <w:tcW w:w="1613" w:type="dxa"/>
            <w:noWrap/>
            <w:vAlign w:val="center"/>
          </w:tcPr>
          <w:p w14:paraId="42B5EE84" w14:textId="77777777" w:rsidR="00987BAD" w:rsidRPr="00E11FFB" w:rsidRDefault="00987BAD" w:rsidP="00987BAD">
            <w:pPr>
              <w:rPr>
                <w:rFonts w:ascii="Calibri" w:hAnsi="Calibri" w:cs="Calibri"/>
                <w:sz w:val="16"/>
                <w:szCs w:val="16"/>
              </w:rPr>
            </w:pPr>
          </w:p>
        </w:tc>
        <w:tc>
          <w:tcPr>
            <w:tcW w:w="1572" w:type="dxa"/>
            <w:noWrap/>
            <w:vAlign w:val="center"/>
          </w:tcPr>
          <w:p w14:paraId="588C06EF" w14:textId="77777777" w:rsidR="00987BAD" w:rsidRPr="00E11FFB" w:rsidRDefault="00987BAD" w:rsidP="00987BAD">
            <w:pPr>
              <w:rPr>
                <w:rFonts w:ascii="Calibri" w:hAnsi="Calibri" w:cs="Calibri"/>
                <w:sz w:val="16"/>
                <w:szCs w:val="16"/>
              </w:rPr>
            </w:pPr>
          </w:p>
        </w:tc>
      </w:tr>
      <w:tr w:rsidR="00A6465F" w:rsidRPr="00E11FFB" w14:paraId="2E0093B1" w14:textId="77777777" w:rsidTr="00FC2A97">
        <w:trPr>
          <w:trHeight w:val="2641"/>
        </w:trPr>
        <w:tc>
          <w:tcPr>
            <w:tcW w:w="1779" w:type="dxa"/>
            <w:noWrap/>
            <w:vAlign w:val="center"/>
            <w:hideMark/>
          </w:tcPr>
          <w:p w14:paraId="30C68A8C" w14:textId="77777777" w:rsidR="00987BAD" w:rsidRPr="00E11FFB" w:rsidRDefault="00987BAD" w:rsidP="00987BAD">
            <w:pPr>
              <w:rPr>
                <w:rFonts w:ascii="Calibri" w:hAnsi="Calibri" w:cs="Calibri"/>
                <w:sz w:val="16"/>
                <w:szCs w:val="16"/>
              </w:rPr>
            </w:pPr>
            <w:r w:rsidRPr="00E11FFB">
              <w:rPr>
                <w:rFonts w:ascii="Calibri" w:hAnsi="Calibri" w:cs="Calibri"/>
                <w:sz w:val="16"/>
                <w:szCs w:val="16"/>
              </w:rPr>
              <w:t> </w:t>
            </w:r>
          </w:p>
        </w:tc>
        <w:tc>
          <w:tcPr>
            <w:tcW w:w="2215" w:type="dxa"/>
            <w:vAlign w:val="center"/>
            <w:hideMark/>
          </w:tcPr>
          <w:p w14:paraId="4BBDE58A" w14:textId="4FB8D4A4" w:rsidR="00987BAD" w:rsidRPr="00E11FFB" w:rsidRDefault="00987BAD" w:rsidP="00987BAD">
            <w:pPr>
              <w:rPr>
                <w:rFonts w:ascii="Calibri" w:hAnsi="Calibri" w:cs="Calibri"/>
                <w:sz w:val="16"/>
                <w:szCs w:val="16"/>
              </w:rPr>
            </w:pPr>
            <w:r w:rsidRPr="00E11FFB">
              <w:rPr>
                <w:rFonts w:ascii="Calibri" w:hAnsi="Calibri" w:cs="Calibri"/>
                <w:sz w:val="16"/>
                <w:szCs w:val="16"/>
              </w:rPr>
              <w:t xml:space="preserve">Nombre de délégués des </w:t>
            </w:r>
            <w:r w:rsidRPr="00E11FFB">
              <w:rPr>
                <w:rFonts w:ascii="Calibri" w:hAnsi="Calibri" w:cs="Calibri"/>
                <w:sz w:val="16"/>
                <w:szCs w:val="16"/>
              </w:rPr>
              <w:br/>
              <w:t xml:space="preserve">structures du Ministère de l'EDD et les parties prenantes </w:t>
            </w:r>
            <w:r w:rsidRPr="00E11FFB">
              <w:rPr>
                <w:rFonts w:ascii="Calibri" w:hAnsi="Calibri" w:cs="Calibri"/>
                <w:sz w:val="16"/>
                <w:szCs w:val="16"/>
              </w:rPr>
              <w:br/>
              <w:t xml:space="preserve">forêt qui participent activement (à 80 %) aux ateliers de dissémination et débats sur les Rapports l'ITIE </w:t>
            </w:r>
          </w:p>
        </w:tc>
        <w:tc>
          <w:tcPr>
            <w:tcW w:w="1122" w:type="dxa"/>
            <w:noWrap/>
            <w:vAlign w:val="center"/>
            <w:hideMark/>
          </w:tcPr>
          <w:p w14:paraId="4F1BC050" w14:textId="77777777" w:rsidR="00987BAD" w:rsidRPr="00E11FFB" w:rsidRDefault="00987BAD" w:rsidP="00987BAD">
            <w:pPr>
              <w:jc w:val="center"/>
              <w:rPr>
                <w:rFonts w:ascii="Calibri" w:hAnsi="Calibri" w:cs="Calibri"/>
                <w:sz w:val="16"/>
                <w:szCs w:val="16"/>
              </w:rPr>
            </w:pPr>
            <w:r w:rsidRPr="00E11FFB">
              <w:rPr>
                <w:rFonts w:ascii="Calibri" w:hAnsi="Calibri" w:cs="Calibri"/>
                <w:sz w:val="16"/>
                <w:szCs w:val="16"/>
              </w:rPr>
              <w:t>0</w:t>
            </w:r>
          </w:p>
        </w:tc>
        <w:tc>
          <w:tcPr>
            <w:tcW w:w="1634" w:type="dxa"/>
            <w:noWrap/>
            <w:vAlign w:val="center"/>
            <w:hideMark/>
          </w:tcPr>
          <w:p w14:paraId="76ADAD74" w14:textId="1B03D758" w:rsidR="00987BAD" w:rsidRPr="00E11FFB" w:rsidRDefault="00987BAD" w:rsidP="00987BAD">
            <w:pPr>
              <w:rPr>
                <w:rFonts w:ascii="Calibri" w:hAnsi="Calibri" w:cs="Calibri"/>
                <w:sz w:val="16"/>
                <w:szCs w:val="16"/>
              </w:rPr>
            </w:pPr>
            <w:r w:rsidRPr="00E11FFB">
              <w:rPr>
                <w:rFonts w:ascii="Calibri" w:hAnsi="Calibri" w:cs="Calibri"/>
                <w:sz w:val="16"/>
                <w:szCs w:val="16"/>
              </w:rPr>
              <w:t> Au moins 75 % de délégués des structures du Ministère de l'EDD et les parties prenantes forêt (dont 30 % des femmes et 70 % d’hommes) qui participent aux ateliers de dissémination et débats sur les Rapports l'ITIE</w:t>
            </w:r>
          </w:p>
        </w:tc>
        <w:tc>
          <w:tcPr>
            <w:tcW w:w="1252" w:type="dxa"/>
            <w:noWrap/>
            <w:vAlign w:val="center"/>
            <w:hideMark/>
          </w:tcPr>
          <w:p w14:paraId="7FE426A9" w14:textId="59CDAD16" w:rsidR="00987BAD" w:rsidRPr="00E11FFB" w:rsidRDefault="00987BAD" w:rsidP="00987BAD">
            <w:pPr>
              <w:rPr>
                <w:rFonts w:ascii="Calibri" w:hAnsi="Calibri" w:cs="Calibri"/>
                <w:sz w:val="16"/>
                <w:szCs w:val="16"/>
              </w:rPr>
            </w:pPr>
            <w:r w:rsidRPr="00E11FFB">
              <w:rPr>
                <w:rFonts w:ascii="Calibri" w:hAnsi="Calibri" w:cs="Calibri"/>
                <w:sz w:val="16"/>
                <w:szCs w:val="16"/>
              </w:rPr>
              <w:t> </w:t>
            </w:r>
            <w:r w:rsidR="001A55CF" w:rsidRPr="00E11FFB">
              <w:rPr>
                <w:rFonts w:ascii="Calibri" w:hAnsi="Calibri" w:cs="Calibri"/>
                <w:sz w:val="16"/>
                <w:szCs w:val="16"/>
              </w:rPr>
              <w:t>Non réalisé en 2025 en attendant les rapports (ITIE et ACE)</w:t>
            </w:r>
          </w:p>
        </w:tc>
        <w:tc>
          <w:tcPr>
            <w:tcW w:w="1241" w:type="dxa"/>
            <w:noWrap/>
            <w:vAlign w:val="center"/>
            <w:hideMark/>
          </w:tcPr>
          <w:p w14:paraId="6EAC1468" w14:textId="3423BB1A" w:rsidR="00987BAD" w:rsidRPr="00E11FFB" w:rsidRDefault="00987BAD" w:rsidP="00987BAD">
            <w:pPr>
              <w:rPr>
                <w:rFonts w:ascii="Calibri" w:hAnsi="Calibri" w:cs="Calibri"/>
                <w:sz w:val="16"/>
                <w:szCs w:val="16"/>
              </w:rPr>
            </w:pPr>
          </w:p>
        </w:tc>
        <w:tc>
          <w:tcPr>
            <w:tcW w:w="1593" w:type="dxa"/>
            <w:vAlign w:val="center"/>
            <w:hideMark/>
          </w:tcPr>
          <w:p w14:paraId="5A97D317" w14:textId="77777777" w:rsidR="00987BAD" w:rsidRPr="00E11FFB" w:rsidRDefault="00987BAD" w:rsidP="00987BAD">
            <w:pPr>
              <w:rPr>
                <w:rFonts w:ascii="Calibri" w:hAnsi="Calibri" w:cs="Calibri"/>
                <w:sz w:val="16"/>
                <w:szCs w:val="16"/>
              </w:rPr>
            </w:pPr>
            <w:r w:rsidRPr="00E11FFB">
              <w:rPr>
                <w:rFonts w:ascii="Calibri" w:hAnsi="Calibri" w:cs="Calibri"/>
                <w:sz w:val="16"/>
                <w:szCs w:val="16"/>
              </w:rPr>
              <w:t xml:space="preserve">Au moins 90 % </w:t>
            </w:r>
            <w:r w:rsidRPr="00E11FFB">
              <w:rPr>
                <w:rFonts w:ascii="Calibri" w:hAnsi="Calibri" w:cs="Calibri"/>
                <w:sz w:val="16"/>
                <w:szCs w:val="16"/>
              </w:rPr>
              <w:br/>
              <w:t xml:space="preserve">délégués des </w:t>
            </w:r>
            <w:r w:rsidRPr="00E11FFB">
              <w:rPr>
                <w:rFonts w:ascii="Calibri" w:hAnsi="Calibri" w:cs="Calibri"/>
                <w:sz w:val="16"/>
                <w:szCs w:val="16"/>
              </w:rPr>
              <w:br/>
              <w:t xml:space="preserve">structures du </w:t>
            </w:r>
            <w:r w:rsidRPr="00E11FFB">
              <w:rPr>
                <w:rFonts w:ascii="Calibri" w:hAnsi="Calibri" w:cs="Calibri"/>
                <w:sz w:val="16"/>
                <w:szCs w:val="16"/>
              </w:rPr>
              <w:br/>
              <w:t xml:space="preserve">Ministère de l'EDD et </w:t>
            </w:r>
            <w:r w:rsidRPr="00E11FFB">
              <w:rPr>
                <w:rFonts w:ascii="Calibri" w:hAnsi="Calibri" w:cs="Calibri"/>
                <w:sz w:val="16"/>
                <w:szCs w:val="16"/>
              </w:rPr>
              <w:br/>
              <w:t xml:space="preserve">parties prenantes </w:t>
            </w:r>
            <w:r w:rsidRPr="00E11FFB">
              <w:rPr>
                <w:rFonts w:ascii="Calibri" w:hAnsi="Calibri" w:cs="Calibri"/>
                <w:sz w:val="16"/>
                <w:szCs w:val="16"/>
              </w:rPr>
              <w:br/>
              <w:t xml:space="preserve">forêt (dont 30 % des femmes et 70 % d’hommes) </w:t>
            </w:r>
            <w:r w:rsidRPr="00E11FFB">
              <w:rPr>
                <w:rFonts w:ascii="Calibri" w:hAnsi="Calibri" w:cs="Calibri"/>
                <w:sz w:val="16"/>
                <w:szCs w:val="16"/>
              </w:rPr>
              <w:br/>
              <w:t xml:space="preserve">participent aux </w:t>
            </w:r>
            <w:r w:rsidRPr="00E11FFB">
              <w:rPr>
                <w:rFonts w:ascii="Calibri" w:hAnsi="Calibri" w:cs="Calibri"/>
                <w:sz w:val="16"/>
                <w:szCs w:val="16"/>
              </w:rPr>
              <w:br/>
              <w:t xml:space="preserve">ateliers de </w:t>
            </w:r>
            <w:r w:rsidRPr="00E11FFB">
              <w:rPr>
                <w:rFonts w:ascii="Calibri" w:hAnsi="Calibri" w:cs="Calibri"/>
                <w:sz w:val="16"/>
                <w:szCs w:val="16"/>
              </w:rPr>
              <w:br/>
              <w:t xml:space="preserve">dissémination et </w:t>
            </w:r>
            <w:r w:rsidRPr="00E11FFB">
              <w:rPr>
                <w:rFonts w:ascii="Calibri" w:hAnsi="Calibri" w:cs="Calibri"/>
                <w:sz w:val="16"/>
                <w:szCs w:val="16"/>
              </w:rPr>
              <w:br/>
              <w:t xml:space="preserve">débats sur les </w:t>
            </w:r>
            <w:r w:rsidRPr="00E11FFB">
              <w:rPr>
                <w:rFonts w:ascii="Calibri" w:hAnsi="Calibri" w:cs="Calibri"/>
                <w:sz w:val="16"/>
                <w:szCs w:val="16"/>
              </w:rPr>
              <w:br/>
              <w:t xml:space="preserve">Rapports l'ITIE </w:t>
            </w:r>
          </w:p>
        </w:tc>
        <w:tc>
          <w:tcPr>
            <w:tcW w:w="889" w:type="dxa"/>
            <w:noWrap/>
            <w:vAlign w:val="center"/>
            <w:hideMark/>
          </w:tcPr>
          <w:p w14:paraId="0D89F632" w14:textId="77777777" w:rsidR="00987BAD" w:rsidRPr="00E11FFB" w:rsidRDefault="00987BAD" w:rsidP="00987BAD">
            <w:pPr>
              <w:rPr>
                <w:rFonts w:ascii="Calibri" w:hAnsi="Calibri" w:cs="Calibri"/>
                <w:sz w:val="16"/>
                <w:szCs w:val="16"/>
              </w:rPr>
            </w:pPr>
            <w:r w:rsidRPr="00E11FFB">
              <w:rPr>
                <w:rFonts w:ascii="Calibri" w:hAnsi="Calibri" w:cs="Calibri"/>
                <w:sz w:val="16"/>
                <w:szCs w:val="16"/>
              </w:rPr>
              <w:t> </w:t>
            </w:r>
          </w:p>
        </w:tc>
        <w:tc>
          <w:tcPr>
            <w:tcW w:w="1613" w:type="dxa"/>
            <w:noWrap/>
            <w:vAlign w:val="center"/>
            <w:hideMark/>
          </w:tcPr>
          <w:p w14:paraId="00B691AB" w14:textId="77777777" w:rsidR="00987BAD" w:rsidRPr="00E11FFB" w:rsidRDefault="00987BAD" w:rsidP="00987BAD">
            <w:pPr>
              <w:rPr>
                <w:rFonts w:ascii="Calibri" w:hAnsi="Calibri" w:cs="Calibri"/>
                <w:sz w:val="16"/>
                <w:szCs w:val="16"/>
              </w:rPr>
            </w:pPr>
            <w:r w:rsidRPr="00E11FFB">
              <w:rPr>
                <w:rFonts w:ascii="Calibri" w:hAnsi="Calibri" w:cs="Calibri"/>
                <w:sz w:val="16"/>
                <w:szCs w:val="16"/>
              </w:rPr>
              <w:t> </w:t>
            </w:r>
          </w:p>
        </w:tc>
        <w:tc>
          <w:tcPr>
            <w:tcW w:w="1572" w:type="dxa"/>
            <w:noWrap/>
            <w:vAlign w:val="center"/>
            <w:hideMark/>
          </w:tcPr>
          <w:p w14:paraId="76FEF4C1" w14:textId="77777777" w:rsidR="00987BAD" w:rsidRPr="00E11FFB" w:rsidRDefault="00987BAD" w:rsidP="00987BAD">
            <w:pPr>
              <w:rPr>
                <w:rFonts w:ascii="Calibri" w:hAnsi="Calibri" w:cs="Calibri"/>
                <w:sz w:val="16"/>
                <w:szCs w:val="16"/>
              </w:rPr>
            </w:pPr>
            <w:r w:rsidRPr="00E11FFB">
              <w:rPr>
                <w:rFonts w:ascii="Calibri" w:hAnsi="Calibri" w:cs="Calibri"/>
                <w:sz w:val="16"/>
                <w:szCs w:val="16"/>
              </w:rPr>
              <w:t> </w:t>
            </w:r>
          </w:p>
        </w:tc>
      </w:tr>
      <w:tr w:rsidR="001A55CF" w:rsidRPr="00E11FFB" w14:paraId="2D68B848" w14:textId="77777777" w:rsidTr="00FC2A97">
        <w:trPr>
          <w:trHeight w:val="2641"/>
        </w:trPr>
        <w:tc>
          <w:tcPr>
            <w:tcW w:w="1779" w:type="dxa"/>
            <w:noWrap/>
            <w:vAlign w:val="center"/>
            <w:hideMark/>
          </w:tcPr>
          <w:p w14:paraId="672EAAD1"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2215" w:type="dxa"/>
            <w:vAlign w:val="center"/>
            <w:hideMark/>
          </w:tcPr>
          <w:p w14:paraId="045BF2A4" w14:textId="1EA6178D"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Pourcentage de délégués des </w:t>
            </w:r>
            <w:r w:rsidRPr="00E11FFB">
              <w:rPr>
                <w:rFonts w:ascii="Calibri" w:hAnsi="Calibri" w:cs="Calibri"/>
                <w:sz w:val="16"/>
                <w:szCs w:val="16"/>
              </w:rPr>
              <w:br/>
              <w:t xml:space="preserve">structures du Ministère de </w:t>
            </w:r>
            <w:r w:rsidRPr="00E11FFB">
              <w:rPr>
                <w:rFonts w:ascii="Calibri" w:hAnsi="Calibri" w:cs="Calibri"/>
                <w:sz w:val="16"/>
                <w:szCs w:val="16"/>
              </w:rPr>
              <w:br/>
              <w:t xml:space="preserve">l'EDD et les parties prenantes </w:t>
            </w:r>
            <w:r w:rsidRPr="00E11FFB">
              <w:rPr>
                <w:rFonts w:ascii="Calibri" w:hAnsi="Calibri" w:cs="Calibri"/>
                <w:sz w:val="16"/>
                <w:szCs w:val="16"/>
              </w:rPr>
              <w:br/>
              <w:t xml:space="preserve">forêt qui participent activement aux ateliers de discussion sur le draft 0 des Rapports l'ITIE  </w:t>
            </w:r>
          </w:p>
        </w:tc>
        <w:tc>
          <w:tcPr>
            <w:tcW w:w="1122" w:type="dxa"/>
            <w:noWrap/>
            <w:vAlign w:val="center"/>
            <w:hideMark/>
          </w:tcPr>
          <w:p w14:paraId="56782178" w14:textId="64E24DAB" w:rsidR="001A55CF" w:rsidRPr="00E11FFB" w:rsidRDefault="001A55CF" w:rsidP="001A55CF">
            <w:pPr>
              <w:jc w:val="center"/>
              <w:rPr>
                <w:rFonts w:ascii="Calibri" w:hAnsi="Calibri" w:cs="Calibri"/>
                <w:sz w:val="16"/>
                <w:szCs w:val="16"/>
              </w:rPr>
            </w:pPr>
            <w:r w:rsidRPr="00E11FFB">
              <w:rPr>
                <w:rFonts w:ascii="Calibri" w:hAnsi="Calibri" w:cs="Calibri"/>
                <w:sz w:val="16"/>
                <w:szCs w:val="16"/>
              </w:rPr>
              <w:t>0%</w:t>
            </w:r>
          </w:p>
        </w:tc>
        <w:tc>
          <w:tcPr>
            <w:tcW w:w="1634" w:type="dxa"/>
            <w:noWrap/>
            <w:vAlign w:val="center"/>
            <w:hideMark/>
          </w:tcPr>
          <w:p w14:paraId="59A8D2A8" w14:textId="3DB3354F" w:rsidR="001A55CF" w:rsidRPr="00E11FFB" w:rsidRDefault="001A55CF" w:rsidP="001A55CF">
            <w:pPr>
              <w:rPr>
                <w:rFonts w:ascii="Calibri" w:hAnsi="Calibri" w:cs="Calibri"/>
                <w:sz w:val="16"/>
                <w:szCs w:val="16"/>
              </w:rPr>
            </w:pPr>
            <w:r w:rsidRPr="00E11FFB">
              <w:rPr>
                <w:rFonts w:ascii="Calibri" w:hAnsi="Calibri" w:cs="Calibri"/>
                <w:sz w:val="16"/>
                <w:szCs w:val="16"/>
              </w:rPr>
              <w:t> Au moins 75 % de délégués des structures du Ministère de l'EDD et les parties prenantes forêt (dont 30 % des femmes et 70 % d’hommes) qui participent aux ateliers de dissémination et débats sur les Rapports l'ITIE</w:t>
            </w:r>
          </w:p>
        </w:tc>
        <w:tc>
          <w:tcPr>
            <w:tcW w:w="1252" w:type="dxa"/>
            <w:noWrap/>
            <w:vAlign w:val="center"/>
            <w:hideMark/>
          </w:tcPr>
          <w:p w14:paraId="3CA65D9C" w14:textId="24A31CC4"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Non réalisé en 2025 </w:t>
            </w:r>
          </w:p>
        </w:tc>
        <w:tc>
          <w:tcPr>
            <w:tcW w:w="1241" w:type="dxa"/>
            <w:noWrap/>
            <w:vAlign w:val="center"/>
          </w:tcPr>
          <w:p w14:paraId="5561F6B2" w14:textId="1B9F5D1B" w:rsidR="001A55CF" w:rsidRPr="00E11FFB" w:rsidRDefault="001A55CF" w:rsidP="001A55CF">
            <w:pPr>
              <w:rPr>
                <w:rFonts w:ascii="Calibri" w:hAnsi="Calibri" w:cs="Calibri"/>
                <w:sz w:val="16"/>
                <w:szCs w:val="16"/>
              </w:rPr>
            </w:pPr>
          </w:p>
        </w:tc>
        <w:tc>
          <w:tcPr>
            <w:tcW w:w="1593" w:type="dxa"/>
            <w:vAlign w:val="center"/>
            <w:hideMark/>
          </w:tcPr>
          <w:p w14:paraId="2A420061" w14:textId="5C97D3F8"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Au moins 85 % de </w:t>
            </w:r>
            <w:r w:rsidRPr="00E11FFB">
              <w:rPr>
                <w:rFonts w:ascii="Calibri" w:hAnsi="Calibri" w:cs="Calibri"/>
                <w:sz w:val="16"/>
                <w:szCs w:val="16"/>
              </w:rPr>
              <w:br/>
              <w:t xml:space="preserve">délégués des </w:t>
            </w:r>
            <w:r w:rsidRPr="00E11FFB">
              <w:rPr>
                <w:rFonts w:ascii="Calibri" w:hAnsi="Calibri" w:cs="Calibri"/>
                <w:sz w:val="16"/>
                <w:szCs w:val="16"/>
              </w:rPr>
              <w:br/>
              <w:t xml:space="preserve">structures du </w:t>
            </w:r>
            <w:r w:rsidRPr="00E11FFB">
              <w:rPr>
                <w:rFonts w:ascii="Calibri" w:hAnsi="Calibri" w:cs="Calibri"/>
                <w:sz w:val="16"/>
                <w:szCs w:val="16"/>
              </w:rPr>
              <w:br/>
              <w:t xml:space="preserve">Ministère de l'EDD et les parties prenantes forêt (dont 30 % des femmes et 70 % d’hommes) qui </w:t>
            </w:r>
            <w:r w:rsidRPr="00E11FFB">
              <w:rPr>
                <w:rFonts w:ascii="Calibri" w:hAnsi="Calibri" w:cs="Calibri"/>
                <w:sz w:val="16"/>
                <w:szCs w:val="16"/>
              </w:rPr>
              <w:br/>
              <w:t xml:space="preserve">participent aux </w:t>
            </w:r>
            <w:r w:rsidRPr="00E11FFB">
              <w:rPr>
                <w:rFonts w:ascii="Calibri" w:hAnsi="Calibri" w:cs="Calibri"/>
                <w:sz w:val="16"/>
                <w:szCs w:val="16"/>
              </w:rPr>
              <w:br/>
              <w:t xml:space="preserve">ateliers de dissémination et </w:t>
            </w:r>
            <w:r w:rsidRPr="00E11FFB">
              <w:rPr>
                <w:rFonts w:ascii="Calibri" w:hAnsi="Calibri" w:cs="Calibri"/>
                <w:sz w:val="16"/>
                <w:szCs w:val="16"/>
              </w:rPr>
              <w:br/>
              <w:t>débats sur les Rapports l'ITIE</w:t>
            </w:r>
          </w:p>
        </w:tc>
        <w:tc>
          <w:tcPr>
            <w:tcW w:w="889" w:type="dxa"/>
            <w:noWrap/>
            <w:vAlign w:val="center"/>
            <w:hideMark/>
          </w:tcPr>
          <w:p w14:paraId="41154A6D"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613" w:type="dxa"/>
            <w:noWrap/>
            <w:vAlign w:val="center"/>
            <w:hideMark/>
          </w:tcPr>
          <w:p w14:paraId="68D5127C"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72" w:type="dxa"/>
            <w:noWrap/>
            <w:vAlign w:val="center"/>
            <w:hideMark/>
          </w:tcPr>
          <w:p w14:paraId="5133058C"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r>
      <w:tr w:rsidR="001A55CF" w:rsidRPr="00E11FFB" w14:paraId="4F477D46" w14:textId="77777777" w:rsidTr="00FC2A97">
        <w:trPr>
          <w:trHeight w:val="1219"/>
        </w:trPr>
        <w:tc>
          <w:tcPr>
            <w:tcW w:w="1779" w:type="dxa"/>
            <w:noWrap/>
            <w:vAlign w:val="center"/>
            <w:hideMark/>
          </w:tcPr>
          <w:p w14:paraId="257275A1"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2215" w:type="dxa"/>
            <w:vAlign w:val="center"/>
            <w:hideMark/>
          </w:tcPr>
          <w:p w14:paraId="3317624D" w14:textId="212C6490"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Nombre des recommandations </w:t>
            </w:r>
            <w:r w:rsidRPr="00E11FFB">
              <w:rPr>
                <w:rFonts w:ascii="Calibri" w:hAnsi="Calibri" w:cs="Calibri"/>
                <w:sz w:val="16"/>
                <w:szCs w:val="16"/>
              </w:rPr>
              <w:br/>
              <w:t xml:space="preserve">formulées et partagées aux </w:t>
            </w:r>
            <w:r w:rsidRPr="00E11FFB">
              <w:rPr>
                <w:rFonts w:ascii="Calibri" w:hAnsi="Calibri" w:cs="Calibri"/>
                <w:sz w:val="16"/>
                <w:szCs w:val="16"/>
              </w:rPr>
              <w:br/>
              <w:t xml:space="preserve">parties prenantes </w:t>
            </w:r>
          </w:p>
        </w:tc>
        <w:tc>
          <w:tcPr>
            <w:tcW w:w="1122" w:type="dxa"/>
            <w:noWrap/>
            <w:vAlign w:val="center"/>
            <w:hideMark/>
          </w:tcPr>
          <w:p w14:paraId="23230262" w14:textId="77777777" w:rsidR="001A55CF" w:rsidRPr="00E11FFB" w:rsidRDefault="001A55CF" w:rsidP="001A55CF">
            <w:pPr>
              <w:jc w:val="center"/>
              <w:rPr>
                <w:rFonts w:ascii="Calibri" w:hAnsi="Calibri" w:cs="Calibri"/>
                <w:sz w:val="16"/>
                <w:szCs w:val="16"/>
              </w:rPr>
            </w:pPr>
            <w:r w:rsidRPr="00E11FFB">
              <w:rPr>
                <w:rFonts w:ascii="Calibri" w:hAnsi="Calibri" w:cs="Calibri"/>
                <w:sz w:val="16"/>
                <w:szCs w:val="16"/>
              </w:rPr>
              <w:t>0</w:t>
            </w:r>
          </w:p>
        </w:tc>
        <w:tc>
          <w:tcPr>
            <w:tcW w:w="1634" w:type="dxa"/>
            <w:noWrap/>
            <w:vAlign w:val="center"/>
            <w:hideMark/>
          </w:tcPr>
          <w:p w14:paraId="111F3E59" w14:textId="030092AC" w:rsidR="001A55CF" w:rsidRPr="00E11FFB" w:rsidRDefault="001A55CF" w:rsidP="001A55CF">
            <w:pPr>
              <w:rPr>
                <w:rFonts w:ascii="Calibri" w:hAnsi="Calibri" w:cs="Calibri"/>
                <w:sz w:val="16"/>
                <w:szCs w:val="16"/>
              </w:rPr>
            </w:pPr>
            <w:r w:rsidRPr="00E11FFB">
              <w:rPr>
                <w:rFonts w:ascii="Calibri" w:hAnsi="Calibri" w:cs="Calibri"/>
                <w:sz w:val="16"/>
                <w:szCs w:val="16"/>
              </w:rPr>
              <w:t> Au moins 75% de parties prenantes responsabilisées dans l’exécution des recommandations formulées</w:t>
            </w:r>
          </w:p>
        </w:tc>
        <w:tc>
          <w:tcPr>
            <w:tcW w:w="1252" w:type="dxa"/>
            <w:noWrap/>
            <w:vAlign w:val="center"/>
            <w:hideMark/>
          </w:tcPr>
          <w:p w14:paraId="76A7A084" w14:textId="4BEB030A"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 Non réalisé en 2025 </w:t>
            </w:r>
          </w:p>
        </w:tc>
        <w:tc>
          <w:tcPr>
            <w:tcW w:w="1241" w:type="dxa"/>
            <w:noWrap/>
            <w:vAlign w:val="center"/>
          </w:tcPr>
          <w:p w14:paraId="17C5CD09" w14:textId="4BC39446" w:rsidR="001A55CF" w:rsidRPr="00E11FFB" w:rsidRDefault="001A55CF" w:rsidP="001A55CF">
            <w:pPr>
              <w:rPr>
                <w:rFonts w:ascii="Calibri" w:hAnsi="Calibri" w:cs="Calibri"/>
                <w:sz w:val="16"/>
                <w:szCs w:val="16"/>
              </w:rPr>
            </w:pPr>
          </w:p>
        </w:tc>
        <w:tc>
          <w:tcPr>
            <w:tcW w:w="1593" w:type="dxa"/>
            <w:vAlign w:val="center"/>
            <w:hideMark/>
          </w:tcPr>
          <w:p w14:paraId="1A578719"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Au moins 90 % de </w:t>
            </w:r>
            <w:r w:rsidRPr="00E11FFB">
              <w:rPr>
                <w:rFonts w:ascii="Calibri" w:hAnsi="Calibri" w:cs="Calibri"/>
                <w:sz w:val="16"/>
                <w:szCs w:val="16"/>
              </w:rPr>
              <w:br/>
              <w:t xml:space="preserve">parties prenantes </w:t>
            </w:r>
            <w:r w:rsidRPr="00E11FFB">
              <w:rPr>
                <w:rFonts w:ascii="Calibri" w:hAnsi="Calibri" w:cs="Calibri"/>
                <w:sz w:val="16"/>
                <w:szCs w:val="16"/>
              </w:rPr>
              <w:br/>
              <w:t xml:space="preserve">responsabilisées dans </w:t>
            </w:r>
            <w:r w:rsidRPr="00E11FFB">
              <w:rPr>
                <w:rFonts w:ascii="Calibri" w:hAnsi="Calibri" w:cs="Calibri"/>
                <w:sz w:val="16"/>
                <w:szCs w:val="16"/>
              </w:rPr>
              <w:br/>
              <w:t xml:space="preserve">l’exécution des </w:t>
            </w:r>
            <w:r w:rsidRPr="00E11FFB">
              <w:rPr>
                <w:rFonts w:ascii="Calibri" w:hAnsi="Calibri" w:cs="Calibri"/>
                <w:sz w:val="16"/>
                <w:szCs w:val="16"/>
              </w:rPr>
              <w:br/>
              <w:t xml:space="preserve">recommandations </w:t>
            </w:r>
            <w:r w:rsidRPr="00E11FFB">
              <w:rPr>
                <w:rFonts w:ascii="Calibri" w:hAnsi="Calibri" w:cs="Calibri"/>
                <w:sz w:val="16"/>
                <w:szCs w:val="16"/>
              </w:rPr>
              <w:br/>
              <w:t>formulées</w:t>
            </w:r>
          </w:p>
        </w:tc>
        <w:tc>
          <w:tcPr>
            <w:tcW w:w="889" w:type="dxa"/>
            <w:noWrap/>
            <w:vAlign w:val="center"/>
            <w:hideMark/>
          </w:tcPr>
          <w:p w14:paraId="2AE67FBB"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613" w:type="dxa"/>
            <w:noWrap/>
            <w:vAlign w:val="center"/>
            <w:hideMark/>
          </w:tcPr>
          <w:p w14:paraId="67BF04DE"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72" w:type="dxa"/>
            <w:noWrap/>
            <w:vAlign w:val="center"/>
            <w:hideMark/>
          </w:tcPr>
          <w:p w14:paraId="262AB3FB"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r>
      <w:tr w:rsidR="001A55CF" w:rsidRPr="00E11FFB" w14:paraId="23AD7958" w14:textId="77777777" w:rsidTr="00FC2A97">
        <w:trPr>
          <w:trHeight w:val="858"/>
        </w:trPr>
        <w:tc>
          <w:tcPr>
            <w:tcW w:w="1779" w:type="dxa"/>
            <w:vMerge w:val="restart"/>
            <w:noWrap/>
            <w:vAlign w:val="center"/>
            <w:hideMark/>
          </w:tcPr>
          <w:p w14:paraId="6C1D34E1"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Renforcer la transparence, la communication et de la coordination dans la mise en œuvre du projet</w:t>
            </w:r>
          </w:p>
          <w:p w14:paraId="37828277"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p w14:paraId="049DBF26" w14:textId="24D3EA45"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2215" w:type="dxa"/>
            <w:vAlign w:val="center"/>
            <w:hideMark/>
          </w:tcPr>
          <w:p w14:paraId="32BACAAE" w14:textId="63C5C162"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Nb (calculé) de personnes </w:t>
            </w:r>
            <w:r w:rsidRPr="00E11FFB">
              <w:rPr>
                <w:rFonts w:ascii="Calibri" w:hAnsi="Calibri" w:cs="Calibri"/>
                <w:sz w:val="16"/>
                <w:szCs w:val="16"/>
              </w:rPr>
              <w:br/>
              <w:t xml:space="preserve">touchées par les campagnes de communication visant </w:t>
            </w:r>
            <w:r w:rsidRPr="00E11FFB">
              <w:rPr>
                <w:rFonts w:ascii="Calibri" w:hAnsi="Calibri" w:cs="Calibri"/>
                <w:sz w:val="16"/>
                <w:szCs w:val="16"/>
              </w:rPr>
              <w:br/>
              <w:t>principalement à informer sur le projet.</w:t>
            </w:r>
          </w:p>
        </w:tc>
        <w:tc>
          <w:tcPr>
            <w:tcW w:w="1122" w:type="dxa"/>
            <w:noWrap/>
            <w:vAlign w:val="center"/>
            <w:hideMark/>
          </w:tcPr>
          <w:p w14:paraId="42FE3FB1" w14:textId="77777777" w:rsidR="001A55CF" w:rsidRPr="00E11FFB" w:rsidRDefault="001A55CF" w:rsidP="001A55CF">
            <w:pPr>
              <w:jc w:val="center"/>
              <w:rPr>
                <w:rFonts w:ascii="Calibri" w:hAnsi="Calibri" w:cs="Calibri"/>
                <w:sz w:val="16"/>
                <w:szCs w:val="16"/>
              </w:rPr>
            </w:pPr>
            <w:r w:rsidRPr="00E11FFB">
              <w:rPr>
                <w:rFonts w:ascii="Calibri" w:hAnsi="Calibri" w:cs="Calibri"/>
                <w:sz w:val="16"/>
                <w:szCs w:val="16"/>
              </w:rPr>
              <w:t>0</w:t>
            </w:r>
          </w:p>
        </w:tc>
        <w:tc>
          <w:tcPr>
            <w:tcW w:w="1634" w:type="dxa"/>
            <w:noWrap/>
            <w:vAlign w:val="center"/>
            <w:hideMark/>
          </w:tcPr>
          <w:p w14:paraId="2EDE31E8" w14:textId="5E1D5360" w:rsidR="001A55CF" w:rsidRPr="00E11FFB" w:rsidRDefault="001A55CF" w:rsidP="001A55CF">
            <w:pPr>
              <w:rPr>
                <w:rFonts w:ascii="Calibri" w:hAnsi="Calibri" w:cs="Calibri"/>
                <w:sz w:val="16"/>
                <w:szCs w:val="16"/>
              </w:rPr>
            </w:pPr>
            <w:r w:rsidRPr="00E11FFB">
              <w:rPr>
                <w:rFonts w:ascii="Calibri" w:hAnsi="Calibri" w:cs="Calibri"/>
                <w:sz w:val="16"/>
                <w:szCs w:val="16"/>
              </w:rPr>
              <w:t> 50 % de la population cible dans les zones d’intervention.</w:t>
            </w:r>
          </w:p>
        </w:tc>
        <w:tc>
          <w:tcPr>
            <w:tcW w:w="1252" w:type="dxa"/>
            <w:noWrap/>
            <w:vAlign w:val="center"/>
            <w:hideMark/>
          </w:tcPr>
          <w:p w14:paraId="1D2D6B7F" w14:textId="126845BE" w:rsidR="001A55CF" w:rsidRPr="00E11FFB" w:rsidRDefault="00710B90" w:rsidP="002142A2">
            <w:pPr>
              <w:jc w:val="center"/>
              <w:rPr>
                <w:rFonts w:ascii="Calibri" w:hAnsi="Calibri" w:cs="Calibri"/>
                <w:sz w:val="16"/>
                <w:szCs w:val="16"/>
              </w:rPr>
            </w:pPr>
            <w:r w:rsidRPr="00E11FFB">
              <w:rPr>
                <w:rFonts w:ascii="Calibri" w:hAnsi="Calibri" w:cs="Calibri"/>
                <w:sz w:val="16"/>
                <w:szCs w:val="16"/>
              </w:rPr>
              <w:t>871</w:t>
            </w:r>
          </w:p>
        </w:tc>
        <w:tc>
          <w:tcPr>
            <w:tcW w:w="1241" w:type="dxa"/>
            <w:noWrap/>
            <w:vAlign w:val="center"/>
            <w:hideMark/>
          </w:tcPr>
          <w:p w14:paraId="7281B549"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93" w:type="dxa"/>
            <w:vAlign w:val="center"/>
            <w:hideMark/>
          </w:tcPr>
          <w:p w14:paraId="75149CAA"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90 % de la population </w:t>
            </w:r>
            <w:r w:rsidRPr="00E11FFB">
              <w:rPr>
                <w:rFonts w:ascii="Calibri" w:hAnsi="Calibri" w:cs="Calibri"/>
                <w:sz w:val="16"/>
                <w:szCs w:val="16"/>
              </w:rPr>
              <w:br/>
              <w:t xml:space="preserve">cible dans les zones </w:t>
            </w:r>
            <w:r w:rsidRPr="00E11FFB">
              <w:rPr>
                <w:rFonts w:ascii="Calibri" w:hAnsi="Calibri" w:cs="Calibri"/>
                <w:sz w:val="16"/>
                <w:szCs w:val="16"/>
              </w:rPr>
              <w:br/>
              <w:t xml:space="preserve">d’intervention. </w:t>
            </w:r>
          </w:p>
        </w:tc>
        <w:tc>
          <w:tcPr>
            <w:tcW w:w="889" w:type="dxa"/>
            <w:noWrap/>
            <w:vAlign w:val="center"/>
            <w:hideMark/>
          </w:tcPr>
          <w:p w14:paraId="32CB1C5F"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613" w:type="dxa"/>
            <w:noWrap/>
            <w:vAlign w:val="center"/>
            <w:hideMark/>
          </w:tcPr>
          <w:p w14:paraId="350C30AB"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72" w:type="dxa"/>
            <w:noWrap/>
            <w:vAlign w:val="center"/>
            <w:hideMark/>
          </w:tcPr>
          <w:p w14:paraId="2FB3E6E4"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r>
      <w:tr w:rsidR="001A55CF" w:rsidRPr="00E11FFB" w14:paraId="1EEB93B9" w14:textId="77777777" w:rsidTr="00FC2A97">
        <w:trPr>
          <w:trHeight w:val="858"/>
        </w:trPr>
        <w:tc>
          <w:tcPr>
            <w:tcW w:w="1779" w:type="dxa"/>
            <w:vMerge/>
            <w:noWrap/>
            <w:vAlign w:val="center"/>
            <w:hideMark/>
          </w:tcPr>
          <w:p w14:paraId="5114E781" w14:textId="6AE847F3" w:rsidR="001A55CF" w:rsidRPr="00E11FFB" w:rsidRDefault="001A55CF" w:rsidP="001A55CF">
            <w:pPr>
              <w:rPr>
                <w:rFonts w:ascii="Calibri" w:hAnsi="Calibri" w:cs="Calibri"/>
                <w:sz w:val="16"/>
                <w:szCs w:val="16"/>
              </w:rPr>
            </w:pPr>
          </w:p>
        </w:tc>
        <w:tc>
          <w:tcPr>
            <w:tcW w:w="2215" w:type="dxa"/>
            <w:vAlign w:val="center"/>
            <w:hideMark/>
          </w:tcPr>
          <w:p w14:paraId="2A022518" w14:textId="2614631E"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Nb (calculé) de personnes </w:t>
            </w:r>
            <w:r w:rsidRPr="00E11FFB">
              <w:rPr>
                <w:rFonts w:ascii="Calibri" w:hAnsi="Calibri" w:cs="Calibri"/>
                <w:sz w:val="16"/>
                <w:szCs w:val="16"/>
              </w:rPr>
              <w:br/>
              <w:t xml:space="preserve">touchées par les campagnes de communication visant </w:t>
            </w:r>
            <w:r w:rsidRPr="00E11FFB">
              <w:rPr>
                <w:rFonts w:ascii="Calibri" w:hAnsi="Calibri" w:cs="Calibri"/>
                <w:sz w:val="16"/>
                <w:szCs w:val="16"/>
              </w:rPr>
              <w:br/>
              <w:t xml:space="preserve">principalement à modifier les </w:t>
            </w:r>
            <w:r w:rsidRPr="00E11FFB">
              <w:rPr>
                <w:rFonts w:ascii="Calibri" w:hAnsi="Calibri" w:cs="Calibri"/>
                <w:sz w:val="16"/>
                <w:szCs w:val="16"/>
              </w:rPr>
              <w:br/>
              <w:t xml:space="preserve">attitudes et pratiques.  </w:t>
            </w:r>
          </w:p>
        </w:tc>
        <w:tc>
          <w:tcPr>
            <w:tcW w:w="1122" w:type="dxa"/>
            <w:noWrap/>
            <w:vAlign w:val="center"/>
            <w:hideMark/>
          </w:tcPr>
          <w:p w14:paraId="2F55CC68" w14:textId="77777777" w:rsidR="001A55CF" w:rsidRPr="00E11FFB" w:rsidRDefault="001A55CF" w:rsidP="001A55CF">
            <w:pPr>
              <w:jc w:val="center"/>
              <w:rPr>
                <w:rFonts w:ascii="Calibri" w:hAnsi="Calibri" w:cs="Calibri"/>
                <w:sz w:val="16"/>
                <w:szCs w:val="16"/>
              </w:rPr>
            </w:pPr>
            <w:r w:rsidRPr="00E11FFB">
              <w:rPr>
                <w:rFonts w:ascii="Calibri" w:hAnsi="Calibri" w:cs="Calibri"/>
                <w:sz w:val="16"/>
                <w:szCs w:val="16"/>
              </w:rPr>
              <w:t>0</w:t>
            </w:r>
          </w:p>
        </w:tc>
        <w:tc>
          <w:tcPr>
            <w:tcW w:w="1634" w:type="dxa"/>
            <w:noWrap/>
            <w:vAlign w:val="center"/>
            <w:hideMark/>
          </w:tcPr>
          <w:p w14:paraId="098F7E96" w14:textId="08D3569B" w:rsidR="001A55CF" w:rsidRPr="00E11FFB" w:rsidRDefault="001A55CF" w:rsidP="001A55CF">
            <w:pPr>
              <w:rPr>
                <w:rFonts w:ascii="Calibri" w:hAnsi="Calibri" w:cs="Calibri"/>
                <w:sz w:val="16"/>
                <w:szCs w:val="16"/>
              </w:rPr>
            </w:pPr>
            <w:r w:rsidRPr="00E11FFB">
              <w:rPr>
                <w:rFonts w:ascii="Calibri" w:hAnsi="Calibri" w:cs="Calibri"/>
                <w:sz w:val="16"/>
                <w:szCs w:val="16"/>
              </w:rPr>
              <w:t> 25 % de la population cible.</w:t>
            </w:r>
          </w:p>
        </w:tc>
        <w:tc>
          <w:tcPr>
            <w:tcW w:w="1252" w:type="dxa"/>
            <w:noWrap/>
            <w:vAlign w:val="center"/>
            <w:hideMark/>
          </w:tcPr>
          <w:p w14:paraId="60F7FAEF" w14:textId="27F2BCA1" w:rsidR="001A55CF" w:rsidRPr="00E11FFB" w:rsidRDefault="00710B90" w:rsidP="002142A2">
            <w:pPr>
              <w:jc w:val="center"/>
              <w:rPr>
                <w:rFonts w:ascii="Calibri" w:hAnsi="Calibri" w:cs="Calibri"/>
                <w:sz w:val="16"/>
                <w:szCs w:val="16"/>
              </w:rPr>
            </w:pPr>
            <w:r w:rsidRPr="00E11FFB">
              <w:rPr>
                <w:rFonts w:ascii="Calibri" w:hAnsi="Calibri" w:cs="Calibri"/>
                <w:sz w:val="16"/>
                <w:szCs w:val="16"/>
              </w:rPr>
              <w:t>837</w:t>
            </w:r>
          </w:p>
        </w:tc>
        <w:tc>
          <w:tcPr>
            <w:tcW w:w="1241" w:type="dxa"/>
            <w:noWrap/>
            <w:vAlign w:val="center"/>
            <w:hideMark/>
          </w:tcPr>
          <w:p w14:paraId="246296BE"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93" w:type="dxa"/>
            <w:vAlign w:val="center"/>
            <w:hideMark/>
          </w:tcPr>
          <w:p w14:paraId="753DAA6C"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75 % de la population </w:t>
            </w:r>
            <w:r w:rsidRPr="00E11FFB">
              <w:rPr>
                <w:rFonts w:ascii="Calibri" w:hAnsi="Calibri" w:cs="Calibri"/>
                <w:sz w:val="16"/>
                <w:szCs w:val="16"/>
              </w:rPr>
              <w:br/>
              <w:t>cible</w:t>
            </w:r>
          </w:p>
        </w:tc>
        <w:tc>
          <w:tcPr>
            <w:tcW w:w="889" w:type="dxa"/>
            <w:noWrap/>
            <w:vAlign w:val="center"/>
            <w:hideMark/>
          </w:tcPr>
          <w:p w14:paraId="59BFE24D"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613" w:type="dxa"/>
            <w:noWrap/>
            <w:vAlign w:val="center"/>
            <w:hideMark/>
          </w:tcPr>
          <w:p w14:paraId="3159818F"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72" w:type="dxa"/>
            <w:noWrap/>
            <w:vAlign w:val="center"/>
            <w:hideMark/>
          </w:tcPr>
          <w:p w14:paraId="51CC1FC4"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r>
      <w:tr w:rsidR="001A55CF" w:rsidRPr="00E11FFB" w14:paraId="6B63AC16" w14:textId="77777777" w:rsidTr="00FC2A97">
        <w:trPr>
          <w:trHeight w:val="692"/>
        </w:trPr>
        <w:tc>
          <w:tcPr>
            <w:tcW w:w="1779" w:type="dxa"/>
            <w:vMerge/>
            <w:noWrap/>
            <w:vAlign w:val="center"/>
            <w:hideMark/>
          </w:tcPr>
          <w:p w14:paraId="4E8EDACD" w14:textId="30EF0F3C" w:rsidR="001A55CF" w:rsidRPr="00E11FFB" w:rsidRDefault="001A55CF" w:rsidP="001A55CF">
            <w:pPr>
              <w:rPr>
                <w:rFonts w:ascii="Calibri" w:hAnsi="Calibri" w:cs="Calibri"/>
                <w:sz w:val="16"/>
                <w:szCs w:val="16"/>
              </w:rPr>
            </w:pPr>
          </w:p>
        </w:tc>
        <w:tc>
          <w:tcPr>
            <w:tcW w:w="2215" w:type="dxa"/>
            <w:vAlign w:val="center"/>
            <w:hideMark/>
          </w:tcPr>
          <w:p w14:paraId="596CC5F5" w14:textId="533E278A" w:rsidR="001A55CF" w:rsidRPr="00E11FFB" w:rsidRDefault="001A55CF" w:rsidP="001A55CF">
            <w:pPr>
              <w:rPr>
                <w:rFonts w:ascii="Calibri" w:hAnsi="Calibri" w:cs="Calibri"/>
                <w:sz w:val="16"/>
                <w:szCs w:val="16"/>
              </w:rPr>
            </w:pPr>
            <w:r w:rsidRPr="00E11FFB">
              <w:rPr>
                <w:rFonts w:ascii="Calibri" w:hAnsi="Calibri" w:cs="Calibri"/>
                <w:sz w:val="16"/>
                <w:szCs w:val="16"/>
              </w:rPr>
              <w:t xml:space="preserve">Pourcentage de campagnes </w:t>
            </w:r>
            <w:r w:rsidRPr="00E11FFB">
              <w:rPr>
                <w:rFonts w:ascii="Calibri" w:hAnsi="Calibri" w:cs="Calibri"/>
                <w:sz w:val="16"/>
                <w:szCs w:val="16"/>
              </w:rPr>
              <w:br/>
              <w:t xml:space="preserve">utilisant des outils pour cibler </w:t>
            </w:r>
            <w:r w:rsidRPr="00E11FFB">
              <w:rPr>
                <w:rFonts w:ascii="Calibri" w:hAnsi="Calibri" w:cs="Calibri"/>
                <w:sz w:val="16"/>
                <w:szCs w:val="16"/>
              </w:rPr>
              <w:br/>
              <w:t>spécifiquement les minorités et groupes vulnérables.</w:t>
            </w:r>
          </w:p>
        </w:tc>
        <w:tc>
          <w:tcPr>
            <w:tcW w:w="1122" w:type="dxa"/>
            <w:noWrap/>
            <w:vAlign w:val="center"/>
            <w:hideMark/>
          </w:tcPr>
          <w:p w14:paraId="3CF33FE4" w14:textId="77777777" w:rsidR="001A55CF" w:rsidRPr="00E11FFB" w:rsidRDefault="001A55CF" w:rsidP="001A55CF">
            <w:pPr>
              <w:jc w:val="center"/>
              <w:rPr>
                <w:rFonts w:ascii="Calibri" w:hAnsi="Calibri" w:cs="Calibri"/>
                <w:sz w:val="16"/>
                <w:szCs w:val="16"/>
              </w:rPr>
            </w:pPr>
            <w:r w:rsidRPr="00E11FFB">
              <w:rPr>
                <w:rFonts w:ascii="Calibri" w:hAnsi="Calibri" w:cs="Calibri"/>
                <w:sz w:val="16"/>
                <w:szCs w:val="16"/>
              </w:rPr>
              <w:t>0</w:t>
            </w:r>
          </w:p>
        </w:tc>
        <w:tc>
          <w:tcPr>
            <w:tcW w:w="1634" w:type="dxa"/>
            <w:noWrap/>
            <w:vAlign w:val="center"/>
            <w:hideMark/>
          </w:tcPr>
          <w:p w14:paraId="5AE6D948" w14:textId="444A815B" w:rsidR="001A55CF" w:rsidRPr="00E11FFB" w:rsidRDefault="001A55CF" w:rsidP="001A55CF">
            <w:pPr>
              <w:rPr>
                <w:rFonts w:ascii="Calibri" w:hAnsi="Calibri" w:cs="Calibri"/>
                <w:sz w:val="16"/>
                <w:szCs w:val="16"/>
              </w:rPr>
            </w:pPr>
            <w:r w:rsidRPr="00E11FFB">
              <w:rPr>
                <w:rFonts w:ascii="Calibri" w:hAnsi="Calibri" w:cs="Calibri"/>
                <w:sz w:val="16"/>
                <w:szCs w:val="16"/>
              </w:rPr>
              <w:t> 50 % des campagnes.</w:t>
            </w:r>
          </w:p>
        </w:tc>
        <w:tc>
          <w:tcPr>
            <w:tcW w:w="1252" w:type="dxa"/>
            <w:noWrap/>
            <w:vAlign w:val="center"/>
            <w:hideMark/>
          </w:tcPr>
          <w:p w14:paraId="652A759F" w14:textId="4FF60F77" w:rsidR="001A55CF" w:rsidRPr="00E11FFB" w:rsidRDefault="00710B90" w:rsidP="002142A2">
            <w:pPr>
              <w:jc w:val="center"/>
              <w:rPr>
                <w:rFonts w:ascii="Calibri" w:hAnsi="Calibri" w:cs="Calibri"/>
                <w:sz w:val="16"/>
                <w:szCs w:val="16"/>
              </w:rPr>
            </w:pPr>
            <w:r w:rsidRPr="00E11FFB">
              <w:rPr>
                <w:rFonts w:ascii="Calibri" w:hAnsi="Calibri" w:cs="Calibri"/>
                <w:sz w:val="16"/>
                <w:szCs w:val="16"/>
              </w:rPr>
              <w:t>88%</w:t>
            </w:r>
          </w:p>
        </w:tc>
        <w:tc>
          <w:tcPr>
            <w:tcW w:w="1241" w:type="dxa"/>
            <w:noWrap/>
            <w:vAlign w:val="center"/>
            <w:hideMark/>
          </w:tcPr>
          <w:p w14:paraId="28EF4621"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93" w:type="dxa"/>
            <w:noWrap/>
            <w:vAlign w:val="center"/>
            <w:hideMark/>
          </w:tcPr>
          <w:p w14:paraId="7E623301"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100 % des campagnes</w:t>
            </w:r>
          </w:p>
        </w:tc>
        <w:tc>
          <w:tcPr>
            <w:tcW w:w="889" w:type="dxa"/>
            <w:noWrap/>
            <w:vAlign w:val="center"/>
            <w:hideMark/>
          </w:tcPr>
          <w:p w14:paraId="184BB775"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613" w:type="dxa"/>
            <w:noWrap/>
            <w:vAlign w:val="center"/>
            <w:hideMark/>
          </w:tcPr>
          <w:p w14:paraId="2BC9D45A"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c>
          <w:tcPr>
            <w:tcW w:w="1572" w:type="dxa"/>
            <w:noWrap/>
            <w:vAlign w:val="center"/>
            <w:hideMark/>
          </w:tcPr>
          <w:p w14:paraId="78E45A28" w14:textId="77777777" w:rsidR="001A55CF" w:rsidRPr="00E11FFB" w:rsidRDefault="001A55CF" w:rsidP="001A55CF">
            <w:pPr>
              <w:rPr>
                <w:rFonts w:ascii="Calibri" w:hAnsi="Calibri" w:cs="Calibri"/>
                <w:sz w:val="16"/>
                <w:szCs w:val="16"/>
              </w:rPr>
            </w:pPr>
            <w:r w:rsidRPr="00E11FFB">
              <w:rPr>
                <w:rFonts w:ascii="Calibri" w:hAnsi="Calibri" w:cs="Calibri"/>
                <w:sz w:val="16"/>
                <w:szCs w:val="16"/>
              </w:rPr>
              <w:t> </w:t>
            </w:r>
          </w:p>
        </w:tc>
      </w:tr>
      <w:bookmarkEnd w:id="11"/>
    </w:tbl>
    <w:p w14:paraId="72C59213" w14:textId="77777777" w:rsidR="002115B9" w:rsidRPr="00E11FFB" w:rsidRDefault="002115B9" w:rsidP="00C7313D">
      <w:pPr>
        <w:spacing w:line="250" w:lineRule="auto"/>
        <w:jc w:val="both"/>
        <w:rPr>
          <w:rFonts w:ascii="Avenir" w:eastAsia="Avenir" w:hAnsi="Avenir" w:cs="Avenir"/>
          <w:iCs/>
          <w:color w:val="000000"/>
          <w:sz w:val="20"/>
          <w:szCs w:val="20"/>
        </w:rPr>
      </w:pPr>
    </w:p>
    <w:p w14:paraId="1BCF7D5A" w14:textId="77777777" w:rsidR="008924B3" w:rsidRPr="00E11FFB" w:rsidRDefault="008924B3" w:rsidP="00C7313D">
      <w:pPr>
        <w:spacing w:line="250" w:lineRule="auto"/>
        <w:jc w:val="both"/>
        <w:rPr>
          <w:rFonts w:ascii="Avenir" w:eastAsia="Avenir" w:hAnsi="Avenir" w:cs="Avenir"/>
          <w:iCs/>
          <w:color w:val="000000"/>
          <w:sz w:val="20"/>
          <w:szCs w:val="20"/>
        </w:rPr>
      </w:pPr>
    </w:p>
    <w:p w14:paraId="42D8685F" w14:textId="3E0462FD" w:rsidR="00266E1B" w:rsidRPr="00E11FFB" w:rsidRDefault="00266E1B" w:rsidP="00266E1B">
      <w:pPr>
        <w:keepNext/>
        <w:spacing w:line="271" w:lineRule="auto"/>
        <w:ind w:left="-3" w:right="35" w:firstLine="10"/>
        <w:jc w:val="both"/>
        <w:rPr>
          <w:rFonts w:ascii="Avenir" w:eastAsia="Avenir" w:hAnsi="Avenir" w:cs="Avenir"/>
          <w:b/>
          <w:bCs/>
          <w:iCs/>
          <w:color w:val="000000"/>
          <w:sz w:val="20"/>
          <w:szCs w:val="20"/>
          <w:u w:val="single"/>
        </w:rPr>
      </w:pPr>
      <w:r w:rsidRPr="00E11FFB">
        <w:rPr>
          <w:rFonts w:ascii="Avenir" w:eastAsia="Avenir" w:hAnsi="Avenir" w:cs="Avenir"/>
          <w:b/>
          <w:bCs/>
          <w:iCs/>
          <w:color w:val="000000"/>
          <w:sz w:val="20"/>
          <w:szCs w:val="20"/>
          <w:u w:val="single"/>
        </w:rPr>
        <w:t xml:space="preserve">Tableau évaluation de la performance </w:t>
      </w:r>
      <w:r w:rsidR="00C7313D" w:rsidRPr="00E11FFB">
        <w:rPr>
          <w:rFonts w:ascii="Avenir" w:eastAsia="Avenir" w:hAnsi="Avenir" w:cs="Avenir"/>
          <w:b/>
          <w:bCs/>
          <w:iCs/>
          <w:color w:val="000000"/>
          <w:sz w:val="20"/>
          <w:szCs w:val="20"/>
          <w:u w:val="single"/>
        </w:rPr>
        <w:t>l’AC</w:t>
      </w:r>
      <w:r w:rsidRPr="00E11FFB">
        <w:rPr>
          <w:rFonts w:ascii="Avenir" w:eastAsia="Avenir" w:hAnsi="Avenir" w:cs="Avenir"/>
          <w:b/>
          <w:bCs/>
          <w:iCs/>
          <w:color w:val="000000"/>
          <w:sz w:val="20"/>
          <w:szCs w:val="20"/>
          <w:u w:val="single"/>
        </w:rPr>
        <w:t>E</w:t>
      </w:r>
      <w:r w:rsidR="0048260B">
        <w:rPr>
          <w:rFonts w:ascii="Avenir" w:eastAsia="Avenir" w:hAnsi="Avenir" w:cs="Avenir"/>
          <w:b/>
          <w:bCs/>
          <w:iCs/>
          <w:color w:val="000000"/>
          <w:sz w:val="20"/>
          <w:szCs w:val="20"/>
          <w:u w:val="single"/>
        </w:rPr>
        <w:t xml:space="preserve"> (Effet 7)</w:t>
      </w:r>
    </w:p>
    <w:p w14:paraId="118ED611" w14:textId="77777777" w:rsidR="002115B9" w:rsidRPr="00E11FFB" w:rsidRDefault="002115B9">
      <w:pPr>
        <w:spacing w:line="250" w:lineRule="auto"/>
        <w:ind w:left="-15"/>
        <w:jc w:val="both"/>
        <w:rPr>
          <w:rFonts w:ascii="Avenir" w:eastAsia="Avenir" w:hAnsi="Avenir" w:cs="Avenir"/>
          <w:iCs/>
          <w:color w:val="000000"/>
          <w:sz w:val="20"/>
          <w:szCs w:val="20"/>
        </w:rPr>
      </w:pPr>
    </w:p>
    <w:tbl>
      <w:tblPr>
        <w:tblW w:w="14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864"/>
        <w:gridCol w:w="626"/>
        <w:gridCol w:w="1806"/>
        <w:gridCol w:w="1593"/>
        <w:gridCol w:w="921"/>
        <w:gridCol w:w="1651"/>
        <w:gridCol w:w="1383"/>
        <w:gridCol w:w="1422"/>
        <w:gridCol w:w="1403"/>
      </w:tblGrid>
      <w:tr w:rsidR="00C7313D" w:rsidRPr="00E11FFB" w14:paraId="1C0FF0A0" w14:textId="77777777" w:rsidTr="003048A3">
        <w:trPr>
          <w:trHeight w:val="343"/>
          <w:tblHeader/>
        </w:trPr>
        <w:tc>
          <w:tcPr>
            <w:tcW w:w="2095" w:type="dxa"/>
            <w:shd w:val="clear" w:color="000000" w:fill="DAE9F8"/>
            <w:noWrap/>
            <w:vAlign w:val="center"/>
            <w:hideMark/>
          </w:tcPr>
          <w:p w14:paraId="023AE0A7" w14:textId="77777777" w:rsidR="00266E1B" w:rsidRPr="00E11FFB" w:rsidRDefault="00266E1B">
            <w:pPr>
              <w:rPr>
                <w:rFonts w:ascii="Calibri" w:hAnsi="Calibri" w:cs="Calibri"/>
                <w:sz w:val="16"/>
                <w:szCs w:val="16"/>
              </w:rPr>
            </w:pPr>
            <w:r w:rsidRPr="00E11FFB">
              <w:rPr>
                <w:rFonts w:ascii="Calibri" w:hAnsi="Calibri" w:cs="Calibri"/>
                <w:sz w:val="16"/>
                <w:szCs w:val="16"/>
              </w:rPr>
              <w:t xml:space="preserve">Produits </w:t>
            </w:r>
          </w:p>
        </w:tc>
        <w:tc>
          <w:tcPr>
            <w:tcW w:w="1864" w:type="dxa"/>
            <w:shd w:val="clear" w:color="000000" w:fill="DAE9F8"/>
            <w:noWrap/>
            <w:vAlign w:val="center"/>
            <w:hideMark/>
          </w:tcPr>
          <w:p w14:paraId="27C90FCE" w14:textId="77777777" w:rsidR="00266E1B" w:rsidRPr="00E11FFB" w:rsidRDefault="00266E1B">
            <w:pPr>
              <w:rPr>
                <w:rFonts w:ascii="Calibri" w:hAnsi="Calibri" w:cs="Calibri"/>
                <w:sz w:val="16"/>
                <w:szCs w:val="16"/>
              </w:rPr>
            </w:pPr>
            <w:r w:rsidRPr="00E11FFB">
              <w:rPr>
                <w:rFonts w:ascii="Calibri" w:hAnsi="Calibri" w:cs="Calibri"/>
                <w:sz w:val="16"/>
                <w:szCs w:val="16"/>
              </w:rPr>
              <w:t>Indicateurs</w:t>
            </w:r>
          </w:p>
        </w:tc>
        <w:tc>
          <w:tcPr>
            <w:tcW w:w="626" w:type="dxa"/>
            <w:shd w:val="clear" w:color="000000" w:fill="DAF2D0"/>
            <w:vAlign w:val="center"/>
            <w:hideMark/>
          </w:tcPr>
          <w:p w14:paraId="677020F6" w14:textId="77777777" w:rsidR="00266E1B" w:rsidRPr="00E11FFB" w:rsidRDefault="00266E1B">
            <w:pPr>
              <w:rPr>
                <w:rFonts w:ascii="Calibri" w:hAnsi="Calibri" w:cs="Calibri"/>
                <w:sz w:val="16"/>
                <w:szCs w:val="16"/>
              </w:rPr>
            </w:pPr>
            <w:r w:rsidRPr="00E11FFB">
              <w:rPr>
                <w:rFonts w:ascii="Calibri" w:hAnsi="Calibri" w:cs="Calibri"/>
                <w:sz w:val="16"/>
                <w:szCs w:val="16"/>
              </w:rPr>
              <w:t>Lignes de base</w:t>
            </w:r>
          </w:p>
        </w:tc>
        <w:tc>
          <w:tcPr>
            <w:tcW w:w="1806" w:type="dxa"/>
            <w:shd w:val="clear" w:color="000000" w:fill="DAF2D0"/>
            <w:vAlign w:val="center"/>
            <w:hideMark/>
          </w:tcPr>
          <w:p w14:paraId="53AD6704" w14:textId="13A15804" w:rsidR="00266E1B" w:rsidRPr="00E11FFB" w:rsidRDefault="00C7313D">
            <w:pPr>
              <w:rPr>
                <w:rFonts w:ascii="Calibri" w:hAnsi="Calibri" w:cs="Calibri"/>
                <w:sz w:val="16"/>
                <w:szCs w:val="16"/>
              </w:rPr>
            </w:pPr>
            <w:r w:rsidRPr="00E11FFB">
              <w:rPr>
                <w:rFonts w:ascii="Calibri" w:hAnsi="Calibri" w:cs="Calibri"/>
                <w:sz w:val="16"/>
                <w:szCs w:val="16"/>
              </w:rPr>
              <w:t>Cible</w:t>
            </w:r>
            <w:r w:rsidR="00266E1B" w:rsidRPr="00E11FFB">
              <w:rPr>
                <w:rFonts w:ascii="Calibri" w:hAnsi="Calibri" w:cs="Calibri"/>
                <w:sz w:val="16"/>
                <w:szCs w:val="16"/>
              </w:rPr>
              <w:t xml:space="preserve"> visée pour la </w:t>
            </w:r>
            <w:r w:rsidRPr="00E11FFB">
              <w:rPr>
                <w:rFonts w:ascii="Calibri" w:hAnsi="Calibri" w:cs="Calibri"/>
                <w:sz w:val="16"/>
                <w:szCs w:val="16"/>
              </w:rPr>
              <w:t>période</w:t>
            </w:r>
            <w:r w:rsidR="00266E1B" w:rsidRPr="00E11FFB">
              <w:rPr>
                <w:rFonts w:ascii="Calibri" w:hAnsi="Calibri" w:cs="Calibri"/>
                <w:sz w:val="16"/>
                <w:szCs w:val="16"/>
              </w:rPr>
              <w:t xml:space="preserve"> de rapportage</w:t>
            </w:r>
          </w:p>
        </w:tc>
        <w:tc>
          <w:tcPr>
            <w:tcW w:w="1593" w:type="dxa"/>
            <w:shd w:val="clear" w:color="000000" w:fill="DAF2D0"/>
            <w:vAlign w:val="center"/>
            <w:hideMark/>
          </w:tcPr>
          <w:p w14:paraId="3E55E2A3" w14:textId="1BE9E27C" w:rsidR="00266E1B" w:rsidRPr="00E11FFB" w:rsidRDefault="00C7313D">
            <w:pPr>
              <w:rPr>
                <w:rFonts w:ascii="Calibri" w:hAnsi="Calibri" w:cs="Calibri"/>
                <w:sz w:val="16"/>
                <w:szCs w:val="16"/>
              </w:rPr>
            </w:pPr>
            <w:r w:rsidRPr="00E11FFB">
              <w:rPr>
                <w:rFonts w:ascii="Calibri" w:hAnsi="Calibri" w:cs="Calibri"/>
                <w:sz w:val="16"/>
                <w:szCs w:val="16"/>
              </w:rPr>
              <w:t>Valeur</w:t>
            </w:r>
            <w:r w:rsidR="00266E1B" w:rsidRPr="00E11FFB">
              <w:rPr>
                <w:rFonts w:ascii="Calibri" w:hAnsi="Calibri" w:cs="Calibri"/>
                <w:sz w:val="16"/>
                <w:szCs w:val="16"/>
              </w:rPr>
              <w:t xml:space="preserve"> atteinte pour la </w:t>
            </w:r>
            <w:r w:rsidRPr="00E11FFB">
              <w:rPr>
                <w:rFonts w:ascii="Calibri" w:hAnsi="Calibri" w:cs="Calibri"/>
                <w:sz w:val="16"/>
                <w:szCs w:val="16"/>
              </w:rPr>
              <w:t>période</w:t>
            </w:r>
            <w:r w:rsidR="00266E1B" w:rsidRPr="00E11FFB">
              <w:rPr>
                <w:rFonts w:ascii="Calibri" w:hAnsi="Calibri" w:cs="Calibri"/>
                <w:sz w:val="16"/>
                <w:szCs w:val="16"/>
              </w:rPr>
              <w:t xml:space="preserve"> de rapportage</w:t>
            </w:r>
          </w:p>
        </w:tc>
        <w:tc>
          <w:tcPr>
            <w:tcW w:w="921" w:type="dxa"/>
            <w:shd w:val="clear" w:color="000000" w:fill="DAF2D0"/>
            <w:vAlign w:val="center"/>
            <w:hideMark/>
          </w:tcPr>
          <w:p w14:paraId="7FE46D6A" w14:textId="2B813AFC" w:rsidR="00266E1B" w:rsidRPr="00E11FFB" w:rsidRDefault="00C7313D">
            <w:pPr>
              <w:rPr>
                <w:rFonts w:ascii="Calibri" w:hAnsi="Calibri" w:cs="Calibri"/>
                <w:sz w:val="16"/>
                <w:szCs w:val="16"/>
              </w:rPr>
            </w:pPr>
            <w:r w:rsidRPr="00E11FFB">
              <w:rPr>
                <w:rFonts w:ascii="Calibri" w:hAnsi="Calibri" w:cs="Calibri"/>
                <w:sz w:val="16"/>
                <w:szCs w:val="16"/>
              </w:rPr>
              <w:t>Valeur</w:t>
            </w:r>
            <w:r w:rsidR="00266E1B" w:rsidRPr="00E11FFB">
              <w:rPr>
                <w:rFonts w:ascii="Calibri" w:hAnsi="Calibri" w:cs="Calibri"/>
                <w:sz w:val="16"/>
                <w:szCs w:val="16"/>
              </w:rPr>
              <w:t xml:space="preserve"> actuelle</w:t>
            </w:r>
          </w:p>
        </w:tc>
        <w:tc>
          <w:tcPr>
            <w:tcW w:w="1651" w:type="dxa"/>
            <w:shd w:val="clear" w:color="000000" w:fill="DAF2D0"/>
            <w:vAlign w:val="center"/>
            <w:hideMark/>
          </w:tcPr>
          <w:p w14:paraId="7946726A" w14:textId="52667C0F" w:rsidR="00266E1B" w:rsidRPr="00E11FFB" w:rsidRDefault="00266E1B">
            <w:pPr>
              <w:rPr>
                <w:rFonts w:ascii="Calibri" w:hAnsi="Calibri" w:cs="Calibri"/>
                <w:sz w:val="16"/>
                <w:szCs w:val="16"/>
              </w:rPr>
            </w:pPr>
            <w:r w:rsidRPr="00E11FFB">
              <w:rPr>
                <w:rFonts w:ascii="Calibri" w:hAnsi="Calibri" w:cs="Calibri"/>
                <w:sz w:val="16"/>
                <w:szCs w:val="16"/>
              </w:rPr>
              <w:t xml:space="preserve"> </w:t>
            </w:r>
            <w:r w:rsidR="00C7313D" w:rsidRPr="00E11FFB">
              <w:rPr>
                <w:rFonts w:ascii="Calibri" w:hAnsi="Calibri" w:cs="Calibri"/>
                <w:sz w:val="16"/>
                <w:szCs w:val="16"/>
              </w:rPr>
              <w:t>Cible</w:t>
            </w:r>
            <w:r w:rsidRPr="00E11FFB">
              <w:rPr>
                <w:rFonts w:ascii="Calibri" w:hAnsi="Calibri" w:cs="Calibri"/>
                <w:sz w:val="16"/>
                <w:szCs w:val="16"/>
              </w:rPr>
              <w:t xml:space="preserve"> finale dans le prodoc</w:t>
            </w:r>
          </w:p>
        </w:tc>
        <w:tc>
          <w:tcPr>
            <w:tcW w:w="1383" w:type="dxa"/>
            <w:shd w:val="clear" w:color="000000" w:fill="DAF2D0"/>
            <w:vAlign w:val="center"/>
            <w:hideMark/>
          </w:tcPr>
          <w:p w14:paraId="1EA056E7" w14:textId="7435AF2F" w:rsidR="00266E1B" w:rsidRPr="00E11FFB" w:rsidRDefault="00C7313D">
            <w:pPr>
              <w:rPr>
                <w:rFonts w:ascii="Calibri" w:hAnsi="Calibri" w:cs="Calibri"/>
                <w:sz w:val="16"/>
                <w:szCs w:val="16"/>
              </w:rPr>
            </w:pPr>
            <w:r w:rsidRPr="00E11FFB">
              <w:rPr>
                <w:rFonts w:ascii="Calibri" w:hAnsi="Calibri" w:cs="Calibri"/>
                <w:sz w:val="16"/>
                <w:szCs w:val="16"/>
              </w:rPr>
              <w:t>Cible</w:t>
            </w:r>
            <w:r w:rsidR="00266E1B" w:rsidRPr="00E11FFB">
              <w:rPr>
                <w:rFonts w:ascii="Calibri" w:hAnsi="Calibri" w:cs="Calibri"/>
                <w:sz w:val="16"/>
                <w:szCs w:val="16"/>
              </w:rPr>
              <w:t xml:space="preserve"> finale </w:t>
            </w:r>
            <w:r w:rsidRPr="00E11FFB">
              <w:rPr>
                <w:rFonts w:ascii="Calibri" w:hAnsi="Calibri" w:cs="Calibri"/>
                <w:sz w:val="16"/>
                <w:szCs w:val="16"/>
              </w:rPr>
              <w:t>révisée</w:t>
            </w:r>
            <w:r w:rsidR="00266E1B" w:rsidRPr="00E11FFB">
              <w:rPr>
                <w:rFonts w:ascii="Calibri" w:hAnsi="Calibri" w:cs="Calibri"/>
                <w:sz w:val="16"/>
                <w:szCs w:val="16"/>
              </w:rPr>
              <w:t xml:space="preserve"> le cas </w:t>
            </w:r>
            <w:r w:rsidRPr="00E11FFB">
              <w:rPr>
                <w:rFonts w:ascii="Calibri" w:hAnsi="Calibri" w:cs="Calibri"/>
                <w:sz w:val="16"/>
                <w:szCs w:val="16"/>
              </w:rPr>
              <w:t>échéant</w:t>
            </w:r>
            <w:r w:rsidR="00266E1B" w:rsidRPr="00E11FFB">
              <w:rPr>
                <w:rFonts w:ascii="Calibri" w:hAnsi="Calibri" w:cs="Calibri"/>
                <w:sz w:val="16"/>
                <w:szCs w:val="16"/>
              </w:rPr>
              <w:t xml:space="preserve"> </w:t>
            </w:r>
          </w:p>
        </w:tc>
        <w:tc>
          <w:tcPr>
            <w:tcW w:w="1422" w:type="dxa"/>
            <w:shd w:val="clear" w:color="000000" w:fill="F2F2F2"/>
            <w:vAlign w:val="center"/>
            <w:hideMark/>
          </w:tcPr>
          <w:p w14:paraId="0832A248" w14:textId="63B194A0" w:rsidR="00266E1B" w:rsidRPr="00E11FFB" w:rsidRDefault="00C7313D">
            <w:pPr>
              <w:rPr>
                <w:rFonts w:ascii="Calibri" w:hAnsi="Calibri" w:cs="Calibri"/>
                <w:sz w:val="16"/>
                <w:szCs w:val="16"/>
              </w:rPr>
            </w:pPr>
            <w:r w:rsidRPr="00E11FFB">
              <w:rPr>
                <w:rFonts w:ascii="Calibri" w:hAnsi="Calibri" w:cs="Calibri"/>
                <w:sz w:val="16"/>
                <w:szCs w:val="16"/>
              </w:rPr>
              <w:t>Hyperlien</w:t>
            </w:r>
          </w:p>
        </w:tc>
        <w:tc>
          <w:tcPr>
            <w:tcW w:w="1403" w:type="dxa"/>
            <w:shd w:val="clear" w:color="000000" w:fill="F2F2F2"/>
            <w:noWrap/>
            <w:vAlign w:val="center"/>
            <w:hideMark/>
          </w:tcPr>
          <w:p w14:paraId="198846C7" w14:textId="3D2AFE2B" w:rsidR="00266E1B" w:rsidRPr="00E11FFB" w:rsidRDefault="00C7313D">
            <w:pPr>
              <w:rPr>
                <w:rFonts w:ascii="Calibri" w:hAnsi="Calibri" w:cs="Calibri"/>
                <w:sz w:val="16"/>
                <w:szCs w:val="16"/>
              </w:rPr>
            </w:pPr>
            <w:r w:rsidRPr="00E11FFB">
              <w:rPr>
                <w:rFonts w:ascii="Calibri" w:hAnsi="Calibri" w:cs="Calibri"/>
                <w:sz w:val="16"/>
                <w:szCs w:val="16"/>
              </w:rPr>
              <w:t>Commentaire</w:t>
            </w:r>
            <w:r w:rsidR="00266E1B" w:rsidRPr="00E11FFB">
              <w:rPr>
                <w:rFonts w:ascii="Calibri" w:hAnsi="Calibri" w:cs="Calibri"/>
                <w:sz w:val="16"/>
                <w:szCs w:val="16"/>
              </w:rPr>
              <w:t xml:space="preserve"> </w:t>
            </w:r>
          </w:p>
        </w:tc>
      </w:tr>
      <w:tr w:rsidR="004502F7" w:rsidRPr="00E11FFB" w14:paraId="795946A6" w14:textId="77777777" w:rsidTr="007326D8">
        <w:trPr>
          <w:trHeight w:val="1381"/>
        </w:trPr>
        <w:tc>
          <w:tcPr>
            <w:tcW w:w="2095" w:type="dxa"/>
            <w:vMerge w:val="restart"/>
            <w:vAlign w:val="center"/>
            <w:hideMark/>
          </w:tcPr>
          <w:p w14:paraId="2A8EE3AC" w14:textId="77777777" w:rsidR="004502F7" w:rsidRPr="00E11FFB" w:rsidRDefault="004502F7" w:rsidP="00113999">
            <w:pPr>
              <w:rPr>
                <w:rFonts w:ascii="Calibri" w:hAnsi="Calibri" w:cs="Calibri"/>
                <w:sz w:val="16"/>
                <w:szCs w:val="16"/>
              </w:rPr>
            </w:pPr>
            <w:r w:rsidRPr="00E11FFB">
              <w:rPr>
                <w:rFonts w:ascii="Calibri" w:hAnsi="Calibri" w:cs="Calibri"/>
                <w:sz w:val="16"/>
                <w:szCs w:val="16"/>
              </w:rPr>
              <w:t>Produit 7.1 : Démontrer la mise en œuvre des obligations légales de réalisation des évaluations environnementales et sociales par les opérateurs exerçant dans les secteurs forêt, mines, hydrocarbures, agriculture, infrastructures et énergie, etc. Pilotage ITIE – ACE</w:t>
            </w:r>
          </w:p>
        </w:tc>
        <w:tc>
          <w:tcPr>
            <w:tcW w:w="1864" w:type="dxa"/>
            <w:vAlign w:val="center"/>
            <w:hideMark/>
          </w:tcPr>
          <w:p w14:paraId="46C10424" w14:textId="77777777" w:rsidR="004502F7" w:rsidRPr="00E11FFB" w:rsidRDefault="004502F7">
            <w:pPr>
              <w:rPr>
                <w:rFonts w:ascii="Calibri" w:hAnsi="Calibri" w:cs="Calibri"/>
                <w:sz w:val="16"/>
                <w:szCs w:val="16"/>
              </w:rPr>
            </w:pPr>
            <w:r w:rsidRPr="00E11FFB">
              <w:rPr>
                <w:rFonts w:ascii="Calibri" w:hAnsi="Calibri" w:cs="Calibri"/>
                <w:sz w:val="16"/>
                <w:szCs w:val="16"/>
              </w:rPr>
              <w:t>Nombre de dispositions et activités mises en œuvre suivies pour renseigner les rapports d’études environnementales et sociales (EES, CGES, CPR, EIES, PMCES, PAR).</w:t>
            </w:r>
          </w:p>
        </w:tc>
        <w:tc>
          <w:tcPr>
            <w:tcW w:w="626" w:type="dxa"/>
            <w:noWrap/>
            <w:vAlign w:val="center"/>
            <w:hideMark/>
          </w:tcPr>
          <w:p w14:paraId="75C8BDEE" w14:textId="77777777" w:rsidR="004502F7" w:rsidRPr="00E11FFB" w:rsidRDefault="004502F7">
            <w:pPr>
              <w:jc w:val="center"/>
              <w:rPr>
                <w:rFonts w:ascii="Calibri" w:hAnsi="Calibri" w:cs="Calibri"/>
                <w:sz w:val="16"/>
                <w:szCs w:val="16"/>
              </w:rPr>
            </w:pPr>
            <w:r w:rsidRPr="00E11FFB">
              <w:rPr>
                <w:rFonts w:ascii="Calibri" w:hAnsi="Calibri" w:cs="Calibri"/>
                <w:sz w:val="16"/>
                <w:szCs w:val="16"/>
              </w:rPr>
              <w:t>0</w:t>
            </w:r>
          </w:p>
        </w:tc>
        <w:tc>
          <w:tcPr>
            <w:tcW w:w="1806" w:type="dxa"/>
            <w:vAlign w:val="center"/>
            <w:hideMark/>
          </w:tcPr>
          <w:p w14:paraId="312B4009" w14:textId="5B892C6C" w:rsidR="004502F7" w:rsidRPr="00E11FFB" w:rsidRDefault="004502F7">
            <w:pPr>
              <w:rPr>
                <w:rFonts w:ascii="Calibri" w:hAnsi="Calibri" w:cs="Calibri"/>
                <w:sz w:val="16"/>
                <w:szCs w:val="16"/>
              </w:rPr>
            </w:pPr>
            <w:r w:rsidRPr="00E11FFB">
              <w:rPr>
                <w:rFonts w:ascii="Calibri" w:hAnsi="Calibri" w:cs="Calibri"/>
                <w:sz w:val="16"/>
                <w:szCs w:val="16"/>
              </w:rPr>
              <w:t>Au moins 6 projets sectoriels des Ministères sectoriels (Mines, Environnement, Agriculture, Hydrocarbures, Energie) dans le cadre du programme CAFI sont suivis.</w:t>
            </w:r>
          </w:p>
        </w:tc>
        <w:tc>
          <w:tcPr>
            <w:tcW w:w="1593" w:type="dxa"/>
            <w:noWrap/>
            <w:vAlign w:val="center"/>
            <w:hideMark/>
          </w:tcPr>
          <w:p w14:paraId="63445463" w14:textId="3FA8D56D" w:rsidR="004502F7" w:rsidRPr="00E11FFB" w:rsidRDefault="004502F7" w:rsidP="00691CDE">
            <w:pPr>
              <w:jc w:val="center"/>
              <w:rPr>
                <w:rFonts w:ascii="Calibri" w:hAnsi="Calibri" w:cs="Calibri"/>
                <w:sz w:val="16"/>
                <w:szCs w:val="16"/>
              </w:rPr>
            </w:pPr>
            <w:r w:rsidRPr="00E11FFB">
              <w:rPr>
                <w:rFonts w:ascii="Calibri" w:hAnsi="Calibri" w:cs="Calibri"/>
                <w:sz w:val="16"/>
                <w:szCs w:val="16"/>
              </w:rPr>
              <w:t>4</w:t>
            </w:r>
          </w:p>
        </w:tc>
        <w:tc>
          <w:tcPr>
            <w:tcW w:w="921" w:type="dxa"/>
            <w:noWrap/>
            <w:vAlign w:val="center"/>
            <w:hideMark/>
          </w:tcPr>
          <w:p w14:paraId="4F663FDE" w14:textId="77777777" w:rsidR="004502F7" w:rsidRPr="00E11FFB" w:rsidRDefault="004502F7">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20AD02B0" w14:textId="7E7B24E6" w:rsidR="004502F7" w:rsidRPr="00E11FFB" w:rsidRDefault="004502F7">
            <w:pPr>
              <w:rPr>
                <w:rFonts w:ascii="Calibri" w:hAnsi="Calibri" w:cs="Calibri"/>
                <w:sz w:val="16"/>
                <w:szCs w:val="16"/>
              </w:rPr>
            </w:pPr>
            <w:r w:rsidRPr="00E11FFB">
              <w:rPr>
                <w:rFonts w:ascii="Calibri" w:hAnsi="Calibri" w:cs="Calibri"/>
                <w:sz w:val="16"/>
                <w:szCs w:val="16"/>
              </w:rPr>
              <w:t xml:space="preserve">Au moins 6 projets sectoriels des Ministères (Mines, Environnement, Agriculture, Hydrocarbures, Energie) sectoriels dans le cadre du programme CAFI sont suivis. </w:t>
            </w:r>
          </w:p>
        </w:tc>
        <w:tc>
          <w:tcPr>
            <w:tcW w:w="1383" w:type="dxa"/>
            <w:noWrap/>
            <w:vAlign w:val="center"/>
            <w:hideMark/>
          </w:tcPr>
          <w:p w14:paraId="284CE804" w14:textId="77777777" w:rsidR="004502F7" w:rsidRPr="00E11FFB" w:rsidRDefault="004502F7">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296D9F45" w14:textId="77777777" w:rsidR="004502F7" w:rsidRPr="00E11FFB" w:rsidRDefault="004502F7">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6D83EE49" w14:textId="308535DC" w:rsidR="004502F7" w:rsidRPr="00E11FFB" w:rsidRDefault="004502F7">
            <w:pPr>
              <w:rPr>
                <w:rFonts w:ascii="Calibri" w:hAnsi="Calibri" w:cs="Calibri"/>
                <w:sz w:val="16"/>
                <w:szCs w:val="16"/>
              </w:rPr>
            </w:pPr>
            <w:r w:rsidRPr="00E11FFB">
              <w:rPr>
                <w:rFonts w:ascii="Calibri" w:hAnsi="Calibri" w:cs="Calibri"/>
                <w:sz w:val="16"/>
                <w:szCs w:val="16"/>
              </w:rPr>
              <w:t xml:space="preserve">Projet Energie (Activité EES politique énergie), Environnement (EES politique forestière, ITIE dans le secteur forêt), Mines et hydrocarbures (normes </w:t>
            </w:r>
            <w:r w:rsidR="00113999" w:rsidRPr="00E11FFB">
              <w:rPr>
                <w:rFonts w:ascii="Calibri" w:hAnsi="Calibri" w:cs="Calibri"/>
                <w:sz w:val="16"/>
                <w:szCs w:val="16"/>
              </w:rPr>
              <w:t>IES dans</w:t>
            </w:r>
            <w:r w:rsidRPr="00E11FFB">
              <w:rPr>
                <w:rFonts w:ascii="Calibri" w:hAnsi="Calibri" w:cs="Calibri"/>
                <w:sz w:val="16"/>
                <w:szCs w:val="16"/>
              </w:rPr>
              <w:t xml:space="preserve"> le secteur). </w:t>
            </w:r>
          </w:p>
        </w:tc>
      </w:tr>
      <w:tr w:rsidR="004502F7" w:rsidRPr="00E11FFB" w14:paraId="69F9417F" w14:textId="77777777" w:rsidTr="007326D8">
        <w:trPr>
          <w:trHeight w:val="1381"/>
        </w:trPr>
        <w:tc>
          <w:tcPr>
            <w:tcW w:w="2095" w:type="dxa"/>
            <w:vMerge/>
            <w:vAlign w:val="center"/>
          </w:tcPr>
          <w:p w14:paraId="6D658569" w14:textId="77777777" w:rsidR="004502F7" w:rsidRPr="00E11FFB" w:rsidRDefault="004502F7" w:rsidP="00691CDE">
            <w:pPr>
              <w:rPr>
                <w:rFonts w:ascii="Calibri" w:hAnsi="Calibri" w:cs="Calibri"/>
                <w:sz w:val="16"/>
                <w:szCs w:val="16"/>
                <w:highlight w:val="yellow"/>
              </w:rPr>
            </w:pPr>
          </w:p>
        </w:tc>
        <w:tc>
          <w:tcPr>
            <w:tcW w:w="1864" w:type="dxa"/>
            <w:vAlign w:val="center"/>
          </w:tcPr>
          <w:p w14:paraId="6ABC0361" w14:textId="55568CBA" w:rsidR="004502F7" w:rsidRPr="00E11FFB" w:rsidRDefault="004502F7" w:rsidP="00691CDE">
            <w:pPr>
              <w:rPr>
                <w:rFonts w:ascii="Calibri" w:hAnsi="Calibri" w:cs="Calibri"/>
                <w:sz w:val="16"/>
                <w:szCs w:val="16"/>
              </w:rPr>
            </w:pPr>
            <w:r w:rsidRPr="00E11FFB">
              <w:rPr>
                <w:rFonts w:ascii="Calibri" w:hAnsi="Calibri" w:cs="Calibri"/>
                <w:sz w:val="16"/>
                <w:szCs w:val="16"/>
              </w:rPr>
              <w:t>Nombre de projets sectoriels suivis</w:t>
            </w:r>
          </w:p>
        </w:tc>
        <w:tc>
          <w:tcPr>
            <w:tcW w:w="626" w:type="dxa"/>
            <w:noWrap/>
            <w:vAlign w:val="center"/>
          </w:tcPr>
          <w:p w14:paraId="49DA925B" w14:textId="537CEFCB" w:rsidR="004502F7" w:rsidRPr="00E11FFB" w:rsidRDefault="00E16691" w:rsidP="00691CDE">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612D7909" w14:textId="5A9C0648" w:rsidR="004502F7" w:rsidRPr="00E11FFB" w:rsidRDefault="004502F7" w:rsidP="00691CDE">
            <w:pPr>
              <w:rPr>
                <w:rFonts w:ascii="Calibri" w:hAnsi="Calibri" w:cs="Calibri"/>
                <w:sz w:val="16"/>
                <w:szCs w:val="16"/>
              </w:rPr>
            </w:pPr>
            <w:r w:rsidRPr="00E11FFB">
              <w:rPr>
                <w:rFonts w:ascii="Calibri" w:hAnsi="Calibri" w:cs="Calibri"/>
                <w:sz w:val="16"/>
                <w:szCs w:val="16"/>
              </w:rPr>
              <w:t>Au moins 6 projets sectoriels des Ministères sectoriels (Mines, Environnement, Agriculture, Hydrocarbures, Energie)</w:t>
            </w:r>
          </w:p>
        </w:tc>
        <w:tc>
          <w:tcPr>
            <w:tcW w:w="1593" w:type="dxa"/>
            <w:noWrap/>
            <w:vAlign w:val="center"/>
          </w:tcPr>
          <w:p w14:paraId="28892F27" w14:textId="4144654D" w:rsidR="004502F7" w:rsidRPr="00E11FFB" w:rsidRDefault="004D7C5E" w:rsidP="00691CDE">
            <w:pPr>
              <w:jc w:val="center"/>
              <w:rPr>
                <w:rFonts w:ascii="Calibri" w:hAnsi="Calibri" w:cs="Calibri"/>
                <w:sz w:val="16"/>
                <w:szCs w:val="16"/>
              </w:rPr>
            </w:pPr>
            <w:r w:rsidRPr="00E11FFB">
              <w:rPr>
                <w:rFonts w:ascii="Calibri" w:hAnsi="Calibri" w:cs="Calibri"/>
                <w:sz w:val="16"/>
                <w:szCs w:val="16"/>
              </w:rPr>
              <w:t>4</w:t>
            </w:r>
          </w:p>
        </w:tc>
        <w:tc>
          <w:tcPr>
            <w:tcW w:w="921" w:type="dxa"/>
            <w:noWrap/>
            <w:vAlign w:val="center"/>
          </w:tcPr>
          <w:p w14:paraId="31E2BFB0" w14:textId="77777777" w:rsidR="004502F7" w:rsidRPr="00E11FFB" w:rsidRDefault="004502F7" w:rsidP="00691CDE">
            <w:pPr>
              <w:rPr>
                <w:rFonts w:ascii="Calibri" w:hAnsi="Calibri" w:cs="Calibri"/>
                <w:sz w:val="16"/>
                <w:szCs w:val="16"/>
              </w:rPr>
            </w:pPr>
          </w:p>
        </w:tc>
        <w:tc>
          <w:tcPr>
            <w:tcW w:w="1651" w:type="dxa"/>
            <w:vAlign w:val="center"/>
          </w:tcPr>
          <w:p w14:paraId="62E09894" w14:textId="77777777" w:rsidR="004502F7" w:rsidRPr="00E11FFB" w:rsidRDefault="004502F7" w:rsidP="00691CDE">
            <w:pPr>
              <w:rPr>
                <w:rFonts w:ascii="Calibri" w:hAnsi="Calibri" w:cs="Calibri"/>
                <w:sz w:val="16"/>
                <w:szCs w:val="16"/>
              </w:rPr>
            </w:pPr>
          </w:p>
        </w:tc>
        <w:tc>
          <w:tcPr>
            <w:tcW w:w="1383" w:type="dxa"/>
            <w:noWrap/>
            <w:vAlign w:val="center"/>
          </w:tcPr>
          <w:p w14:paraId="5D4A5735" w14:textId="77777777" w:rsidR="004502F7" w:rsidRPr="00E11FFB" w:rsidRDefault="004502F7" w:rsidP="00691CDE">
            <w:pPr>
              <w:rPr>
                <w:rFonts w:ascii="Calibri" w:hAnsi="Calibri" w:cs="Calibri"/>
                <w:sz w:val="16"/>
                <w:szCs w:val="16"/>
              </w:rPr>
            </w:pPr>
          </w:p>
        </w:tc>
        <w:tc>
          <w:tcPr>
            <w:tcW w:w="1422" w:type="dxa"/>
            <w:noWrap/>
            <w:vAlign w:val="center"/>
          </w:tcPr>
          <w:p w14:paraId="0800663F" w14:textId="77777777" w:rsidR="004502F7" w:rsidRPr="00E11FFB" w:rsidRDefault="004502F7" w:rsidP="00691CDE">
            <w:pPr>
              <w:rPr>
                <w:rFonts w:ascii="Calibri" w:hAnsi="Calibri" w:cs="Calibri"/>
                <w:sz w:val="16"/>
                <w:szCs w:val="16"/>
              </w:rPr>
            </w:pPr>
          </w:p>
        </w:tc>
        <w:tc>
          <w:tcPr>
            <w:tcW w:w="1403" w:type="dxa"/>
            <w:noWrap/>
            <w:vAlign w:val="center"/>
          </w:tcPr>
          <w:p w14:paraId="125F3823" w14:textId="3736C3AD" w:rsidR="004502F7" w:rsidRPr="00E11FFB" w:rsidRDefault="004502F7" w:rsidP="00691CDE">
            <w:pPr>
              <w:rPr>
                <w:rFonts w:ascii="Calibri" w:hAnsi="Calibri" w:cs="Calibri"/>
                <w:sz w:val="16"/>
                <w:szCs w:val="16"/>
              </w:rPr>
            </w:pPr>
            <w:r w:rsidRPr="00E11FFB">
              <w:rPr>
                <w:rFonts w:ascii="Calibri" w:hAnsi="Calibri" w:cs="Calibri"/>
                <w:sz w:val="16"/>
                <w:szCs w:val="16"/>
              </w:rPr>
              <w:t>Projet Energie (PNUD-UNCDF), Projet PAAJ (PNUD), projet Normes (GIZ)</w:t>
            </w:r>
          </w:p>
        </w:tc>
      </w:tr>
      <w:tr w:rsidR="004502F7" w:rsidRPr="00E11FFB" w14:paraId="3846404E" w14:textId="77777777" w:rsidTr="007326D8">
        <w:trPr>
          <w:trHeight w:val="1381"/>
        </w:trPr>
        <w:tc>
          <w:tcPr>
            <w:tcW w:w="2095" w:type="dxa"/>
            <w:vMerge/>
            <w:vAlign w:val="center"/>
          </w:tcPr>
          <w:p w14:paraId="30F69A08" w14:textId="77777777" w:rsidR="004502F7" w:rsidRPr="00E11FFB" w:rsidRDefault="004502F7" w:rsidP="00691CDE">
            <w:pPr>
              <w:rPr>
                <w:rFonts w:ascii="Calibri" w:hAnsi="Calibri" w:cs="Calibri"/>
                <w:sz w:val="16"/>
                <w:szCs w:val="16"/>
                <w:highlight w:val="yellow"/>
              </w:rPr>
            </w:pPr>
          </w:p>
        </w:tc>
        <w:tc>
          <w:tcPr>
            <w:tcW w:w="1864" w:type="dxa"/>
            <w:vAlign w:val="center"/>
          </w:tcPr>
          <w:p w14:paraId="7F7FF826" w14:textId="120894AB" w:rsidR="004502F7" w:rsidRPr="00E11FFB" w:rsidRDefault="004502F7" w:rsidP="00691CDE">
            <w:pPr>
              <w:rPr>
                <w:rFonts w:ascii="Calibri" w:hAnsi="Calibri" w:cs="Calibri"/>
                <w:sz w:val="16"/>
                <w:szCs w:val="16"/>
              </w:rPr>
            </w:pPr>
            <w:r w:rsidRPr="00E11FFB">
              <w:rPr>
                <w:rFonts w:ascii="Calibri" w:hAnsi="Calibri" w:cs="Calibri"/>
                <w:sz w:val="16"/>
                <w:szCs w:val="16"/>
              </w:rPr>
              <w:t>Nombre de ministères sectoriels appuyés pour l’atteinte de leurs jalons sectoriels</w:t>
            </w:r>
          </w:p>
        </w:tc>
        <w:tc>
          <w:tcPr>
            <w:tcW w:w="626" w:type="dxa"/>
            <w:noWrap/>
            <w:vAlign w:val="center"/>
          </w:tcPr>
          <w:p w14:paraId="6B5FC270" w14:textId="4F5DAEB6" w:rsidR="004502F7" w:rsidRPr="00E11FFB" w:rsidRDefault="00E16691" w:rsidP="00691CDE">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53B32D9C" w14:textId="44D2CAD5" w:rsidR="004502F7" w:rsidRPr="00E11FFB" w:rsidRDefault="004502F7" w:rsidP="00691CDE">
            <w:pPr>
              <w:rPr>
                <w:rFonts w:ascii="Calibri" w:hAnsi="Calibri" w:cs="Calibri"/>
                <w:sz w:val="16"/>
                <w:szCs w:val="16"/>
              </w:rPr>
            </w:pPr>
            <w:r w:rsidRPr="00E11FFB">
              <w:rPr>
                <w:rFonts w:ascii="Calibri" w:hAnsi="Calibri" w:cs="Calibri"/>
                <w:sz w:val="16"/>
                <w:szCs w:val="16"/>
              </w:rPr>
              <w:t>Au moins 6 Ministères sectoriels (Mines, Environnement, Agriculture, Hydrocarbures, Energie)</w:t>
            </w:r>
          </w:p>
        </w:tc>
        <w:tc>
          <w:tcPr>
            <w:tcW w:w="1593" w:type="dxa"/>
            <w:noWrap/>
            <w:vAlign w:val="center"/>
          </w:tcPr>
          <w:p w14:paraId="1BE99B4E" w14:textId="635ACDDC" w:rsidR="004502F7" w:rsidRPr="00E11FFB" w:rsidRDefault="004502F7" w:rsidP="00691CDE">
            <w:pPr>
              <w:jc w:val="center"/>
              <w:rPr>
                <w:rFonts w:ascii="Calibri" w:hAnsi="Calibri" w:cs="Calibri"/>
                <w:sz w:val="16"/>
                <w:szCs w:val="16"/>
                <w:highlight w:val="yellow"/>
              </w:rPr>
            </w:pPr>
            <w:r w:rsidRPr="00E11FFB">
              <w:rPr>
                <w:rFonts w:ascii="Calibri" w:hAnsi="Calibri" w:cs="Calibri"/>
                <w:sz w:val="16"/>
                <w:szCs w:val="16"/>
              </w:rPr>
              <w:t>4</w:t>
            </w:r>
            <w:r w:rsidR="004D7C5E" w:rsidRPr="00E11FFB">
              <w:rPr>
                <w:rFonts w:ascii="Calibri" w:hAnsi="Calibri" w:cs="Calibri"/>
                <w:sz w:val="16"/>
                <w:szCs w:val="16"/>
              </w:rPr>
              <w:t xml:space="preserve"> (Forêt sur la politique forestière et l’intégration ITIE ; Mines et hydrocarbures sur les normes)</w:t>
            </w:r>
          </w:p>
        </w:tc>
        <w:tc>
          <w:tcPr>
            <w:tcW w:w="921" w:type="dxa"/>
            <w:noWrap/>
            <w:vAlign w:val="center"/>
          </w:tcPr>
          <w:p w14:paraId="6BF7CCCF" w14:textId="77777777" w:rsidR="004502F7" w:rsidRPr="00E11FFB" w:rsidRDefault="004502F7" w:rsidP="00691CDE">
            <w:pPr>
              <w:rPr>
                <w:rFonts w:ascii="Calibri" w:hAnsi="Calibri" w:cs="Calibri"/>
                <w:sz w:val="16"/>
                <w:szCs w:val="16"/>
              </w:rPr>
            </w:pPr>
          </w:p>
        </w:tc>
        <w:tc>
          <w:tcPr>
            <w:tcW w:w="1651" w:type="dxa"/>
            <w:vAlign w:val="center"/>
          </w:tcPr>
          <w:p w14:paraId="1C791A5C" w14:textId="77777777" w:rsidR="004502F7" w:rsidRPr="00E11FFB" w:rsidRDefault="004502F7" w:rsidP="00691CDE">
            <w:pPr>
              <w:rPr>
                <w:rFonts w:ascii="Calibri" w:hAnsi="Calibri" w:cs="Calibri"/>
                <w:sz w:val="16"/>
                <w:szCs w:val="16"/>
              </w:rPr>
            </w:pPr>
          </w:p>
        </w:tc>
        <w:tc>
          <w:tcPr>
            <w:tcW w:w="1383" w:type="dxa"/>
            <w:noWrap/>
            <w:vAlign w:val="center"/>
          </w:tcPr>
          <w:p w14:paraId="6CF50A52" w14:textId="77777777" w:rsidR="004502F7" w:rsidRPr="00E11FFB" w:rsidRDefault="004502F7" w:rsidP="00691CDE">
            <w:pPr>
              <w:rPr>
                <w:rFonts w:ascii="Calibri" w:hAnsi="Calibri" w:cs="Calibri"/>
                <w:sz w:val="16"/>
                <w:szCs w:val="16"/>
              </w:rPr>
            </w:pPr>
          </w:p>
        </w:tc>
        <w:tc>
          <w:tcPr>
            <w:tcW w:w="1422" w:type="dxa"/>
            <w:noWrap/>
            <w:vAlign w:val="center"/>
          </w:tcPr>
          <w:p w14:paraId="0F99CFE6" w14:textId="77777777" w:rsidR="004502F7" w:rsidRPr="00E11FFB" w:rsidRDefault="004502F7" w:rsidP="00691CDE">
            <w:pPr>
              <w:rPr>
                <w:rFonts w:ascii="Calibri" w:hAnsi="Calibri" w:cs="Calibri"/>
                <w:sz w:val="16"/>
                <w:szCs w:val="16"/>
              </w:rPr>
            </w:pPr>
          </w:p>
        </w:tc>
        <w:tc>
          <w:tcPr>
            <w:tcW w:w="1403" w:type="dxa"/>
            <w:noWrap/>
            <w:vAlign w:val="center"/>
          </w:tcPr>
          <w:p w14:paraId="1AC95172" w14:textId="107ABF91" w:rsidR="004502F7" w:rsidRPr="00E11FFB" w:rsidRDefault="004502F7" w:rsidP="00691CDE">
            <w:pPr>
              <w:rPr>
                <w:rFonts w:ascii="Calibri" w:hAnsi="Calibri" w:cs="Calibri"/>
                <w:sz w:val="16"/>
                <w:szCs w:val="16"/>
              </w:rPr>
            </w:pPr>
            <w:r w:rsidRPr="00E11FFB">
              <w:rPr>
                <w:rFonts w:ascii="Calibri" w:hAnsi="Calibri" w:cs="Calibri"/>
                <w:sz w:val="16"/>
                <w:szCs w:val="16"/>
              </w:rPr>
              <w:t>ACE accompagne Mines, Hydrocarbures, sur les Normes REDD+ dans leur secteur, ITIE pour l’intégration des forêts dans les ITIE (TDRs produits ACE et ITIE) et Energie sur la politique</w:t>
            </w:r>
          </w:p>
        </w:tc>
      </w:tr>
      <w:tr w:rsidR="004502F7" w:rsidRPr="00E11FFB" w14:paraId="07D9446E" w14:textId="77777777" w:rsidTr="007326D8">
        <w:trPr>
          <w:trHeight w:val="1035"/>
        </w:trPr>
        <w:tc>
          <w:tcPr>
            <w:tcW w:w="2095" w:type="dxa"/>
            <w:vMerge/>
            <w:vAlign w:val="center"/>
            <w:hideMark/>
          </w:tcPr>
          <w:p w14:paraId="70F8504D" w14:textId="77777777" w:rsidR="004502F7" w:rsidRPr="00E11FFB" w:rsidRDefault="004502F7" w:rsidP="00691CDE">
            <w:pPr>
              <w:rPr>
                <w:rFonts w:ascii="Calibri" w:hAnsi="Calibri" w:cs="Calibri"/>
                <w:sz w:val="16"/>
                <w:szCs w:val="16"/>
              </w:rPr>
            </w:pPr>
          </w:p>
        </w:tc>
        <w:tc>
          <w:tcPr>
            <w:tcW w:w="1864" w:type="dxa"/>
            <w:vAlign w:val="center"/>
            <w:hideMark/>
          </w:tcPr>
          <w:p w14:paraId="012D9FE0" w14:textId="527D3D4A" w:rsidR="004502F7" w:rsidRPr="00E11FFB" w:rsidRDefault="004502F7" w:rsidP="00691CDE">
            <w:pPr>
              <w:rPr>
                <w:rFonts w:ascii="Calibri" w:hAnsi="Calibri" w:cs="Calibri"/>
                <w:sz w:val="16"/>
                <w:szCs w:val="16"/>
              </w:rPr>
            </w:pPr>
            <w:r w:rsidRPr="00E11FFB">
              <w:rPr>
                <w:rFonts w:ascii="Calibri" w:hAnsi="Calibri" w:cs="Calibri"/>
                <w:sz w:val="16"/>
                <w:szCs w:val="16"/>
              </w:rPr>
              <w:t>Nombre d’opérateurs des secteurs forêts, mines, hydrocarbures, agricultures, infrastructures, énergie suivis dans les PIREDD en priori</w:t>
            </w:r>
          </w:p>
        </w:tc>
        <w:tc>
          <w:tcPr>
            <w:tcW w:w="626" w:type="dxa"/>
            <w:noWrap/>
            <w:vAlign w:val="center"/>
            <w:hideMark/>
          </w:tcPr>
          <w:p w14:paraId="4E5AF844" w14:textId="77777777" w:rsidR="004502F7" w:rsidRPr="00E11FFB" w:rsidRDefault="004502F7" w:rsidP="00691CDE">
            <w:pPr>
              <w:jc w:val="center"/>
              <w:rPr>
                <w:rFonts w:ascii="Calibri" w:hAnsi="Calibri" w:cs="Calibri"/>
                <w:sz w:val="16"/>
                <w:szCs w:val="16"/>
              </w:rPr>
            </w:pPr>
            <w:r w:rsidRPr="00E11FFB">
              <w:rPr>
                <w:rFonts w:ascii="Calibri" w:hAnsi="Calibri" w:cs="Calibri"/>
                <w:sz w:val="16"/>
                <w:szCs w:val="16"/>
              </w:rPr>
              <w:t>0</w:t>
            </w:r>
          </w:p>
        </w:tc>
        <w:tc>
          <w:tcPr>
            <w:tcW w:w="1806" w:type="dxa"/>
            <w:vAlign w:val="center"/>
            <w:hideMark/>
          </w:tcPr>
          <w:p w14:paraId="12F322C5" w14:textId="7A7FF5F7" w:rsidR="004502F7" w:rsidRPr="00E11FFB" w:rsidRDefault="004502F7" w:rsidP="00691CDE">
            <w:pPr>
              <w:rPr>
                <w:rFonts w:ascii="Calibri" w:hAnsi="Calibri" w:cs="Calibri"/>
                <w:sz w:val="16"/>
                <w:szCs w:val="16"/>
              </w:rPr>
            </w:pPr>
            <w:r w:rsidRPr="00E11FFB">
              <w:rPr>
                <w:rFonts w:ascii="Calibri" w:hAnsi="Calibri" w:cs="Calibri"/>
                <w:sz w:val="16"/>
                <w:szCs w:val="16"/>
              </w:rPr>
              <w:t>Une Task force ACE mise en place, fonctionnelle dans le suivi des opérateurs sectoriels appelés à la réalisation des EIES.</w:t>
            </w:r>
          </w:p>
        </w:tc>
        <w:tc>
          <w:tcPr>
            <w:tcW w:w="1593" w:type="dxa"/>
            <w:noWrap/>
            <w:vAlign w:val="center"/>
            <w:hideMark/>
          </w:tcPr>
          <w:p w14:paraId="1489AB3F" w14:textId="157485A6" w:rsidR="004502F7" w:rsidRPr="00E11FFB" w:rsidRDefault="004502F7" w:rsidP="00691CDE">
            <w:pPr>
              <w:rPr>
                <w:rFonts w:ascii="Calibri" w:hAnsi="Calibri" w:cs="Calibri"/>
                <w:sz w:val="16"/>
                <w:szCs w:val="16"/>
              </w:rPr>
            </w:pPr>
            <w:r w:rsidRPr="00E11FFB">
              <w:rPr>
                <w:rFonts w:ascii="Calibri" w:hAnsi="Calibri" w:cs="Calibri"/>
                <w:sz w:val="16"/>
                <w:szCs w:val="16"/>
              </w:rPr>
              <w:t> </w:t>
            </w:r>
            <w:r w:rsidR="003048A3" w:rsidRPr="00E11FFB">
              <w:rPr>
                <w:rFonts w:ascii="Calibri" w:hAnsi="Calibri" w:cs="Calibri"/>
                <w:sz w:val="16"/>
                <w:szCs w:val="16"/>
              </w:rPr>
              <w:t>Une Task force ACE mise en place, fonctionnelle dans le suivi des opérateurs sectoriels appelés à la réalisation des EIES</w:t>
            </w:r>
          </w:p>
        </w:tc>
        <w:tc>
          <w:tcPr>
            <w:tcW w:w="921" w:type="dxa"/>
            <w:noWrap/>
            <w:vAlign w:val="center"/>
            <w:hideMark/>
          </w:tcPr>
          <w:p w14:paraId="007B54E6"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1674BA33" w14:textId="402C4D04" w:rsidR="004502F7" w:rsidRPr="00E11FFB" w:rsidRDefault="004502F7" w:rsidP="00691CDE">
            <w:pPr>
              <w:rPr>
                <w:rFonts w:ascii="Calibri" w:hAnsi="Calibri" w:cs="Calibri"/>
                <w:sz w:val="16"/>
                <w:szCs w:val="16"/>
              </w:rPr>
            </w:pPr>
            <w:r w:rsidRPr="00E11FFB">
              <w:rPr>
                <w:rFonts w:ascii="Calibri" w:hAnsi="Calibri" w:cs="Calibri"/>
                <w:sz w:val="16"/>
                <w:szCs w:val="16"/>
              </w:rPr>
              <w:t>Une Task force ACE mise en place, fonctionnelle dans le suivi des opérateurs sectoriels appelés à la réalisation des EIES</w:t>
            </w:r>
          </w:p>
        </w:tc>
        <w:tc>
          <w:tcPr>
            <w:tcW w:w="1383" w:type="dxa"/>
            <w:noWrap/>
            <w:vAlign w:val="center"/>
            <w:hideMark/>
          </w:tcPr>
          <w:p w14:paraId="1717E450"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0A9E8F5E"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7FEED11D"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r>
      <w:tr w:rsidR="004502F7" w:rsidRPr="00E11FFB" w14:paraId="73915C1D" w14:textId="77777777" w:rsidTr="007326D8">
        <w:trPr>
          <w:trHeight w:val="1035"/>
        </w:trPr>
        <w:tc>
          <w:tcPr>
            <w:tcW w:w="2095" w:type="dxa"/>
            <w:vMerge/>
            <w:vAlign w:val="center"/>
            <w:hideMark/>
          </w:tcPr>
          <w:p w14:paraId="3522E7A2" w14:textId="77777777" w:rsidR="004502F7" w:rsidRPr="00E11FFB" w:rsidRDefault="004502F7" w:rsidP="00691CDE">
            <w:pPr>
              <w:rPr>
                <w:rFonts w:ascii="Calibri" w:hAnsi="Calibri" w:cs="Calibri"/>
                <w:sz w:val="16"/>
                <w:szCs w:val="16"/>
              </w:rPr>
            </w:pPr>
          </w:p>
        </w:tc>
        <w:tc>
          <w:tcPr>
            <w:tcW w:w="1864" w:type="dxa"/>
            <w:vAlign w:val="center"/>
            <w:hideMark/>
          </w:tcPr>
          <w:p w14:paraId="171D0A1F" w14:textId="49DEAFEA" w:rsidR="004502F7" w:rsidRPr="00E11FFB" w:rsidRDefault="004502F7" w:rsidP="00691CDE">
            <w:pPr>
              <w:rPr>
                <w:rFonts w:ascii="Calibri" w:hAnsi="Calibri" w:cs="Calibri"/>
                <w:sz w:val="16"/>
                <w:szCs w:val="16"/>
              </w:rPr>
            </w:pPr>
            <w:r w:rsidRPr="00E11FFB">
              <w:rPr>
                <w:rFonts w:ascii="Calibri" w:hAnsi="Calibri" w:cs="Calibri"/>
                <w:sz w:val="16"/>
                <w:szCs w:val="16"/>
              </w:rPr>
              <w:t xml:space="preserve">Nombre des aires protégées soutenues pour leur protection intégrale ; </w:t>
            </w:r>
          </w:p>
        </w:tc>
        <w:tc>
          <w:tcPr>
            <w:tcW w:w="626" w:type="dxa"/>
            <w:noWrap/>
            <w:vAlign w:val="center"/>
            <w:hideMark/>
          </w:tcPr>
          <w:p w14:paraId="5019F9B0" w14:textId="77777777" w:rsidR="004502F7" w:rsidRPr="00E11FFB" w:rsidRDefault="004502F7" w:rsidP="00691CDE">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0F8CB825" w14:textId="6611831F" w:rsidR="004502F7" w:rsidRPr="00E11FFB" w:rsidRDefault="004502F7" w:rsidP="00691CDE">
            <w:pPr>
              <w:rPr>
                <w:rFonts w:ascii="Calibri" w:hAnsi="Calibri" w:cs="Calibri"/>
                <w:sz w:val="16"/>
                <w:szCs w:val="16"/>
              </w:rPr>
            </w:pPr>
            <w:r w:rsidRPr="00E11FFB">
              <w:rPr>
                <w:rFonts w:ascii="Calibri" w:hAnsi="Calibri" w:cs="Calibri"/>
                <w:sz w:val="16"/>
                <w:szCs w:val="16"/>
              </w:rPr>
              <w:t>Au moins 12 EIES menées en relation avec la protection des aires protégées, priorité dans les PIREDD</w:t>
            </w:r>
          </w:p>
        </w:tc>
        <w:tc>
          <w:tcPr>
            <w:tcW w:w="1593" w:type="dxa"/>
            <w:noWrap/>
            <w:vAlign w:val="center"/>
            <w:hideMark/>
          </w:tcPr>
          <w:p w14:paraId="248129CD" w14:textId="25F6768B" w:rsidR="004502F7" w:rsidRPr="00E11FFB" w:rsidRDefault="004502F7" w:rsidP="00691CDE">
            <w:pPr>
              <w:rPr>
                <w:rFonts w:ascii="Calibri" w:hAnsi="Calibri" w:cs="Calibri"/>
                <w:sz w:val="16"/>
                <w:szCs w:val="16"/>
              </w:rPr>
            </w:pPr>
            <w:r w:rsidRPr="00E11FFB">
              <w:rPr>
                <w:rFonts w:ascii="Calibri" w:hAnsi="Calibri" w:cs="Calibri"/>
                <w:sz w:val="16"/>
                <w:szCs w:val="16"/>
              </w:rPr>
              <w:t> </w:t>
            </w:r>
            <w:r w:rsidR="003048A3" w:rsidRPr="00E11FFB">
              <w:rPr>
                <w:rFonts w:ascii="Calibri" w:hAnsi="Calibri" w:cs="Calibri"/>
                <w:sz w:val="16"/>
                <w:szCs w:val="16"/>
              </w:rPr>
              <w:t>11 EIES réalisées</w:t>
            </w:r>
          </w:p>
        </w:tc>
        <w:tc>
          <w:tcPr>
            <w:tcW w:w="921" w:type="dxa"/>
            <w:noWrap/>
            <w:vAlign w:val="center"/>
            <w:hideMark/>
          </w:tcPr>
          <w:p w14:paraId="0A2D6675"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0AC046D6"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Au moins 12 EIES menées en relation avec la protection des aires protégées, priorité dans les PIREDD.</w:t>
            </w:r>
          </w:p>
        </w:tc>
        <w:tc>
          <w:tcPr>
            <w:tcW w:w="1383" w:type="dxa"/>
            <w:noWrap/>
            <w:vAlign w:val="center"/>
            <w:hideMark/>
          </w:tcPr>
          <w:p w14:paraId="0D6A394A"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3F24928A"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79169CFC" w14:textId="77777777" w:rsidR="004502F7" w:rsidRPr="00E11FFB" w:rsidRDefault="004502F7" w:rsidP="00691CDE">
            <w:pPr>
              <w:rPr>
                <w:rFonts w:ascii="Calibri" w:hAnsi="Calibri" w:cs="Calibri"/>
                <w:sz w:val="16"/>
                <w:szCs w:val="16"/>
              </w:rPr>
            </w:pPr>
            <w:r w:rsidRPr="00E11FFB">
              <w:rPr>
                <w:rFonts w:ascii="Calibri" w:hAnsi="Calibri" w:cs="Calibri"/>
                <w:sz w:val="16"/>
                <w:szCs w:val="16"/>
              </w:rPr>
              <w:t> </w:t>
            </w:r>
          </w:p>
        </w:tc>
      </w:tr>
      <w:tr w:rsidR="004502F7" w:rsidRPr="00E11FFB" w14:paraId="771D0ED8" w14:textId="77777777" w:rsidTr="007326D8">
        <w:trPr>
          <w:trHeight w:val="425"/>
        </w:trPr>
        <w:tc>
          <w:tcPr>
            <w:tcW w:w="2095" w:type="dxa"/>
            <w:vMerge/>
            <w:vAlign w:val="center"/>
          </w:tcPr>
          <w:p w14:paraId="4F5EEDC5" w14:textId="77777777" w:rsidR="004502F7" w:rsidRPr="00E11FFB" w:rsidRDefault="004502F7" w:rsidP="000A0D42">
            <w:pPr>
              <w:rPr>
                <w:rFonts w:ascii="Calibri" w:hAnsi="Calibri" w:cs="Calibri"/>
                <w:sz w:val="16"/>
                <w:szCs w:val="16"/>
              </w:rPr>
            </w:pPr>
          </w:p>
        </w:tc>
        <w:tc>
          <w:tcPr>
            <w:tcW w:w="1864" w:type="dxa"/>
            <w:vAlign w:val="center"/>
          </w:tcPr>
          <w:p w14:paraId="07D49029" w14:textId="7F0F9239" w:rsidR="004502F7" w:rsidRPr="00E11FFB" w:rsidRDefault="004502F7" w:rsidP="000A0D42">
            <w:pPr>
              <w:rPr>
                <w:rFonts w:ascii="Calibri" w:hAnsi="Calibri" w:cs="Calibri"/>
                <w:sz w:val="16"/>
                <w:szCs w:val="16"/>
              </w:rPr>
            </w:pPr>
            <w:r w:rsidRPr="00E11FFB">
              <w:rPr>
                <w:rFonts w:ascii="Calibri" w:hAnsi="Calibri" w:cs="Calibri"/>
                <w:sz w:val="16"/>
                <w:szCs w:val="16"/>
              </w:rPr>
              <w:t>Nombre d’EIES effectuées et approuvées.</w:t>
            </w:r>
          </w:p>
        </w:tc>
        <w:tc>
          <w:tcPr>
            <w:tcW w:w="626" w:type="dxa"/>
            <w:noWrap/>
            <w:vAlign w:val="center"/>
          </w:tcPr>
          <w:p w14:paraId="00AB3676" w14:textId="7F4BFD16" w:rsidR="004502F7" w:rsidRPr="00E11FFB" w:rsidRDefault="00C27BA7" w:rsidP="000A0D42">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4354FDDF" w14:textId="7699FDA4" w:rsidR="004502F7" w:rsidRPr="00E11FFB" w:rsidRDefault="004502F7" w:rsidP="000A0D42">
            <w:pPr>
              <w:rPr>
                <w:rFonts w:ascii="Calibri" w:hAnsi="Calibri" w:cs="Calibri"/>
                <w:sz w:val="16"/>
                <w:szCs w:val="16"/>
              </w:rPr>
            </w:pPr>
            <w:r w:rsidRPr="00E11FFB">
              <w:rPr>
                <w:rFonts w:ascii="Calibri" w:hAnsi="Calibri" w:cs="Calibri"/>
                <w:sz w:val="16"/>
                <w:szCs w:val="16"/>
              </w:rPr>
              <w:t>Au moins 12 EIES menées et approuvées</w:t>
            </w:r>
          </w:p>
        </w:tc>
        <w:tc>
          <w:tcPr>
            <w:tcW w:w="1593" w:type="dxa"/>
            <w:noWrap/>
            <w:vAlign w:val="center"/>
          </w:tcPr>
          <w:p w14:paraId="2E9C25E9" w14:textId="03B605AC" w:rsidR="004502F7" w:rsidRPr="00E11FFB" w:rsidRDefault="003048A3" w:rsidP="000A0D42">
            <w:pPr>
              <w:rPr>
                <w:rFonts w:ascii="Calibri" w:hAnsi="Calibri" w:cs="Calibri"/>
                <w:sz w:val="16"/>
                <w:szCs w:val="16"/>
              </w:rPr>
            </w:pPr>
            <w:r w:rsidRPr="00E11FFB">
              <w:rPr>
                <w:rFonts w:ascii="Calibri" w:hAnsi="Calibri" w:cs="Calibri"/>
                <w:sz w:val="16"/>
                <w:szCs w:val="16"/>
              </w:rPr>
              <w:t>11 EIE menées, PV produits en attente de correction du rapport pour approbation</w:t>
            </w:r>
          </w:p>
        </w:tc>
        <w:tc>
          <w:tcPr>
            <w:tcW w:w="921" w:type="dxa"/>
            <w:noWrap/>
            <w:vAlign w:val="center"/>
          </w:tcPr>
          <w:p w14:paraId="37672F0A" w14:textId="77777777" w:rsidR="004502F7" w:rsidRPr="00E11FFB" w:rsidRDefault="004502F7" w:rsidP="000A0D42">
            <w:pPr>
              <w:rPr>
                <w:rFonts w:ascii="Calibri" w:hAnsi="Calibri" w:cs="Calibri"/>
                <w:sz w:val="16"/>
                <w:szCs w:val="16"/>
              </w:rPr>
            </w:pPr>
          </w:p>
        </w:tc>
        <w:tc>
          <w:tcPr>
            <w:tcW w:w="1651" w:type="dxa"/>
            <w:vAlign w:val="center"/>
          </w:tcPr>
          <w:p w14:paraId="0C8472D8" w14:textId="20B1725E" w:rsidR="004502F7" w:rsidRPr="00E11FFB" w:rsidRDefault="004502F7" w:rsidP="000A0D42">
            <w:pPr>
              <w:rPr>
                <w:rFonts w:ascii="Calibri" w:hAnsi="Calibri" w:cs="Calibri"/>
                <w:sz w:val="16"/>
                <w:szCs w:val="16"/>
              </w:rPr>
            </w:pPr>
            <w:r w:rsidRPr="00E11FFB">
              <w:rPr>
                <w:rFonts w:ascii="Calibri" w:hAnsi="Calibri" w:cs="Calibri"/>
                <w:sz w:val="16"/>
                <w:szCs w:val="16"/>
              </w:rPr>
              <w:t>Au moins 12 EIES menées et approuvées</w:t>
            </w:r>
          </w:p>
        </w:tc>
        <w:tc>
          <w:tcPr>
            <w:tcW w:w="1383" w:type="dxa"/>
            <w:noWrap/>
            <w:vAlign w:val="center"/>
          </w:tcPr>
          <w:p w14:paraId="503684A3" w14:textId="77777777" w:rsidR="004502F7" w:rsidRPr="00E11FFB" w:rsidRDefault="004502F7" w:rsidP="000A0D42">
            <w:pPr>
              <w:rPr>
                <w:rFonts w:ascii="Calibri" w:hAnsi="Calibri" w:cs="Calibri"/>
                <w:sz w:val="16"/>
                <w:szCs w:val="16"/>
              </w:rPr>
            </w:pPr>
          </w:p>
        </w:tc>
        <w:tc>
          <w:tcPr>
            <w:tcW w:w="1422" w:type="dxa"/>
            <w:noWrap/>
            <w:vAlign w:val="center"/>
          </w:tcPr>
          <w:p w14:paraId="568B3595" w14:textId="77777777" w:rsidR="004502F7" w:rsidRPr="00E11FFB" w:rsidRDefault="004502F7" w:rsidP="000A0D42">
            <w:pPr>
              <w:rPr>
                <w:rFonts w:ascii="Calibri" w:hAnsi="Calibri" w:cs="Calibri"/>
                <w:sz w:val="16"/>
                <w:szCs w:val="16"/>
              </w:rPr>
            </w:pPr>
          </w:p>
        </w:tc>
        <w:tc>
          <w:tcPr>
            <w:tcW w:w="1403" w:type="dxa"/>
            <w:noWrap/>
            <w:vAlign w:val="center"/>
          </w:tcPr>
          <w:p w14:paraId="35938333" w14:textId="77777777" w:rsidR="004502F7" w:rsidRPr="00E11FFB" w:rsidRDefault="004502F7" w:rsidP="000A0D42">
            <w:pPr>
              <w:rPr>
                <w:rFonts w:ascii="Calibri" w:hAnsi="Calibri" w:cs="Calibri"/>
                <w:sz w:val="16"/>
                <w:szCs w:val="16"/>
              </w:rPr>
            </w:pPr>
          </w:p>
        </w:tc>
      </w:tr>
      <w:tr w:rsidR="004D7C5E" w:rsidRPr="00E11FFB" w14:paraId="2F259F39" w14:textId="77777777" w:rsidTr="007326D8">
        <w:trPr>
          <w:trHeight w:val="1035"/>
        </w:trPr>
        <w:tc>
          <w:tcPr>
            <w:tcW w:w="2095" w:type="dxa"/>
            <w:vMerge/>
            <w:vAlign w:val="center"/>
          </w:tcPr>
          <w:p w14:paraId="34D77D60" w14:textId="77777777" w:rsidR="004D7C5E" w:rsidRPr="00E11FFB" w:rsidRDefault="004D7C5E" w:rsidP="004D7C5E">
            <w:pPr>
              <w:rPr>
                <w:rFonts w:ascii="Calibri" w:hAnsi="Calibri" w:cs="Calibri"/>
                <w:sz w:val="16"/>
                <w:szCs w:val="16"/>
              </w:rPr>
            </w:pPr>
          </w:p>
        </w:tc>
        <w:tc>
          <w:tcPr>
            <w:tcW w:w="1864" w:type="dxa"/>
            <w:vAlign w:val="center"/>
          </w:tcPr>
          <w:p w14:paraId="49F1AC15" w14:textId="0A69DA82" w:rsidR="004D7C5E" w:rsidRPr="00E11FFB" w:rsidRDefault="004D7C5E" w:rsidP="004D7C5E">
            <w:pPr>
              <w:rPr>
                <w:rFonts w:ascii="Calibri" w:hAnsi="Calibri" w:cs="Calibri"/>
                <w:sz w:val="16"/>
                <w:szCs w:val="16"/>
              </w:rPr>
            </w:pPr>
            <w:r w:rsidRPr="00E11FFB">
              <w:rPr>
                <w:rFonts w:ascii="Calibri" w:hAnsi="Calibri" w:cs="Calibri"/>
                <w:sz w:val="16"/>
                <w:szCs w:val="16"/>
              </w:rPr>
              <w:t>Nombre de normes REDD+ élaborées et adoptées dans les secteurs des mines et des hydrocarbures</w:t>
            </w:r>
          </w:p>
        </w:tc>
        <w:tc>
          <w:tcPr>
            <w:tcW w:w="626" w:type="dxa"/>
            <w:noWrap/>
            <w:vAlign w:val="center"/>
          </w:tcPr>
          <w:p w14:paraId="57638429" w14:textId="21393D4A" w:rsidR="004D7C5E" w:rsidRPr="00E11FFB" w:rsidRDefault="004D7C5E" w:rsidP="004D7C5E">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1FD1ED44" w14:textId="0FE49283" w:rsidR="004D7C5E" w:rsidRPr="00E11FFB" w:rsidRDefault="004D7C5E" w:rsidP="004D7C5E">
            <w:pPr>
              <w:rPr>
                <w:rFonts w:ascii="Calibri" w:hAnsi="Calibri" w:cs="Calibri"/>
                <w:sz w:val="16"/>
                <w:szCs w:val="16"/>
              </w:rPr>
            </w:pPr>
            <w:r w:rsidRPr="00E11FFB">
              <w:rPr>
                <w:rFonts w:ascii="Calibri" w:hAnsi="Calibri" w:cs="Calibri"/>
                <w:sz w:val="16"/>
                <w:szCs w:val="16"/>
              </w:rPr>
              <w:t>Task force ACE appuyée pour le suivi dans la réalisation du projet Normes REDD+ dans les secteurs des Mines et des Hydrocarbures.</w:t>
            </w:r>
          </w:p>
        </w:tc>
        <w:tc>
          <w:tcPr>
            <w:tcW w:w="1593" w:type="dxa"/>
            <w:noWrap/>
            <w:vAlign w:val="center"/>
          </w:tcPr>
          <w:p w14:paraId="53881169" w14:textId="27D9E63A" w:rsidR="004D7C5E" w:rsidRPr="00E11FFB" w:rsidRDefault="004D7C5E" w:rsidP="004D7C5E">
            <w:pPr>
              <w:rPr>
                <w:rFonts w:ascii="Calibri" w:hAnsi="Calibri" w:cs="Calibri"/>
                <w:sz w:val="16"/>
                <w:szCs w:val="16"/>
              </w:rPr>
            </w:pPr>
            <w:r w:rsidRPr="00E11FFB">
              <w:rPr>
                <w:rFonts w:ascii="Calibri" w:hAnsi="Calibri" w:cs="Calibri"/>
                <w:sz w:val="16"/>
                <w:szCs w:val="16"/>
              </w:rPr>
              <w:t>Task force ACE accompagne le projet normes de la GIZ en collaboration avec les ministères des Mines et des Hydrocarbures.</w:t>
            </w:r>
          </w:p>
        </w:tc>
        <w:tc>
          <w:tcPr>
            <w:tcW w:w="921" w:type="dxa"/>
            <w:noWrap/>
            <w:vAlign w:val="center"/>
          </w:tcPr>
          <w:p w14:paraId="2610BC77" w14:textId="77777777" w:rsidR="004D7C5E" w:rsidRPr="00E11FFB" w:rsidRDefault="004D7C5E" w:rsidP="004D7C5E">
            <w:pPr>
              <w:rPr>
                <w:rFonts w:ascii="Calibri" w:hAnsi="Calibri" w:cs="Calibri"/>
                <w:sz w:val="16"/>
                <w:szCs w:val="16"/>
              </w:rPr>
            </w:pPr>
          </w:p>
        </w:tc>
        <w:tc>
          <w:tcPr>
            <w:tcW w:w="1651" w:type="dxa"/>
            <w:vAlign w:val="center"/>
          </w:tcPr>
          <w:p w14:paraId="6B1AFA78" w14:textId="4ED55EC4" w:rsidR="004D7C5E" w:rsidRPr="00E11FFB" w:rsidRDefault="004D7C5E" w:rsidP="004D7C5E">
            <w:pPr>
              <w:rPr>
                <w:rFonts w:ascii="Calibri" w:hAnsi="Calibri" w:cs="Calibri"/>
                <w:sz w:val="16"/>
                <w:szCs w:val="16"/>
              </w:rPr>
            </w:pPr>
            <w:r w:rsidRPr="00E11FFB">
              <w:rPr>
                <w:rFonts w:ascii="Calibri" w:hAnsi="Calibri" w:cs="Calibri"/>
                <w:sz w:val="16"/>
                <w:szCs w:val="16"/>
              </w:rPr>
              <w:t>Task force ACE appuyée pour le suivi dans la réalisation du projet Normes REDD+ dans les secteurs des Mines et des Hydrocarbures.</w:t>
            </w:r>
          </w:p>
        </w:tc>
        <w:tc>
          <w:tcPr>
            <w:tcW w:w="1383" w:type="dxa"/>
            <w:noWrap/>
            <w:vAlign w:val="center"/>
          </w:tcPr>
          <w:p w14:paraId="0507B440" w14:textId="77777777" w:rsidR="004D7C5E" w:rsidRPr="00E11FFB" w:rsidRDefault="004D7C5E" w:rsidP="004D7C5E">
            <w:pPr>
              <w:rPr>
                <w:rFonts w:ascii="Calibri" w:hAnsi="Calibri" w:cs="Calibri"/>
                <w:sz w:val="16"/>
                <w:szCs w:val="16"/>
              </w:rPr>
            </w:pPr>
          </w:p>
        </w:tc>
        <w:tc>
          <w:tcPr>
            <w:tcW w:w="1422" w:type="dxa"/>
            <w:noWrap/>
            <w:vAlign w:val="center"/>
          </w:tcPr>
          <w:p w14:paraId="139AA909" w14:textId="77777777" w:rsidR="004D7C5E" w:rsidRPr="00E11FFB" w:rsidRDefault="004D7C5E" w:rsidP="004D7C5E">
            <w:pPr>
              <w:rPr>
                <w:rFonts w:ascii="Calibri" w:hAnsi="Calibri" w:cs="Calibri"/>
                <w:sz w:val="16"/>
                <w:szCs w:val="16"/>
              </w:rPr>
            </w:pPr>
          </w:p>
        </w:tc>
        <w:tc>
          <w:tcPr>
            <w:tcW w:w="1403" w:type="dxa"/>
            <w:noWrap/>
            <w:vAlign w:val="center"/>
          </w:tcPr>
          <w:p w14:paraId="2F537112" w14:textId="77777777" w:rsidR="004D7C5E" w:rsidRPr="00E11FFB" w:rsidRDefault="004D7C5E" w:rsidP="004D7C5E">
            <w:pPr>
              <w:rPr>
                <w:rFonts w:ascii="Calibri" w:hAnsi="Calibri" w:cs="Calibri"/>
                <w:sz w:val="16"/>
                <w:szCs w:val="16"/>
              </w:rPr>
            </w:pPr>
          </w:p>
        </w:tc>
      </w:tr>
      <w:tr w:rsidR="00114CF8" w:rsidRPr="00E11FFB" w14:paraId="6C682C45" w14:textId="77777777" w:rsidTr="007326D8">
        <w:trPr>
          <w:trHeight w:val="40"/>
        </w:trPr>
        <w:tc>
          <w:tcPr>
            <w:tcW w:w="2095" w:type="dxa"/>
            <w:vMerge w:val="restart"/>
            <w:vAlign w:val="center"/>
          </w:tcPr>
          <w:p w14:paraId="2A87CC62" w14:textId="34EA503B" w:rsidR="00114CF8" w:rsidRPr="00E11FFB" w:rsidRDefault="00114CF8" w:rsidP="004D7C5E">
            <w:pPr>
              <w:rPr>
                <w:rFonts w:ascii="Calibri" w:hAnsi="Calibri" w:cs="Calibri"/>
                <w:sz w:val="16"/>
                <w:szCs w:val="16"/>
              </w:rPr>
            </w:pPr>
            <w:r w:rsidRPr="00E11FFB">
              <w:rPr>
                <w:rFonts w:ascii="Calibri" w:hAnsi="Calibri" w:cs="Calibri"/>
                <w:sz w:val="16"/>
                <w:szCs w:val="16"/>
              </w:rPr>
              <w:t>Produit 7.2 (Jalon 6 f) : Conditionner tout investissement minier et d’hydrocarbures dans la zone tampon d’aires protégées par le fait qu’il n’ait pas d’incidence négative sur l’aire protégée, et assujettir ces investissements à une étude d’impact environnemental et social préalable, assortie de son plan de gestion dûment approuvés, conformément au cadre légal en vigueur.</w:t>
            </w:r>
          </w:p>
        </w:tc>
        <w:tc>
          <w:tcPr>
            <w:tcW w:w="1864" w:type="dxa"/>
            <w:vAlign w:val="center"/>
            <w:hideMark/>
          </w:tcPr>
          <w:p w14:paraId="36B88B37" w14:textId="77777777" w:rsidR="00114CF8" w:rsidRPr="00E11FFB" w:rsidRDefault="00114CF8" w:rsidP="004D7C5E">
            <w:pPr>
              <w:rPr>
                <w:rFonts w:ascii="Calibri" w:hAnsi="Calibri" w:cs="Calibri"/>
                <w:sz w:val="16"/>
                <w:szCs w:val="16"/>
              </w:rPr>
            </w:pPr>
            <w:r w:rsidRPr="00E11FFB">
              <w:rPr>
                <w:rFonts w:ascii="Calibri" w:hAnsi="Calibri" w:cs="Calibri"/>
                <w:sz w:val="16"/>
                <w:szCs w:val="16"/>
              </w:rPr>
              <w:t>Nombre de normes REDD+ élaborées et adoptées dans les secteurs des mines et des hydrocarbures</w:t>
            </w:r>
          </w:p>
        </w:tc>
        <w:tc>
          <w:tcPr>
            <w:tcW w:w="626" w:type="dxa"/>
            <w:noWrap/>
            <w:vAlign w:val="center"/>
            <w:hideMark/>
          </w:tcPr>
          <w:p w14:paraId="60C19EFC" w14:textId="77777777" w:rsidR="00114CF8" w:rsidRPr="00E11FFB" w:rsidRDefault="00114CF8" w:rsidP="004D7C5E">
            <w:pPr>
              <w:jc w:val="center"/>
              <w:rPr>
                <w:rFonts w:ascii="Calibri" w:hAnsi="Calibri" w:cs="Calibri"/>
                <w:sz w:val="16"/>
                <w:szCs w:val="16"/>
              </w:rPr>
            </w:pPr>
            <w:r w:rsidRPr="00E11FFB">
              <w:rPr>
                <w:rFonts w:ascii="Calibri" w:hAnsi="Calibri" w:cs="Calibri"/>
                <w:sz w:val="16"/>
                <w:szCs w:val="16"/>
              </w:rPr>
              <w:t>0</w:t>
            </w:r>
          </w:p>
        </w:tc>
        <w:tc>
          <w:tcPr>
            <w:tcW w:w="1806" w:type="dxa"/>
            <w:vAlign w:val="center"/>
            <w:hideMark/>
          </w:tcPr>
          <w:p w14:paraId="7EFD19DC" w14:textId="1DF4B8FD" w:rsidR="00114CF8" w:rsidRPr="00E11FFB" w:rsidRDefault="00114CF8" w:rsidP="004D7C5E">
            <w:pPr>
              <w:rPr>
                <w:rFonts w:ascii="Calibri" w:hAnsi="Calibri" w:cs="Calibri"/>
                <w:sz w:val="16"/>
                <w:szCs w:val="16"/>
              </w:rPr>
            </w:pPr>
            <w:r w:rsidRPr="00E11FFB">
              <w:rPr>
                <w:rFonts w:ascii="Calibri" w:hAnsi="Calibri" w:cs="Calibri"/>
                <w:sz w:val="16"/>
                <w:szCs w:val="16"/>
              </w:rPr>
              <w:t>Task force ACE appuyée pour le suivi dans la réalisation du projet Normes REDD+ dans les secteurs des Mines et des Hydrocarbures.</w:t>
            </w:r>
          </w:p>
        </w:tc>
        <w:tc>
          <w:tcPr>
            <w:tcW w:w="1593" w:type="dxa"/>
            <w:noWrap/>
            <w:vAlign w:val="center"/>
            <w:hideMark/>
          </w:tcPr>
          <w:p w14:paraId="4ED617D7" w14:textId="2B22EED3" w:rsidR="00114CF8" w:rsidRPr="00E11FFB" w:rsidRDefault="00114CF8" w:rsidP="004D7C5E">
            <w:pPr>
              <w:jc w:val="center"/>
              <w:rPr>
                <w:rFonts w:ascii="Calibri" w:hAnsi="Calibri" w:cs="Calibri"/>
                <w:sz w:val="16"/>
                <w:szCs w:val="16"/>
              </w:rPr>
            </w:pPr>
            <w:r w:rsidRPr="00E11FFB">
              <w:rPr>
                <w:rFonts w:ascii="Calibri" w:hAnsi="Calibri" w:cs="Calibri"/>
                <w:sz w:val="16"/>
                <w:szCs w:val="16"/>
              </w:rPr>
              <w:t>1</w:t>
            </w:r>
          </w:p>
        </w:tc>
        <w:tc>
          <w:tcPr>
            <w:tcW w:w="921" w:type="dxa"/>
            <w:noWrap/>
            <w:vAlign w:val="center"/>
            <w:hideMark/>
          </w:tcPr>
          <w:p w14:paraId="065D63F5" w14:textId="77777777" w:rsidR="00114CF8" w:rsidRPr="00E11FFB" w:rsidRDefault="00114CF8" w:rsidP="004D7C5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47D0611B" w14:textId="77777777" w:rsidR="00114CF8" w:rsidRPr="00E11FFB" w:rsidRDefault="00114CF8" w:rsidP="004D7C5E">
            <w:pPr>
              <w:rPr>
                <w:rFonts w:ascii="Calibri" w:hAnsi="Calibri" w:cs="Calibri"/>
                <w:sz w:val="16"/>
                <w:szCs w:val="16"/>
              </w:rPr>
            </w:pPr>
            <w:r w:rsidRPr="00E11FFB">
              <w:rPr>
                <w:rFonts w:ascii="Calibri" w:hAnsi="Calibri" w:cs="Calibri"/>
                <w:sz w:val="16"/>
                <w:szCs w:val="16"/>
              </w:rPr>
              <w:t xml:space="preserve">Task force ACE appuyée pour le suivi et à la réalisation du projet Normes REDD+ dans les secteurs des Mines et des Hydrocarbures. </w:t>
            </w:r>
          </w:p>
        </w:tc>
        <w:tc>
          <w:tcPr>
            <w:tcW w:w="1383" w:type="dxa"/>
            <w:noWrap/>
            <w:vAlign w:val="center"/>
            <w:hideMark/>
          </w:tcPr>
          <w:p w14:paraId="202A1E01" w14:textId="77777777" w:rsidR="00114CF8" w:rsidRPr="00E11FFB" w:rsidRDefault="00114CF8" w:rsidP="004D7C5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0ACDD400" w14:textId="77777777" w:rsidR="00114CF8" w:rsidRPr="00E11FFB" w:rsidRDefault="00114CF8" w:rsidP="004D7C5E">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154AA9FE" w14:textId="016FFCE3" w:rsidR="00114CF8" w:rsidRPr="00E11FFB" w:rsidRDefault="00114CF8" w:rsidP="004D7C5E">
            <w:pPr>
              <w:rPr>
                <w:rFonts w:ascii="Calibri" w:hAnsi="Calibri" w:cs="Calibri"/>
                <w:sz w:val="16"/>
                <w:szCs w:val="16"/>
              </w:rPr>
            </w:pPr>
            <w:r w:rsidRPr="00E11FFB">
              <w:rPr>
                <w:rFonts w:ascii="Calibri" w:hAnsi="Calibri" w:cs="Calibri"/>
                <w:sz w:val="16"/>
                <w:szCs w:val="16"/>
              </w:rPr>
              <w:t xml:space="preserve">Une task-force ACE suit les activités avec Hydrocarbures, Mines et projet Normes avec la GIZ ; Voir rapport listes de présence, </w:t>
            </w:r>
          </w:p>
        </w:tc>
      </w:tr>
      <w:tr w:rsidR="00114CF8" w:rsidRPr="00E11FFB" w14:paraId="39C6F581" w14:textId="77777777" w:rsidTr="007326D8">
        <w:trPr>
          <w:trHeight w:val="40"/>
        </w:trPr>
        <w:tc>
          <w:tcPr>
            <w:tcW w:w="2095" w:type="dxa"/>
            <w:vMerge/>
            <w:vAlign w:val="center"/>
          </w:tcPr>
          <w:p w14:paraId="1DA45719" w14:textId="77777777" w:rsidR="00114CF8" w:rsidRPr="00E11FFB" w:rsidRDefault="00114CF8" w:rsidP="004D7C5E">
            <w:pPr>
              <w:rPr>
                <w:rFonts w:ascii="Calibri" w:hAnsi="Calibri" w:cs="Calibri"/>
                <w:sz w:val="16"/>
                <w:szCs w:val="16"/>
              </w:rPr>
            </w:pPr>
          </w:p>
        </w:tc>
        <w:tc>
          <w:tcPr>
            <w:tcW w:w="1864" w:type="dxa"/>
            <w:vAlign w:val="center"/>
          </w:tcPr>
          <w:p w14:paraId="44AE27B5" w14:textId="425FF46C" w:rsidR="00114CF8" w:rsidRPr="00E11FFB" w:rsidRDefault="00114CF8" w:rsidP="004D7C5E">
            <w:pPr>
              <w:rPr>
                <w:rFonts w:ascii="Calibri" w:hAnsi="Calibri" w:cs="Calibri"/>
                <w:sz w:val="16"/>
                <w:szCs w:val="16"/>
              </w:rPr>
            </w:pPr>
            <w:r w:rsidRPr="00E11FFB">
              <w:rPr>
                <w:rFonts w:ascii="Calibri" w:hAnsi="Calibri" w:cs="Calibri"/>
                <w:sz w:val="16"/>
                <w:szCs w:val="16"/>
              </w:rPr>
              <w:t xml:space="preserve">Nombre de missions de contre vérification </w:t>
            </w:r>
          </w:p>
        </w:tc>
        <w:tc>
          <w:tcPr>
            <w:tcW w:w="626" w:type="dxa"/>
            <w:noWrap/>
            <w:vAlign w:val="center"/>
          </w:tcPr>
          <w:p w14:paraId="68362B7C" w14:textId="538DAD96" w:rsidR="00114CF8" w:rsidRPr="00E11FFB" w:rsidRDefault="00E16691" w:rsidP="004D7C5E">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012F20FF" w14:textId="60E7279B" w:rsidR="00114CF8" w:rsidRPr="00E11FFB" w:rsidRDefault="00FF2233" w:rsidP="004D7C5E">
            <w:pPr>
              <w:rPr>
                <w:rFonts w:ascii="Calibri" w:hAnsi="Calibri" w:cs="Calibri"/>
                <w:sz w:val="16"/>
                <w:szCs w:val="16"/>
              </w:rPr>
            </w:pPr>
            <w:r w:rsidRPr="00E11FFB">
              <w:rPr>
                <w:rFonts w:ascii="Calibri" w:hAnsi="Calibri" w:cs="Calibri"/>
                <w:sz w:val="16"/>
                <w:szCs w:val="16"/>
              </w:rPr>
              <w:t>3</w:t>
            </w:r>
          </w:p>
        </w:tc>
        <w:tc>
          <w:tcPr>
            <w:tcW w:w="1593" w:type="dxa"/>
            <w:noWrap/>
            <w:vAlign w:val="center"/>
          </w:tcPr>
          <w:p w14:paraId="08118E2A" w14:textId="755E4080" w:rsidR="00114CF8" w:rsidRPr="00E11FFB" w:rsidRDefault="00114CF8" w:rsidP="004D7C5E">
            <w:pPr>
              <w:jc w:val="center"/>
              <w:rPr>
                <w:rFonts w:ascii="Calibri" w:hAnsi="Calibri" w:cs="Calibri"/>
                <w:sz w:val="16"/>
                <w:szCs w:val="16"/>
              </w:rPr>
            </w:pPr>
            <w:r w:rsidRPr="00E11FFB">
              <w:rPr>
                <w:rFonts w:ascii="Calibri" w:hAnsi="Calibri" w:cs="Calibri"/>
                <w:sz w:val="16"/>
                <w:szCs w:val="16"/>
              </w:rPr>
              <w:t>4 missions dans les provinces forestières (Tshopo, Mongala, Equateur et Mai Ndombe)</w:t>
            </w:r>
          </w:p>
        </w:tc>
        <w:tc>
          <w:tcPr>
            <w:tcW w:w="921" w:type="dxa"/>
            <w:noWrap/>
            <w:vAlign w:val="center"/>
          </w:tcPr>
          <w:p w14:paraId="2487853A" w14:textId="77777777" w:rsidR="00114CF8" w:rsidRPr="00E11FFB" w:rsidRDefault="00114CF8" w:rsidP="004D7C5E">
            <w:pPr>
              <w:rPr>
                <w:rFonts w:ascii="Calibri" w:hAnsi="Calibri" w:cs="Calibri"/>
                <w:sz w:val="16"/>
                <w:szCs w:val="16"/>
              </w:rPr>
            </w:pPr>
          </w:p>
        </w:tc>
        <w:tc>
          <w:tcPr>
            <w:tcW w:w="1651" w:type="dxa"/>
            <w:vAlign w:val="center"/>
          </w:tcPr>
          <w:p w14:paraId="7E0EC83D" w14:textId="77777777" w:rsidR="00114CF8" w:rsidRPr="00E11FFB" w:rsidRDefault="00114CF8" w:rsidP="004D7C5E">
            <w:pPr>
              <w:rPr>
                <w:rFonts w:ascii="Calibri" w:hAnsi="Calibri" w:cs="Calibri"/>
                <w:sz w:val="16"/>
                <w:szCs w:val="16"/>
              </w:rPr>
            </w:pPr>
          </w:p>
        </w:tc>
        <w:tc>
          <w:tcPr>
            <w:tcW w:w="1383" w:type="dxa"/>
            <w:noWrap/>
            <w:vAlign w:val="center"/>
          </w:tcPr>
          <w:p w14:paraId="1824BD44" w14:textId="77777777" w:rsidR="00114CF8" w:rsidRPr="00E11FFB" w:rsidRDefault="00114CF8" w:rsidP="004D7C5E">
            <w:pPr>
              <w:rPr>
                <w:rFonts w:ascii="Calibri" w:hAnsi="Calibri" w:cs="Calibri"/>
                <w:sz w:val="16"/>
                <w:szCs w:val="16"/>
              </w:rPr>
            </w:pPr>
          </w:p>
        </w:tc>
        <w:tc>
          <w:tcPr>
            <w:tcW w:w="1422" w:type="dxa"/>
            <w:noWrap/>
            <w:vAlign w:val="center"/>
          </w:tcPr>
          <w:p w14:paraId="547DA78D" w14:textId="77777777" w:rsidR="00114CF8" w:rsidRPr="00E11FFB" w:rsidRDefault="00114CF8" w:rsidP="004D7C5E">
            <w:pPr>
              <w:rPr>
                <w:rFonts w:ascii="Calibri" w:hAnsi="Calibri" w:cs="Calibri"/>
                <w:sz w:val="16"/>
                <w:szCs w:val="16"/>
              </w:rPr>
            </w:pPr>
          </w:p>
        </w:tc>
        <w:tc>
          <w:tcPr>
            <w:tcW w:w="1403" w:type="dxa"/>
            <w:noWrap/>
            <w:vAlign w:val="center"/>
          </w:tcPr>
          <w:p w14:paraId="7391C1DB" w14:textId="77777777" w:rsidR="00114CF8" w:rsidRPr="00E11FFB" w:rsidRDefault="00114CF8" w:rsidP="004D7C5E">
            <w:pPr>
              <w:rPr>
                <w:rFonts w:ascii="Calibri" w:hAnsi="Calibri" w:cs="Calibri"/>
                <w:sz w:val="16"/>
                <w:szCs w:val="16"/>
              </w:rPr>
            </w:pPr>
          </w:p>
        </w:tc>
      </w:tr>
      <w:tr w:rsidR="00114CF8" w:rsidRPr="00E11FFB" w14:paraId="5324C9E7" w14:textId="77777777" w:rsidTr="007326D8">
        <w:trPr>
          <w:trHeight w:val="40"/>
        </w:trPr>
        <w:tc>
          <w:tcPr>
            <w:tcW w:w="2095" w:type="dxa"/>
            <w:vMerge/>
            <w:vAlign w:val="center"/>
          </w:tcPr>
          <w:p w14:paraId="26AF9D4B" w14:textId="77777777" w:rsidR="00114CF8" w:rsidRPr="00E11FFB" w:rsidRDefault="00114CF8" w:rsidP="004D7C5E">
            <w:pPr>
              <w:rPr>
                <w:rFonts w:ascii="Calibri" w:hAnsi="Calibri" w:cs="Calibri"/>
                <w:sz w:val="16"/>
                <w:szCs w:val="16"/>
              </w:rPr>
            </w:pPr>
          </w:p>
        </w:tc>
        <w:tc>
          <w:tcPr>
            <w:tcW w:w="1864" w:type="dxa"/>
            <w:vAlign w:val="center"/>
          </w:tcPr>
          <w:p w14:paraId="3A321F56" w14:textId="523C3D9C" w:rsidR="00114CF8" w:rsidRPr="00E11FFB" w:rsidRDefault="00114CF8" w:rsidP="004D7C5E">
            <w:pPr>
              <w:rPr>
                <w:rFonts w:ascii="Calibri" w:hAnsi="Calibri" w:cs="Calibri"/>
                <w:sz w:val="16"/>
                <w:szCs w:val="16"/>
              </w:rPr>
            </w:pPr>
            <w:r w:rsidRPr="00E11FFB">
              <w:rPr>
                <w:rFonts w:ascii="Calibri" w:hAnsi="Calibri" w:cs="Calibri"/>
                <w:sz w:val="16"/>
                <w:szCs w:val="16"/>
              </w:rPr>
              <w:t>Nombre d’atelier de vulgarisation de texte règlementaires</w:t>
            </w:r>
          </w:p>
        </w:tc>
        <w:tc>
          <w:tcPr>
            <w:tcW w:w="626" w:type="dxa"/>
            <w:noWrap/>
            <w:vAlign w:val="center"/>
          </w:tcPr>
          <w:p w14:paraId="2FE8FEF5" w14:textId="23AC1B06" w:rsidR="00114CF8" w:rsidRPr="00E11FFB" w:rsidRDefault="00E16691" w:rsidP="004D7C5E">
            <w:pPr>
              <w:jc w:val="center"/>
              <w:rPr>
                <w:rFonts w:ascii="Calibri" w:hAnsi="Calibri" w:cs="Calibri"/>
                <w:sz w:val="16"/>
                <w:szCs w:val="16"/>
              </w:rPr>
            </w:pPr>
            <w:r w:rsidRPr="00E11FFB">
              <w:rPr>
                <w:rFonts w:ascii="Calibri" w:hAnsi="Calibri" w:cs="Calibri"/>
                <w:sz w:val="16"/>
                <w:szCs w:val="16"/>
              </w:rPr>
              <w:t>0</w:t>
            </w:r>
          </w:p>
        </w:tc>
        <w:tc>
          <w:tcPr>
            <w:tcW w:w="1806" w:type="dxa"/>
            <w:vAlign w:val="center"/>
          </w:tcPr>
          <w:p w14:paraId="1889D93E" w14:textId="275E6FFB" w:rsidR="00114CF8" w:rsidRPr="00E11FFB" w:rsidRDefault="00FF2233" w:rsidP="004D7C5E">
            <w:pPr>
              <w:rPr>
                <w:rFonts w:ascii="Calibri" w:hAnsi="Calibri" w:cs="Calibri"/>
                <w:sz w:val="16"/>
                <w:szCs w:val="16"/>
              </w:rPr>
            </w:pPr>
            <w:r w:rsidRPr="00E11FFB">
              <w:rPr>
                <w:rFonts w:ascii="Calibri" w:hAnsi="Calibri" w:cs="Calibri"/>
                <w:sz w:val="16"/>
                <w:szCs w:val="16"/>
              </w:rPr>
              <w:t>1</w:t>
            </w:r>
          </w:p>
        </w:tc>
        <w:tc>
          <w:tcPr>
            <w:tcW w:w="1593" w:type="dxa"/>
            <w:noWrap/>
            <w:vAlign w:val="center"/>
          </w:tcPr>
          <w:p w14:paraId="7B5FEA00" w14:textId="1F889F72" w:rsidR="00114CF8" w:rsidRPr="00E11FFB" w:rsidRDefault="00114CF8" w:rsidP="004D7C5E">
            <w:pPr>
              <w:jc w:val="center"/>
              <w:rPr>
                <w:rFonts w:ascii="Calibri" w:hAnsi="Calibri" w:cs="Calibri"/>
                <w:sz w:val="16"/>
                <w:szCs w:val="16"/>
              </w:rPr>
            </w:pPr>
            <w:r w:rsidRPr="00E11FFB">
              <w:rPr>
                <w:rFonts w:ascii="Calibri" w:hAnsi="Calibri" w:cs="Calibri"/>
                <w:sz w:val="16"/>
                <w:szCs w:val="16"/>
              </w:rPr>
              <w:t xml:space="preserve">1 atelier National </w:t>
            </w:r>
          </w:p>
        </w:tc>
        <w:tc>
          <w:tcPr>
            <w:tcW w:w="921" w:type="dxa"/>
            <w:noWrap/>
            <w:vAlign w:val="center"/>
          </w:tcPr>
          <w:p w14:paraId="29A0F0F8" w14:textId="77777777" w:rsidR="00114CF8" w:rsidRPr="00E11FFB" w:rsidRDefault="00114CF8" w:rsidP="004D7C5E">
            <w:pPr>
              <w:rPr>
                <w:rFonts w:ascii="Calibri" w:hAnsi="Calibri" w:cs="Calibri"/>
                <w:sz w:val="16"/>
                <w:szCs w:val="16"/>
              </w:rPr>
            </w:pPr>
          </w:p>
        </w:tc>
        <w:tc>
          <w:tcPr>
            <w:tcW w:w="1651" w:type="dxa"/>
            <w:vAlign w:val="center"/>
          </w:tcPr>
          <w:p w14:paraId="1E493462" w14:textId="77777777" w:rsidR="00114CF8" w:rsidRPr="00E11FFB" w:rsidRDefault="00114CF8" w:rsidP="004D7C5E">
            <w:pPr>
              <w:rPr>
                <w:rFonts w:ascii="Calibri" w:hAnsi="Calibri" w:cs="Calibri"/>
                <w:sz w:val="16"/>
                <w:szCs w:val="16"/>
              </w:rPr>
            </w:pPr>
          </w:p>
        </w:tc>
        <w:tc>
          <w:tcPr>
            <w:tcW w:w="1383" w:type="dxa"/>
            <w:noWrap/>
            <w:vAlign w:val="center"/>
          </w:tcPr>
          <w:p w14:paraId="796B68B8" w14:textId="77777777" w:rsidR="00114CF8" w:rsidRPr="00E11FFB" w:rsidRDefault="00114CF8" w:rsidP="004D7C5E">
            <w:pPr>
              <w:rPr>
                <w:rFonts w:ascii="Calibri" w:hAnsi="Calibri" w:cs="Calibri"/>
                <w:sz w:val="16"/>
                <w:szCs w:val="16"/>
              </w:rPr>
            </w:pPr>
          </w:p>
        </w:tc>
        <w:tc>
          <w:tcPr>
            <w:tcW w:w="1422" w:type="dxa"/>
            <w:noWrap/>
            <w:vAlign w:val="center"/>
          </w:tcPr>
          <w:p w14:paraId="289D41DF" w14:textId="77777777" w:rsidR="00114CF8" w:rsidRPr="00E11FFB" w:rsidRDefault="00114CF8" w:rsidP="004D7C5E">
            <w:pPr>
              <w:rPr>
                <w:rFonts w:ascii="Calibri" w:hAnsi="Calibri" w:cs="Calibri"/>
                <w:sz w:val="16"/>
                <w:szCs w:val="16"/>
              </w:rPr>
            </w:pPr>
          </w:p>
        </w:tc>
        <w:tc>
          <w:tcPr>
            <w:tcW w:w="1403" w:type="dxa"/>
            <w:noWrap/>
            <w:vAlign w:val="center"/>
          </w:tcPr>
          <w:p w14:paraId="33F4D890" w14:textId="77777777" w:rsidR="00114CF8" w:rsidRPr="00E11FFB" w:rsidRDefault="00114CF8" w:rsidP="004D7C5E">
            <w:pPr>
              <w:rPr>
                <w:rFonts w:ascii="Calibri" w:hAnsi="Calibri" w:cs="Calibri"/>
                <w:sz w:val="16"/>
                <w:szCs w:val="16"/>
              </w:rPr>
            </w:pPr>
          </w:p>
        </w:tc>
      </w:tr>
      <w:tr w:rsidR="004D7C5E" w:rsidRPr="00E11FFB" w14:paraId="0169574A" w14:textId="77777777" w:rsidTr="007326D8">
        <w:trPr>
          <w:trHeight w:val="3453"/>
        </w:trPr>
        <w:tc>
          <w:tcPr>
            <w:tcW w:w="2095" w:type="dxa"/>
            <w:vAlign w:val="center"/>
            <w:hideMark/>
          </w:tcPr>
          <w:p w14:paraId="73773957" w14:textId="52BFFC11"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Produit 7.3 (Jalon 6 g) : Les Normes REDD+ sont élaborées de manière participative, adoptées et intégrées dans le Manuel d’Opérations et des Procédures des évaluations environnementales et sociales, en prenant en compte les meilleures pratiques nationales et internationales en relation avec la prévention, l’atténuation et la compensation (par ordre de priorité) des impacts négatifs directs et indirects des investissements miniers et des hydrocarbures, d’ici fin 2023. </w:t>
            </w:r>
          </w:p>
        </w:tc>
        <w:tc>
          <w:tcPr>
            <w:tcW w:w="1864" w:type="dxa"/>
            <w:vAlign w:val="center"/>
            <w:hideMark/>
          </w:tcPr>
          <w:p w14:paraId="3FDFBC8F"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Nombre de rapport de réunion de suivi </w:t>
            </w:r>
          </w:p>
        </w:tc>
        <w:tc>
          <w:tcPr>
            <w:tcW w:w="626" w:type="dxa"/>
            <w:noWrap/>
            <w:vAlign w:val="center"/>
            <w:hideMark/>
          </w:tcPr>
          <w:p w14:paraId="0551A0D4" w14:textId="77777777" w:rsidR="004D7C5E" w:rsidRPr="00E11FFB" w:rsidRDefault="004D7C5E" w:rsidP="004D7C5E">
            <w:pPr>
              <w:jc w:val="center"/>
              <w:rPr>
                <w:rFonts w:ascii="Calibri" w:hAnsi="Calibri" w:cs="Calibri"/>
                <w:sz w:val="16"/>
                <w:szCs w:val="16"/>
              </w:rPr>
            </w:pPr>
            <w:r w:rsidRPr="00E11FFB">
              <w:rPr>
                <w:rFonts w:ascii="Calibri" w:hAnsi="Calibri" w:cs="Calibri"/>
                <w:sz w:val="16"/>
                <w:szCs w:val="16"/>
              </w:rPr>
              <w:t>0</w:t>
            </w:r>
          </w:p>
        </w:tc>
        <w:tc>
          <w:tcPr>
            <w:tcW w:w="1806" w:type="dxa"/>
            <w:vAlign w:val="center"/>
            <w:hideMark/>
          </w:tcPr>
          <w:p w14:paraId="2793A78E" w14:textId="77777777" w:rsidR="004D7C5E" w:rsidRPr="00E11FFB" w:rsidRDefault="004D7C5E" w:rsidP="004D7C5E">
            <w:pPr>
              <w:jc w:val="center"/>
              <w:rPr>
                <w:rFonts w:ascii="Calibri" w:hAnsi="Calibri" w:cs="Calibri"/>
                <w:sz w:val="16"/>
                <w:szCs w:val="16"/>
              </w:rPr>
            </w:pPr>
            <w:r w:rsidRPr="00E11FFB">
              <w:rPr>
                <w:rFonts w:ascii="Calibri" w:hAnsi="Calibri" w:cs="Calibri"/>
                <w:sz w:val="16"/>
                <w:szCs w:val="16"/>
              </w:rPr>
              <w:t>1</w:t>
            </w:r>
          </w:p>
        </w:tc>
        <w:tc>
          <w:tcPr>
            <w:tcW w:w="1593" w:type="dxa"/>
            <w:noWrap/>
            <w:vAlign w:val="center"/>
            <w:hideMark/>
          </w:tcPr>
          <w:p w14:paraId="668FB173" w14:textId="158F14A3" w:rsidR="004D7C5E" w:rsidRPr="00E11FFB" w:rsidRDefault="004D7C5E" w:rsidP="004D7C5E">
            <w:pPr>
              <w:rPr>
                <w:rFonts w:ascii="Calibri" w:hAnsi="Calibri" w:cs="Calibri"/>
                <w:sz w:val="16"/>
                <w:szCs w:val="16"/>
              </w:rPr>
            </w:pPr>
            <w:r w:rsidRPr="00E11FFB">
              <w:rPr>
                <w:rFonts w:ascii="Calibri" w:hAnsi="Calibri" w:cs="Calibri"/>
                <w:sz w:val="16"/>
                <w:szCs w:val="16"/>
              </w:rPr>
              <w:t> 5</w:t>
            </w:r>
          </w:p>
        </w:tc>
        <w:tc>
          <w:tcPr>
            <w:tcW w:w="921" w:type="dxa"/>
            <w:noWrap/>
            <w:vAlign w:val="center"/>
            <w:hideMark/>
          </w:tcPr>
          <w:p w14:paraId="319771D4"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19F69ED2" w14:textId="77777777" w:rsidR="004D7C5E" w:rsidRPr="00E11FFB" w:rsidRDefault="004D7C5E" w:rsidP="004D7C5E">
            <w:pPr>
              <w:jc w:val="center"/>
              <w:rPr>
                <w:rFonts w:ascii="Calibri" w:hAnsi="Calibri" w:cs="Calibri"/>
                <w:sz w:val="16"/>
                <w:szCs w:val="16"/>
              </w:rPr>
            </w:pPr>
            <w:r w:rsidRPr="00E11FFB">
              <w:rPr>
                <w:rFonts w:ascii="Calibri" w:hAnsi="Calibri" w:cs="Calibri"/>
                <w:sz w:val="16"/>
                <w:szCs w:val="16"/>
              </w:rPr>
              <w:t>1</w:t>
            </w:r>
          </w:p>
        </w:tc>
        <w:tc>
          <w:tcPr>
            <w:tcW w:w="1383" w:type="dxa"/>
            <w:noWrap/>
            <w:vAlign w:val="center"/>
            <w:hideMark/>
          </w:tcPr>
          <w:p w14:paraId="253798BC"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60EB31D9"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39E42B99" w14:textId="03F5CFA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Rapport de réunion de suivi des activités avec GIZ. ACE a organisé trois réunions avec le projet normes GIZ sur la plateforme numérique de suivi des projets. </w:t>
            </w:r>
          </w:p>
        </w:tc>
      </w:tr>
      <w:tr w:rsidR="004D7C5E" w:rsidRPr="00E11FFB" w14:paraId="77B571E2" w14:textId="77777777" w:rsidTr="00113999">
        <w:trPr>
          <w:trHeight w:val="1035"/>
        </w:trPr>
        <w:tc>
          <w:tcPr>
            <w:tcW w:w="2095" w:type="dxa"/>
            <w:vMerge w:val="restart"/>
            <w:noWrap/>
            <w:vAlign w:val="center"/>
            <w:hideMark/>
          </w:tcPr>
          <w:p w14:paraId="373C8849"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Renforcer la transparence, la communication et de la coordination dans la mise en oeuvre du projet</w:t>
            </w:r>
          </w:p>
          <w:p w14:paraId="2845179C"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p w14:paraId="41466908" w14:textId="7DA79342"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864" w:type="dxa"/>
            <w:vAlign w:val="center"/>
            <w:hideMark/>
          </w:tcPr>
          <w:p w14:paraId="453825C2"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Nb (calculé) de </w:t>
            </w:r>
            <w:r w:rsidRPr="00E11FFB">
              <w:rPr>
                <w:rFonts w:ascii="Calibri" w:hAnsi="Calibri" w:cs="Calibri"/>
                <w:sz w:val="16"/>
                <w:szCs w:val="16"/>
              </w:rPr>
              <w:br/>
              <w:t xml:space="preserve">personnes touchées par </w:t>
            </w:r>
            <w:r w:rsidRPr="00E11FFB">
              <w:rPr>
                <w:rFonts w:ascii="Calibri" w:hAnsi="Calibri" w:cs="Calibri"/>
                <w:sz w:val="16"/>
                <w:szCs w:val="16"/>
              </w:rPr>
              <w:br/>
              <w:t xml:space="preserve">les campagnes de </w:t>
            </w:r>
            <w:r w:rsidRPr="00E11FFB">
              <w:rPr>
                <w:rFonts w:ascii="Calibri" w:hAnsi="Calibri" w:cs="Calibri"/>
                <w:sz w:val="16"/>
                <w:szCs w:val="16"/>
              </w:rPr>
              <w:br/>
              <w:t xml:space="preserve">communication visant </w:t>
            </w:r>
            <w:r w:rsidRPr="00E11FFB">
              <w:rPr>
                <w:rFonts w:ascii="Calibri" w:hAnsi="Calibri" w:cs="Calibri"/>
                <w:sz w:val="16"/>
                <w:szCs w:val="16"/>
              </w:rPr>
              <w:br/>
              <w:t xml:space="preserve">principalement à </w:t>
            </w:r>
            <w:r w:rsidRPr="00E11FFB">
              <w:rPr>
                <w:rFonts w:ascii="Calibri" w:hAnsi="Calibri" w:cs="Calibri"/>
                <w:sz w:val="16"/>
                <w:szCs w:val="16"/>
              </w:rPr>
              <w:br/>
              <w:t>informer sur le projet.</w:t>
            </w:r>
          </w:p>
        </w:tc>
        <w:tc>
          <w:tcPr>
            <w:tcW w:w="626" w:type="dxa"/>
            <w:noWrap/>
            <w:vAlign w:val="center"/>
            <w:hideMark/>
          </w:tcPr>
          <w:p w14:paraId="160D5E38" w14:textId="77777777" w:rsidR="004D7C5E" w:rsidRPr="00E11FFB" w:rsidRDefault="004D7C5E" w:rsidP="004D7C5E">
            <w:pPr>
              <w:jc w:val="center"/>
              <w:rPr>
                <w:rFonts w:ascii="Calibri" w:hAnsi="Calibri" w:cs="Calibri"/>
                <w:sz w:val="16"/>
                <w:szCs w:val="16"/>
              </w:rPr>
            </w:pPr>
            <w:r w:rsidRPr="00E11FFB">
              <w:rPr>
                <w:rFonts w:ascii="Calibri" w:hAnsi="Calibri" w:cs="Calibri"/>
                <w:sz w:val="16"/>
                <w:szCs w:val="16"/>
              </w:rPr>
              <w:t>0</w:t>
            </w:r>
          </w:p>
        </w:tc>
        <w:tc>
          <w:tcPr>
            <w:tcW w:w="1806" w:type="dxa"/>
            <w:noWrap/>
            <w:vAlign w:val="center"/>
            <w:hideMark/>
          </w:tcPr>
          <w:p w14:paraId="19E43C8C" w14:textId="6332E3FE"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50 % de la population cible </w:t>
            </w:r>
            <w:r w:rsidRPr="00E11FFB">
              <w:rPr>
                <w:rFonts w:ascii="Calibri" w:hAnsi="Calibri" w:cs="Calibri"/>
                <w:sz w:val="16"/>
                <w:szCs w:val="16"/>
              </w:rPr>
              <w:br/>
              <w:t xml:space="preserve">dans les zones </w:t>
            </w:r>
            <w:r w:rsidRPr="00E11FFB">
              <w:rPr>
                <w:rFonts w:ascii="Calibri" w:hAnsi="Calibri" w:cs="Calibri"/>
                <w:sz w:val="16"/>
                <w:szCs w:val="16"/>
              </w:rPr>
              <w:br/>
              <w:t xml:space="preserve">d’intervention. </w:t>
            </w:r>
          </w:p>
        </w:tc>
        <w:tc>
          <w:tcPr>
            <w:tcW w:w="1593" w:type="dxa"/>
            <w:noWrap/>
            <w:vAlign w:val="center"/>
            <w:hideMark/>
          </w:tcPr>
          <w:p w14:paraId="63F39528" w14:textId="46363384" w:rsidR="004D7C5E" w:rsidRPr="00E11FFB" w:rsidRDefault="00E16691" w:rsidP="002142A2">
            <w:pPr>
              <w:jc w:val="center"/>
              <w:rPr>
                <w:rFonts w:ascii="Calibri" w:hAnsi="Calibri" w:cs="Calibri"/>
                <w:sz w:val="16"/>
                <w:szCs w:val="16"/>
              </w:rPr>
            </w:pPr>
            <w:r w:rsidRPr="00E11FFB">
              <w:rPr>
                <w:rFonts w:ascii="Calibri" w:hAnsi="Calibri" w:cs="Calibri"/>
                <w:sz w:val="16"/>
                <w:szCs w:val="16"/>
              </w:rPr>
              <w:t>165</w:t>
            </w:r>
          </w:p>
        </w:tc>
        <w:tc>
          <w:tcPr>
            <w:tcW w:w="921" w:type="dxa"/>
            <w:noWrap/>
            <w:vAlign w:val="center"/>
            <w:hideMark/>
          </w:tcPr>
          <w:p w14:paraId="12AE189E"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3BF32D41"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90 % de la population cible </w:t>
            </w:r>
            <w:r w:rsidRPr="00E11FFB">
              <w:rPr>
                <w:rFonts w:ascii="Calibri" w:hAnsi="Calibri" w:cs="Calibri"/>
                <w:sz w:val="16"/>
                <w:szCs w:val="16"/>
              </w:rPr>
              <w:br/>
              <w:t xml:space="preserve">dans les zones </w:t>
            </w:r>
            <w:r w:rsidRPr="00E11FFB">
              <w:rPr>
                <w:rFonts w:ascii="Calibri" w:hAnsi="Calibri" w:cs="Calibri"/>
                <w:sz w:val="16"/>
                <w:szCs w:val="16"/>
              </w:rPr>
              <w:br/>
              <w:t xml:space="preserve">d’intervention. </w:t>
            </w:r>
          </w:p>
        </w:tc>
        <w:tc>
          <w:tcPr>
            <w:tcW w:w="1383" w:type="dxa"/>
            <w:noWrap/>
            <w:vAlign w:val="center"/>
            <w:hideMark/>
          </w:tcPr>
          <w:p w14:paraId="7B1BF7DE"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7B00F702"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03" w:type="dxa"/>
            <w:noWrap/>
            <w:vAlign w:val="center"/>
          </w:tcPr>
          <w:p w14:paraId="6F10EF33" w14:textId="40453A46" w:rsidR="004D7C5E" w:rsidRPr="00E11FFB" w:rsidRDefault="004D7C5E" w:rsidP="004D7C5E">
            <w:pPr>
              <w:rPr>
                <w:rFonts w:ascii="Calibri" w:hAnsi="Calibri" w:cs="Calibri"/>
                <w:sz w:val="16"/>
                <w:szCs w:val="16"/>
              </w:rPr>
            </w:pPr>
          </w:p>
        </w:tc>
      </w:tr>
      <w:tr w:rsidR="004D7C5E" w:rsidRPr="00E11FFB" w14:paraId="2EB4F0EE" w14:textId="77777777" w:rsidTr="007326D8">
        <w:trPr>
          <w:trHeight w:val="1207"/>
        </w:trPr>
        <w:tc>
          <w:tcPr>
            <w:tcW w:w="2095" w:type="dxa"/>
            <w:vMerge/>
            <w:noWrap/>
            <w:vAlign w:val="center"/>
            <w:hideMark/>
          </w:tcPr>
          <w:p w14:paraId="06DEDCC6" w14:textId="5ACAF597" w:rsidR="004D7C5E" w:rsidRPr="00E11FFB" w:rsidRDefault="004D7C5E" w:rsidP="004D7C5E">
            <w:pPr>
              <w:rPr>
                <w:rFonts w:ascii="Calibri" w:hAnsi="Calibri" w:cs="Calibri"/>
                <w:sz w:val="16"/>
                <w:szCs w:val="16"/>
              </w:rPr>
            </w:pPr>
          </w:p>
        </w:tc>
        <w:tc>
          <w:tcPr>
            <w:tcW w:w="1864" w:type="dxa"/>
            <w:vAlign w:val="center"/>
            <w:hideMark/>
          </w:tcPr>
          <w:p w14:paraId="2EC83A2C"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Nb (calculé) de </w:t>
            </w:r>
            <w:r w:rsidRPr="00E11FFB">
              <w:rPr>
                <w:rFonts w:ascii="Calibri" w:hAnsi="Calibri" w:cs="Calibri"/>
                <w:sz w:val="16"/>
                <w:szCs w:val="16"/>
              </w:rPr>
              <w:br/>
              <w:t xml:space="preserve">personnes touchées par </w:t>
            </w:r>
            <w:r w:rsidRPr="00E11FFB">
              <w:rPr>
                <w:rFonts w:ascii="Calibri" w:hAnsi="Calibri" w:cs="Calibri"/>
                <w:sz w:val="16"/>
                <w:szCs w:val="16"/>
              </w:rPr>
              <w:br/>
              <w:t xml:space="preserve">les campagnes de </w:t>
            </w:r>
            <w:r w:rsidRPr="00E11FFB">
              <w:rPr>
                <w:rFonts w:ascii="Calibri" w:hAnsi="Calibri" w:cs="Calibri"/>
                <w:sz w:val="16"/>
                <w:szCs w:val="16"/>
              </w:rPr>
              <w:br/>
              <w:t xml:space="preserve">communication visant </w:t>
            </w:r>
            <w:r w:rsidRPr="00E11FFB">
              <w:rPr>
                <w:rFonts w:ascii="Calibri" w:hAnsi="Calibri" w:cs="Calibri"/>
                <w:sz w:val="16"/>
                <w:szCs w:val="16"/>
              </w:rPr>
              <w:br/>
              <w:t xml:space="preserve">principalement à </w:t>
            </w:r>
            <w:r w:rsidRPr="00E11FFB">
              <w:rPr>
                <w:rFonts w:ascii="Calibri" w:hAnsi="Calibri" w:cs="Calibri"/>
                <w:sz w:val="16"/>
                <w:szCs w:val="16"/>
              </w:rPr>
              <w:br/>
              <w:t xml:space="preserve">modifier les attitudes et </w:t>
            </w:r>
            <w:r w:rsidRPr="00E11FFB">
              <w:rPr>
                <w:rFonts w:ascii="Calibri" w:hAnsi="Calibri" w:cs="Calibri"/>
                <w:sz w:val="16"/>
                <w:szCs w:val="16"/>
              </w:rPr>
              <w:br/>
              <w:t xml:space="preserve">pratiques.  </w:t>
            </w:r>
          </w:p>
        </w:tc>
        <w:tc>
          <w:tcPr>
            <w:tcW w:w="626" w:type="dxa"/>
            <w:noWrap/>
            <w:vAlign w:val="center"/>
            <w:hideMark/>
          </w:tcPr>
          <w:p w14:paraId="526C8432" w14:textId="77777777" w:rsidR="004D7C5E" w:rsidRPr="00E11FFB" w:rsidRDefault="004D7C5E" w:rsidP="004D7C5E">
            <w:pPr>
              <w:jc w:val="center"/>
              <w:rPr>
                <w:rFonts w:ascii="Calibri" w:hAnsi="Calibri" w:cs="Calibri"/>
                <w:sz w:val="16"/>
                <w:szCs w:val="16"/>
              </w:rPr>
            </w:pPr>
            <w:r w:rsidRPr="00E11FFB">
              <w:rPr>
                <w:rFonts w:ascii="Calibri" w:hAnsi="Calibri" w:cs="Calibri"/>
                <w:sz w:val="16"/>
                <w:szCs w:val="16"/>
              </w:rPr>
              <w:t>0</w:t>
            </w:r>
          </w:p>
        </w:tc>
        <w:tc>
          <w:tcPr>
            <w:tcW w:w="1806" w:type="dxa"/>
            <w:noWrap/>
            <w:vAlign w:val="center"/>
            <w:hideMark/>
          </w:tcPr>
          <w:p w14:paraId="281866AE" w14:textId="67DC82B2" w:rsidR="004D7C5E" w:rsidRPr="00E11FFB" w:rsidRDefault="004D7C5E" w:rsidP="004D7C5E">
            <w:pPr>
              <w:rPr>
                <w:rFonts w:ascii="Calibri" w:hAnsi="Calibri" w:cs="Calibri"/>
                <w:sz w:val="16"/>
                <w:szCs w:val="16"/>
              </w:rPr>
            </w:pPr>
            <w:r w:rsidRPr="00E11FFB">
              <w:rPr>
                <w:rFonts w:ascii="Calibri" w:hAnsi="Calibri" w:cs="Calibri"/>
                <w:sz w:val="16"/>
                <w:szCs w:val="16"/>
              </w:rPr>
              <w:t> 25 % de la population cible</w:t>
            </w:r>
          </w:p>
        </w:tc>
        <w:tc>
          <w:tcPr>
            <w:tcW w:w="1593" w:type="dxa"/>
            <w:noWrap/>
            <w:vAlign w:val="center"/>
            <w:hideMark/>
          </w:tcPr>
          <w:p w14:paraId="4B27E5FF" w14:textId="683D694B" w:rsidR="004D7C5E" w:rsidRPr="00E11FFB" w:rsidRDefault="00E16691" w:rsidP="002142A2">
            <w:pPr>
              <w:jc w:val="center"/>
              <w:rPr>
                <w:rFonts w:ascii="Calibri" w:hAnsi="Calibri" w:cs="Calibri"/>
                <w:sz w:val="16"/>
                <w:szCs w:val="16"/>
              </w:rPr>
            </w:pPr>
            <w:r w:rsidRPr="00E11FFB">
              <w:rPr>
                <w:rFonts w:ascii="Calibri" w:hAnsi="Calibri" w:cs="Calibri"/>
                <w:sz w:val="16"/>
                <w:szCs w:val="16"/>
              </w:rPr>
              <w:t>160</w:t>
            </w:r>
          </w:p>
        </w:tc>
        <w:tc>
          <w:tcPr>
            <w:tcW w:w="921" w:type="dxa"/>
            <w:noWrap/>
            <w:vAlign w:val="center"/>
            <w:hideMark/>
          </w:tcPr>
          <w:p w14:paraId="54AF37BC"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60FA07CE"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75 % de la population cible </w:t>
            </w:r>
          </w:p>
        </w:tc>
        <w:tc>
          <w:tcPr>
            <w:tcW w:w="1383" w:type="dxa"/>
            <w:noWrap/>
            <w:vAlign w:val="center"/>
            <w:hideMark/>
          </w:tcPr>
          <w:p w14:paraId="730A41E0"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6B8E189F"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45537B7B"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r>
      <w:tr w:rsidR="004D7C5E" w:rsidRPr="00E11FFB" w14:paraId="433E3469" w14:textId="77777777" w:rsidTr="007326D8">
        <w:trPr>
          <w:trHeight w:val="45"/>
        </w:trPr>
        <w:tc>
          <w:tcPr>
            <w:tcW w:w="2095" w:type="dxa"/>
            <w:vMerge/>
            <w:noWrap/>
            <w:vAlign w:val="center"/>
            <w:hideMark/>
          </w:tcPr>
          <w:p w14:paraId="6E8BACBB" w14:textId="38A89285" w:rsidR="004D7C5E" w:rsidRPr="00E11FFB" w:rsidRDefault="004D7C5E" w:rsidP="004D7C5E">
            <w:pPr>
              <w:rPr>
                <w:rFonts w:ascii="Calibri" w:hAnsi="Calibri" w:cs="Calibri"/>
                <w:sz w:val="16"/>
                <w:szCs w:val="16"/>
              </w:rPr>
            </w:pPr>
          </w:p>
        </w:tc>
        <w:tc>
          <w:tcPr>
            <w:tcW w:w="1864" w:type="dxa"/>
            <w:vAlign w:val="center"/>
            <w:hideMark/>
          </w:tcPr>
          <w:p w14:paraId="7F6E6CB4"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Pourcentage de </w:t>
            </w:r>
            <w:r w:rsidRPr="00E11FFB">
              <w:rPr>
                <w:rFonts w:ascii="Calibri" w:hAnsi="Calibri" w:cs="Calibri"/>
                <w:sz w:val="16"/>
                <w:szCs w:val="16"/>
              </w:rPr>
              <w:br/>
              <w:t xml:space="preserve">campagnes utilisant des </w:t>
            </w:r>
            <w:r w:rsidRPr="00E11FFB">
              <w:rPr>
                <w:rFonts w:ascii="Calibri" w:hAnsi="Calibri" w:cs="Calibri"/>
                <w:sz w:val="16"/>
                <w:szCs w:val="16"/>
              </w:rPr>
              <w:br/>
              <w:t xml:space="preserve">outils pour cibler </w:t>
            </w:r>
            <w:r w:rsidRPr="00E11FFB">
              <w:rPr>
                <w:rFonts w:ascii="Calibri" w:hAnsi="Calibri" w:cs="Calibri"/>
                <w:sz w:val="16"/>
                <w:szCs w:val="16"/>
              </w:rPr>
              <w:br/>
              <w:t xml:space="preserve">spécifiquement les </w:t>
            </w:r>
            <w:r w:rsidRPr="00E11FFB">
              <w:rPr>
                <w:rFonts w:ascii="Calibri" w:hAnsi="Calibri" w:cs="Calibri"/>
                <w:sz w:val="16"/>
                <w:szCs w:val="16"/>
              </w:rPr>
              <w:br/>
              <w:t xml:space="preserve">minorités et groupes </w:t>
            </w:r>
            <w:r w:rsidRPr="00E11FFB">
              <w:rPr>
                <w:rFonts w:ascii="Calibri" w:hAnsi="Calibri" w:cs="Calibri"/>
                <w:sz w:val="16"/>
                <w:szCs w:val="16"/>
              </w:rPr>
              <w:br/>
              <w:t xml:space="preserve">vulnérables. </w:t>
            </w:r>
          </w:p>
        </w:tc>
        <w:tc>
          <w:tcPr>
            <w:tcW w:w="626" w:type="dxa"/>
            <w:noWrap/>
            <w:vAlign w:val="center"/>
            <w:hideMark/>
          </w:tcPr>
          <w:p w14:paraId="4A4D2F73" w14:textId="77777777" w:rsidR="004D7C5E" w:rsidRPr="00E11FFB" w:rsidRDefault="004D7C5E" w:rsidP="004D7C5E">
            <w:pPr>
              <w:jc w:val="center"/>
              <w:rPr>
                <w:rFonts w:ascii="Calibri" w:hAnsi="Calibri" w:cs="Calibri"/>
                <w:sz w:val="16"/>
                <w:szCs w:val="16"/>
              </w:rPr>
            </w:pPr>
            <w:r w:rsidRPr="00E11FFB">
              <w:rPr>
                <w:rFonts w:ascii="Calibri" w:hAnsi="Calibri" w:cs="Calibri"/>
                <w:sz w:val="16"/>
                <w:szCs w:val="16"/>
              </w:rPr>
              <w:t>0</w:t>
            </w:r>
          </w:p>
        </w:tc>
        <w:tc>
          <w:tcPr>
            <w:tcW w:w="1806" w:type="dxa"/>
            <w:noWrap/>
            <w:vAlign w:val="center"/>
            <w:hideMark/>
          </w:tcPr>
          <w:p w14:paraId="0E222493" w14:textId="25AD822F" w:rsidR="004D7C5E" w:rsidRPr="00E11FFB" w:rsidRDefault="004D7C5E" w:rsidP="004D7C5E">
            <w:pPr>
              <w:rPr>
                <w:rFonts w:ascii="Calibri" w:hAnsi="Calibri" w:cs="Calibri"/>
                <w:sz w:val="16"/>
                <w:szCs w:val="16"/>
              </w:rPr>
            </w:pPr>
            <w:r w:rsidRPr="00E11FFB">
              <w:rPr>
                <w:rFonts w:ascii="Calibri" w:hAnsi="Calibri" w:cs="Calibri"/>
                <w:sz w:val="16"/>
                <w:szCs w:val="16"/>
              </w:rPr>
              <w:t> 50 % des campagnes</w:t>
            </w:r>
          </w:p>
        </w:tc>
        <w:tc>
          <w:tcPr>
            <w:tcW w:w="1593" w:type="dxa"/>
            <w:noWrap/>
            <w:vAlign w:val="center"/>
            <w:hideMark/>
          </w:tcPr>
          <w:p w14:paraId="4EE1CE0E" w14:textId="0EFB2E04" w:rsidR="004D7C5E" w:rsidRPr="00E11FFB" w:rsidRDefault="00E16691" w:rsidP="002142A2">
            <w:pPr>
              <w:jc w:val="center"/>
              <w:rPr>
                <w:rFonts w:ascii="Calibri" w:hAnsi="Calibri" w:cs="Calibri"/>
                <w:sz w:val="16"/>
                <w:szCs w:val="16"/>
              </w:rPr>
            </w:pPr>
            <w:r w:rsidRPr="00E11FFB">
              <w:rPr>
                <w:rFonts w:ascii="Calibri" w:hAnsi="Calibri" w:cs="Calibri"/>
                <w:sz w:val="16"/>
                <w:szCs w:val="16"/>
              </w:rPr>
              <w:t>50%</w:t>
            </w:r>
          </w:p>
        </w:tc>
        <w:tc>
          <w:tcPr>
            <w:tcW w:w="921" w:type="dxa"/>
            <w:noWrap/>
            <w:vAlign w:val="center"/>
            <w:hideMark/>
          </w:tcPr>
          <w:p w14:paraId="47AAC0D5"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651" w:type="dxa"/>
            <w:vAlign w:val="center"/>
            <w:hideMark/>
          </w:tcPr>
          <w:p w14:paraId="7CB48BBC"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xml:space="preserve">100 % des campagnes </w:t>
            </w:r>
          </w:p>
        </w:tc>
        <w:tc>
          <w:tcPr>
            <w:tcW w:w="1383" w:type="dxa"/>
            <w:noWrap/>
            <w:vAlign w:val="center"/>
            <w:hideMark/>
          </w:tcPr>
          <w:p w14:paraId="35619BC4"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22" w:type="dxa"/>
            <w:noWrap/>
            <w:vAlign w:val="center"/>
            <w:hideMark/>
          </w:tcPr>
          <w:p w14:paraId="7CA17A67"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c>
          <w:tcPr>
            <w:tcW w:w="1403" w:type="dxa"/>
            <w:noWrap/>
            <w:vAlign w:val="center"/>
            <w:hideMark/>
          </w:tcPr>
          <w:p w14:paraId="59E1B734" w14:textId="77777777" w:rsidR="004D7C5E" w:rsidRPr="00E11FFB" w:rsidRDefault="004D7C5E" w:rsidP="004D7C5E">
            <w:pPr>
              <w:rPr>
                <w:rFonts w:ascii="Calibri" w:hAnsi="Calibri" w:cs="Calibri"/>
                <w:sz w:val="16"/>
                <w:szCs w:val="16"/>
              </w:rPr>
            </w:pPr>
            <w:r w:rsidRPr="00E11FFB">
              <w:rPr>
                <w:rFonts w:ascii="Calibri" w:hAnsi="Calibri" w:cs="Calibri"/>
                <w:sz w:val="16"/>
                <w:szCs w:val="16"/>
              </w:rPr>
              <w:t> </w:t>
            </w:r>
          </w:p>
        </w:tc>
      </w:tr>
    </w:tbl>
    <w:p w14:paraId="50F57F3B" w14:textId="77777777" w:rsidR="00266E1B" w:rsidRPr="00E11FFB" w:rsidRDefault="00266E1B">
      <w:pPr>
        <w:spacing w:line="250" w:lineRule="auto"/>
        <w:ind w:left="-15"/>
        <w:jc w:val="both"/>
        <w:rPr>
          <w:rFonts w:ascii="Avenir" w:eastAsia="Avenir" w:hAnsi="Avenir" w:cs="Avenir"/>
          <w:iCs/>
          <w:color w:val="000000"/>
          <w:sz w:val="20"/>
          <w:szCs w:val="20"/>
        </w:rPr>
      </w:pPr>
    </w:p>
    <w:p w14:paraId="1B24F638" w14:textId="77777777" w:rsidR="002115B9" w:rsidRPr="00E11FFB" w:rsidRDefault="002115B9">
      <w:pPr>
        <w:spacing w:line="250" w:lineRule="auto"/>
        <w:ind w:left="-15"/>
        <w:jc w:val="both"/>
        <w:rPr>
          <w:rFonts w:ascii="Avenir" w:eastAsia="Avenir" w:hAnsi="Avenir" w:cs="Avenir"/>
          <w:i/>
          <w:color w:val="000000"/>
          <w:sz w:val="20"/>
          <w:szCs w:val="20"/>
        </w:rPr>
      </w:pPr>
    </w:p>
    <w:p w14:paraId="0DC80589" w14:textId="77777777" w:rsidR="0024617D" w:rsidRPr="00E11FFB" w:rsidRDefault="00C83F85">
      <w:pPr>
        <w:pStyle w:val="Titre2"/>
      </w:pPr>
      <w:bookmarkStart w:id="12" w:name="_Toc224044709"/>
      <w:r w:rsidRPr="00E11FFB">
        <w:t>4.2 Etat d’avancement de mise en œuvre des activités du projet pour la période de rapportage</w:t>
      </w:r>
      <w:bookmarkEnd w:id="12"/>
    </w:p>
    <w:p w14:paraId="67D4BD9E" w14:textId="77777777" w:rsidR="0024617D" w:rsidRPr="00E11FFB" w:rsidRDefault="0024617D">
      <w:pPr>
        <w:spacing w:after="5"/>
        <w:ind w:left="20" w:right="28" w:hanging="10"/>
        <w:jc w:val="both"/>
        <w:rPr>
          <w:rFonts w:ascii="Avenir" w:eastAsia="Avenir" w:hAnsi="Avenir" w:cs="Avenir"/>
          <w:i/>
          <w:color w:val="000000"/>
          <w:sz w:val="20"/>
          <w:szCs w:val="20"/>
        </w:rPr>
      </w:pPr>
    </w:p>
    <w:p w14:paraId="01E141AE" w14:textId="7101F954" w:rsidR="0024617D" w:rsidRPr="00E11FFB" w:rsidRDefault="00C83F85">
      <w:r w:rsidRPr="00E11FFB">
        <w:t>Hyperlien du PTBA approuvé par le COPIL du projet</w:t>
      </w:r>
      <w:r w:rsidR="003C3A56" w:rsidRPr="00E11FFB">
        <w:t xml:space="preserve"> </w:t>
      </w:r>
      <w:r w:rsidRPr="00E11FFB">
        <w:t xml:space="preserve">:  </w:t>
      </w:r>
      <w:hyperlink r:id="rId24" w:history="1">
        <w:r w:rsidR="00483990" w:rsidRPr="00E11FFB">
          <w:rPr>
            <w:rStyle w:val="Lienhypertexte"/>
          </w:rPr>
          <w:t>PTBA 2025</w:t>
        </w:r>
      </w:hyperlink>
    </w:p>
    <w:p w14:paraId="39A17226" w14:textId="77777777" w:rsidR="0024617D" w:rsidRDefault="00C83F85">
      <w:pPr>
        <w:spacing w:after="5"/>
        <w:ind w:left="20" w:right="28" w:hanging="10"/>
        <w:jc w:val="both"/>
        <w:rPr>
          <w:rFonts w:ascii="Avenir" w:eastAsia="Avenir" w:hAnsi="Avenir" w:cs="Avenir"/>
          <w:color w:val="000000"/>
        </w:rPr>
      </w:pPr>
      <w:r w:rsidRPr="00E11FFB">
        <w:rPr>
          <w:rFonts w:ascii="Avenir" w:eastAsia="Avenir" w:hAnsi="Avenir" w:cs="Avenir"/>
          <w:color w:val="000000"/>
        </w:rPr>
        <w:t xml:space="preserve"> </w:t>
      </w:r>
    </w:p>
    <w:p w14:paraId="564B8557" w14:textId="7F349C02" w:rsidR="00E56F33" w:rsidRPr="00E11FFB" w:rsidRDefault="0048260B">
      <w:pPr>
        <w:spacing w:after="5"/>
        <w:ind w:left="20" w:right="28" w:hanging="10"/>
        <w:jc w:val="both"/>
        <w:rPr>
          <w:rFonts w:ascii="Avenir" w:eastAsia="Avenir" w:hAnsi="Avenir" w:cs="Avenir"/>
          <w:color w:val="000000"/>
        </w:rPr>
      </w:pPr>
      <w:r>
        <w:rPr>
          <w:rFonts w:ascii="Avenir" w:eastAsia="Avenir" w:hAnsi="Avenir" w:cs="Avenir"/>
          <w:color w:val="000000"/>
        </w:rPr>
        <w:t>PTBA</w:t>
      </w:r>
      <w:r w:rsidR="00E82414">
        <w:rPr>
          <w:rFonts w:ascii="Avenir" w:eastAsia="Avenir" w:hAnsi="Avenir" w:cs="Avenir"/>
          <w:color w:val="000000"/>
        </w:rPr>
        <w:t xml:space="preserve"> </w:t>
      </w:r>
      <w:r>
        <w:rPr>
          <w:rFonts w:ascii="Avenir" w:eastAsia="Avenir" w:hAnsi="Avenir" w:cs="Avenir"/>
          <w:color w:val="000000"/>
        </w:rPr>
        <w:t>2025</w:t>
      </w:r>
      <w:r w:rsidR="00E56F33">
        <w:rPr>
          <w:rFonts w:ascii="Avenir" w:eastAsia="Avenir" w:hAnsi="Avenir" w:cs="Avenir"/>
          <w:color w:val="000000"/>
        </w:rPr>
        <w:t>- Aménagement du territoire</w:t>
      </w:r>
    </w:p>
    <w:tbl>
      <w:tblPr>
        <w:tblW w:w="14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630"/>
        <w:gridCol w:w="1170"/>
        <w:gridCol w:w="2790"/>
        <w:gridCol w:w="2340"/>
        <w:gridCol w:w="1605"/>
        <w:gridCol w:w="3255"/>
      </w:tblGrid>
      <w:tr w:rsidR="00B669B6" w:rsidRPr="00E11FFB" w14:paraId="51F02AD1" w14:textId="77777777" w:rsidTr="005B3B85">
        <w:trPr>
          <w:trHeight w:val="709"/>
          <w:tblHeader/>
          <w:jc w:val="center"/>
        </w:trPr>
        <w:tc>
          <w:tcPr>
            <w:tcW w:w="2695" w:type="dxa"/>
            <w:shd w:val="clear" w:color="auto" w:fill="A9D5E7"/>
          </w:tcPr>
          <w:p w14:paraId="4592D6B0"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630" w:type="dxa"/>
            <w:shd w:val="clear" w:color="auto" w:fill="A9D5E7"/>
          </w:tcPr>
          <w:p w14:paraId="2D42EFFC"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21"/>
            </w:r>
            <w:r w:rsidRPr="00E11FFB">
              <w:rPr>
                <w:rFonts w:ascii="Avenir" w:eastAsia="Avenir" w:hAnsi="Avenir" w:cs="Avenir"/>
                <w:b/>
                <w:color w:val="000000"/>
                <w:sz w:val="16"/>
                <w:szCs w:val="16"/>
              </w:rPr>
              <w:t xml:space="preserve"> (ex. 1.1)</w:t>
            </w:r>
          </w:p>
        </w:tc>
        <w:tc>
          <w:tcPr>
            <w:tcW w:w="1170" w:type="dxa"/>
            <w:shd w:val="clear" w:color="auto" w:fill="A9D5E7"/>
          </w:tcPr>
          <w:p w14:paraId="7BFD6C69"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22"/>
            </w:r>
          </w:p>
        </w:tc>
        <w:tc>
          <w:tcPr>
            <w:tcW w:w="2790" w:type="dxa"/>
            <w:shd w:val="clear" w:color="auto" w:fill="A9D5E7"/>
          </w:tcPr>
          <w:p w14:paraId="4434FE7E"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2340" w:type="dxa"/>
            <w:shd w:val="clear" w:color="auto" w:fill="A9D5E7"/>
          </w:tcPr>
          <w:p w14:paraId="4013F579"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1605" w:type="dxa"/>
            <w:shd w:val="clear" w:color="auto" w:fill="A9D5E7"/>
          </w:tcPr>
          <w:p w14:paraId="58BD0AA8"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3255" w:type="dxa"/>
            <w:shd w:val="clear" w:color="auto" w:fill="A9D5E7"/>
          </w:tcPr>
          <w:p w14:paraId="674EB7DB"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B669B6" w:rsidRPr="00E11FFB" w14:paraId="6031B239" w14:textId="77777777" w:rsidTr="005B3B85">
        <w:trPr>
          <w:jc w:val="center"/>
        </w:trPr>
        <w:tc>
          <w:tcPr>
            <w:tcW w:w="2695" w:type="dxa"/>
            <w:vAlign w:val="center"/>
          </w:tcPr>
          <w:p w14:paraId="05A7811A" w14:textId="6A401D2A" w:rsidR="00B669B6" w:rsidRPr="00E11FFB" w:rsidRDefault="00B669B6" w:rsidP="003A6DE1">
            <w:pPr>
              <w:rPr>
                <w:rFonts w:ascii="Avenir" w:eastAsia="Avenir" w:hAnsi="Avenir" w:cs="Avenir"/>
                <w:color w:val="000000"/>
                <w:sz w:val="16"/>
                <w:szCs w:val="16"/>
              </w:rPr>
            </w:pPr>
            <w:r w:rsidRPr="00E11FFB">
              <w:rPr>
                <w:color w:val="000000"/>
                <w:sz w:val="16"/>
                <w:szCs w:val="16"/>
              </w:rPr>
              <w:t>1.1.1 : Installation et renforcement des capacités des membres de Conseil National d'AT après Désignation et des membres des Conseil Provinciaux d'AT dans deux provinces PIREDD pilotes, et tenue de la 1ère session du CNAT et des CPAT dans deux provinces PIREDD pilotes.</w:t>
            </w:r>
          </w:p>
        </w:tc>
        <w:tc>
          <w:tcPr>
            <w:tcW w:w="630" w:type="dxa"/>
            <w:vAlign w:val="center"/>
          </w:tcPr>
          <w:p w14:paraId="06106883" w14:textId="77777777" w:rsidR="00B669B6" w:rsidRPr="00E11FFB" w:rsidRDefault="00B669B6" w:rsidP="003A6DE1">
            <w:pPr>
              <w:rPr>
                <w:rFonts w:ascii="Avenir" w:eastAsia="Avenir" w:hAnsi="Avenir" w:cs="Avenir"/>
                <w:color w:val="000000"/>
                <w:sz w:val="16"/>
                <w:szCs w:val="16"/>
              </w:rPr>
            </w:pPr>
            <w:r w:rsidRPr="00E11FFB">
              <w:rPr>
                <w:rFonts w:ascii="Avenir" w:eastAsia="Avenir" w:hAnsi="Avenir" w:cs="Avenir"/>
                <w:color w:val="000000"/>
                <w:sz w:val="16"/>
                <w:szCs w:val="16"/>
              </w:rPr>
              <w:t>1.1</w:t>
            </w:r>
          </w:p>
        </w:tc>
        <w:tc>
          <w:tcPr>
            <w:tcW w:w="1170" w:type="dxa"/>
            <w:vAlign w:val="center"/>
          </w:tcPr>
          <w:p w14:paraId="3E86278E" w14:textId="10CCC806"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D</w:t>
            </w:r>
            <w:r w:rsidR="007C6CF9" w:rsidRPr="00E11FFB">
              <w:rPr>
                <w:rFonts w:ascii="Avenir" w:eastAsia="Avenir" w:hAnsi="Avenir" w:cs="Avenir"/>
                <w:b/>
                <w:color w:val="000000"/>
                <w:sz w:val="16"/>
                <w:szCs w:val="16"/>
              </w:rPr>
              <w:t>u 01/04/2025 au 30/09/2025</w:t>
            </w:r>
          </w:p>
        </w:tc>
        <w:tc>
          <w:tcPr>
            <w:tcW w:w="2790" w:type="dxa"/>
            <w:vAlign w:val="center"/>
          </w:tcPr>
          <w:p w14:paraId="3BA854BE"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1 décret CNAT,</w:t>
            </w:r>
          </w:p>
          <w:p w14:paraId="43C7D4EA"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1 arrêté désignation des membres,</w:t>
            </w:r>
          </w:p>
          <w:p w14:paraId="643FF151"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2 arrêtés sur CPAT des provinces pilotes,</w:t>
            </w:r>
          </w:p>
          <w:p w14:paraId="0419A83D"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2 édits PPAT provinces pilotes</w:t>
            </w:r>
          </w:p>
          <w:p w14:paraId="6757F0A4"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50 dont 30 % des femmes et 70 % d’hommes</w:t>
            </w:r>
          </w:p>
          <w:p w14:paraId="33B7C488"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1 réunion</w:t>
            </w:r>
          </w:p>
          <w:p w14:paraId="2BFB6009" w14:textId="77777777" w:rsidR="00B669B6" w:rsidRPr="00E11FFB" w:rsidRDefault="00B669B6" w:rsidP="00B669B6">
            <w:pPr>
              <w:rPr>
                <w:rFonts w:ascii="Avenir" w:eastAsia="Avenir" w:hAnsi="Avenir" w:cs="Avenir"/>
                <w:color w:val="000000"/>
                <w:sz w:val="16"/>
                <w:szCs w:val="16"/>
              </w:rPr>
            </w:pPr>
            <w:r w:rsidRPr="00E11FFB">
              <w:rPr>
                <w:rFonts w:ascii="Avenir" w:eastAsia="Avenir" w:hAnsi="Avenir" w:cs="Avenir"/>
                <w:color w:val="000000"/>
                <w:sz w:val="16"/>
                <w:szCs w:val="16"/>
              </w:rPr>
              <w:t xml:space="preserve">2 sessions </w:t>
            </w:r>
          </w:p>
        </w:tc>
        <w:tc>
          <w:tcPr>
            <w:tcW w:w="2340" w:type="dxa"/>
          </w:tcPr>
          <w:p w14:paraId="30178364" w14:textId="76EAF4BC" w:rsidR="00B669B6" w:rsidRPr="00E11FFB" w:rsidRDefault="00543993"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1 décret </w:t>
            </w:r>
            <w:r w:rsidR="0066406B" w:rsidRPr="00E11FFB">
              <w:rPr>
                <w:rFonts w:ascii="Avenir" w:eastAsia="Avenir" w:hAnsi="Avenir" w:cs="Avenir"/>
                <w:color w:val="000000"/>
                <w:sz w:val="16"/>
                <w:szCs w:val="16"/>
              </w:rPr>
              <w:t>C</w:t>
            </w:r>
            <w:r w:rsidRPr="00E11FFB">
              <w:rPr>
                <w:rFonts w:ascii="Avenir" w:eastAsia="Avenir" w:hAnsi="Avenir" w:cs="Avenir"/>
                <w:color w:val="000000"/>
                <w:sz w:val="16"/>
                <w:szCs w:val="16"/>
              </w:rPr>
              <w:t>NAT</w:t>
            </w:r>
          </w:p>
          <w:p w14:paraId="376E146B" w14:textId="77777777" w:rsidR="00543993" w:rsidRPr="00E11FFB" w:rsidRDefault="00543993" w:rsidP="003A6DE1">
            <w:pPr>
              <w:rPr>
                <w:rFonts w:ascii="Avenir" w:eastAsia="Avenir" w:hAnsi="Avenir" w:cs="Avenir"/>
                <w:color w:val="000000"/>
                <w:sz w:val="16"/>
                <w:szCs w:val="16"/>
              </w:rPr>
            </w:pPr>
            <w:r w:rsidRPr="00E11FFB">
              <w:rPr>
                <w:rFonts w:ascii="Avenir" w:eastAsia="Avenir" w:hAnsi="Avenir" w:cs="Avenir"/>
                <w:color w:val="000000"/>
                <w:sz w:val="16"/>
                <w:szCs w:val="16"/>
              </w:rPr>
              <w:t>1 arrêté CPAT</w:t>
            </w:r>
          </w:p>
          <w:p w14:paraId="742B16A8" w14:textId="3BFA3C57" w:rsidR="00393CE4" w:rsidRPr="00E11FFB" w:rsidRDefault="00393CE4"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Désignation d’équipe d’élaboration des mesures d’accompagnement </w:t>
            </w:r>
          </w:p>
          <w:p w14:paraId="648C5F21" w14:textId="03552599" w:rsidR="00393CE4" w:rsidRPr="00E11FFB" w:rsidRDefault="00393CE4" w:rsidP="003A6DE1">
            <w:pPr>
              <w:rPr>
                <w:rFonts w:ascii="Avenir" w:eastAsia="Avenir" w:hAnsi="Avenir" w:cs="Avenir"/>
                <w:color w:val="000000"/>
                <w:sz w:val="16"/>
                <w:szCs w:val="16"/>
              </w:rPr>
            </w:pPr>
            <w:r w:rsidRPr="00E11FFB">
              <w:rPr>
                <w:rFonts w:ascii="Avenir" w:eastAsia="Avenir" w:hAnsi="Avenir" w:cs="Avenir"/>
                <w:color w:val="000000"/>
                <w:sz w:val="16"/>
                <w:szCs w:val="16"/>
              </w:rPr>
              <w:t>Organisation des ateliers d’information sur les reformes</w:t>
            </w:r>
          </w:p>
          <w:p w14:paraId="3C27C258" w14:textId="77777777" w:rsidR="00543993" w:rsidRPr="00E11FFB" w:rsidRDefault="00543993" w:rsidP="003A6DE1">
            <w:pPr>
              <w:rPr>
                <w:rFonts w:ascii="Avenir" w:eastAsia="Avenir" w:hAnsi="Avenir" w:cs="Avenir"/>
                <w:color w:val="000000"/>
                <w:sz w:val="16"/>
                <w:szCs w:val="16"/>
              </w:rPr>
            </w:pPr>
          </w:p>
          <w:p w14:paraId="65A00FCF" w14:textId="3422974E" w:rsidR="00543993" w:rsidRPr="00E11FFB" w:rsidRDefault="00543993" w:rsidP="003A6DE1">
            <w:pPr>
              <w:rPr>
                <w:rFonts w:ascii="Avenir" w:eastAsia="Avenir" w:hAnsi="Avenir" w:cs="Avenir"/>
                <w:color w:val="000000"/>
                <w:sz w:val="16"/>
                <w:szCs w:val="16"/>
              </w:rPr>
            </w:pPr>
          </w:p>
        </w:tc>
        <w:tc>
          <w:tcPr>
            <w:tcW w:w="1605" w:type="dxa"/>
          </w:tcPr>
          <w:p w14:paraId="488B7089" w14:textId="67BEEAE7" w:rsidR="00B669B6" w:rsidRPr="00E11FFB" w:rsidRDefault="00543993" w:rsidP="003A6DE1">
            <w:pPr>
              <w:rPr>
                <w:rFonts w:ascii="Avenir" w:eastAsia="Avenir" w:hAnsi="Avenir" w:cs="Avenir"/>
                <w:sz w:val="16"/>
                <w:szCs w:val="16"/>
              </w:rPr>
            </w:pPr>
            <w:r w:rsidRPr="00E11FFB">
              <w:rPr>
                <w:sz w:val="16"/>
                <w:szCs w:val="16"/>
              </w:rPr>
              <w:t xml:space="preserve">En cours </w:t>
            </w:r>
          </w:p>
        </w:tc>
        <w:tc>
          <w:tcPr>
            <w:tcW w:w="3255" w:type="dxa"/>
          </w:tcPr>
          <w:p w14:paraId="4C242632" w14:textId="77777777" w:rsidR="00B669B6" w:rsidRPr="00E11FFB" w:rsidRDefault="006B140A"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Formations des CPAT dans d’autres provinces PIREDD, organisation des réunions des CNAT, formation des membres de CNAT et des CPAT dans d’autres provinces. </w:t>
            </w:r>
          </w:p>
          <w:p w14:paraId="5D9813E6" w14:textId="77777777" w:rsidR="00D547FD" w:rsidRPr="00E11FFB" w:rsidRDefault="00D547FD" w:rsidP="003A6DE1">
            <w:pPr>
              <w:rPr>
                <w:rFonts w:ascii="Avenir" w:eastAsia="Avenir" w:hAnsi="Avenir" w:cs="Avenir"/>
                <w:color w:val="000000"/>
                <w:sz w:val="16"/>
                <w:szCs w:val="16"/>
              </w:rPr>
            </w:pPr>
            <w:r w:rsidRPr="00E11FFB">
              <w:rPr>
                <w:rFonts w:ascii="Avenir" w:eastAsia="Avenir" w:hAnsi="Avenir" w:cs="Avenir"/>
                <w:color w:val="000000"/>
                <w:sz w:val="16"/>
                <w:szCs w:val="16"/>
              </w:rPr>
              <w:t>Vulgarisation de la loi AT </w:t>
            </w:r>
          </w:p>
          <w:p w14:paraId="286906AC" w14:textId="35B0CCF2" w:rsidR="000F2645" w:rsidRPr="00E11FFB" w:rsidRDefault="00370CFF" w:rsidP="003A6DE1">
            <w:pPr>
              <w:rPr>
                <w:rFonts w:ascii="Avenir" w:eastAsia="Avenir" w:hAnsi="Avenir" w:cs="Avenir"/>
                <w:color w:val="000000"/>
                <w:sz w:val="16"/>
                <w:szCs w:val="16"/>
              </w:rPr>
            </w:pPr>
            <w:r w:rsidRPr="00E11FFB">
              <w:rPr>
                <w:rFonts w:ascii="Avenir" w:eastAsia="Avenir" w:hAnsi="Avenir" w:cs="Avenir"/>
                <w:color w:val="000000"/>
                <w:sz w:val="16"/>
                <w:szCs w:val="16"/>
              </w:rPr>
              <w:t>14 édits PPAT.</w:t>
            </w:r>
          </w:p>
        </w:tc>
      </w:tr>
      <w:tr w:rsidR="00B669B6" w:rsidRPr="00E11FFB" w14:paraId="1819AC6D" w14:textId="77777777" w:rsidTr="005B3B85">
        <w:trPr>
          <w:jc w:val="center"/>
        </w:trPr>
        <w:tc>
          <w:tcPr>
            <w:tcW w:w="2695" w:type="dxa"/>
            <w:vAlign w:val="center"/>
          </w:tcPr>
          <w:p w14:paraId="6D8F2852" w14:textId="0C125B59" w:rsidR="00B669B6" w:rsidRPr="00E11FFB" w:rsidRDefault="00B669B6" w:rsidP="003A6DE1">
            <w:pPr>
              <w:rPr>
                <w:rFonts w:ascii="Avenir" w:eastAsia="Avenir" w:hAnsi="Avenir" w:cs="Avenir"/>
                <w:color w:val="000000"/>
                <w:sz w:val="16"/>
                <w:szCs w:val="16"/>
              </w:rPr>
            </w:pPr>
            <w:r w:rsidRPr="00E11FFB">
              <w:rPr>
                <w:color w:val="000000"/>
                <w:sz w:val="16"/>
                <w:szCs w:val="16"/>
              </w:rPr>
              <w:t>1.2.1 :</w:t>
            </w:r>
            <w:r w:rsidR="00FA223D" w:rsidRPr="00E11FFB">
              <w:rPr>
                <w:color w:val="000000"/>
                <w:sz w:val="16"/>
                <w:szCs w:val="16"/>
              </w:rPr>
              <w:t xml:space="preserve"> </w:t>
            </w:r>
            <w:r w:rsidRPr="00E11FFB">
              <w:rPr>
                <w:color w:val="000000"/>
                <w:sz w:val="16"/>
                <w:szCs w:val="16"/>
              </w:rPr>
              <w:t>Mettre à jour l'Annuaire National des ressources naturelles du sol et du sous-sol en termes d'actualisation des inventaires des ressources naturelles renouvelables et non renouvelables</w:t>
            </w:r>
          </w:p>
        </w:tc>
        <w:tc>
          <w:tcPr>
            <w:tcW w:w="630" w:type="dxa"/>
            <w:vMerge w:val="restart"/>
            <w:vAlign w:val="center"/>
          </w:tcPr>
          <w:p w14:paraId="280AB60B" w14:textId="77777777" w:rsidR="00B669B6" w:rsidRPr="00E11FFB" w:rsidRDefault="00B669B6" w:rsidP="003A6DE1">
            <w:pPr>
              <w:rPr>
                <w:rFonts w:ascii="Avenir" w:eastAsia="Avenir" w:hAnsi="Avenir" w:cs="Avenir"/>
                <w:color w:val="000000"/>
                <w:sz w:val="16"/>
                <w:szCs w:val="16"/>
              </w:rPr>
            </w:pPr>
            <w:r w:rsidRPr="00E11FFB">
              <w:rPr>
                <w:rFonts w:ascii="Avenir" w:eastAsia="Avenir" w:hAnsi="Avenir" w:cs="Avenir"/>
                <w:color w:val="000000"/>
                <w:sz w:val="16"/>
                <w:szCs w:val="16"/>
              </w:rPr>
              <w:t>1.2</w:t>
            </w:r>
          </w:p>
        </w:tc>
        <w:tc>
          <w:tcPr>
            <w:tcW w:w="1170" w:type="dxa"/>
            <w:vAlign w:val="center"/>
          </w:tcPr>
          <w:p w14:paraId="3DF69F56" w14:textId="73BCCE06" w:rsidR="00B669B6" w:rsidRPr="00E11FFB" w:rsidRDefault="007C6CF9" w:rsidP="003A6DE1">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30/09/2025</w:t>
            </w:r>
          </w:p>
        </w:tc>
        <w:tc>
          <w:tcPr>
            <w:tcW w:w="2790" w:type="dxa"/>
            <w:vAlign w:val="center"/>
          </w:tcPr>
          <w:p w14:paraId="394B69D4" w14:textId="77777777" w:rsidR="00B669B6" w:rsidRPr="002142A2" w:rsidRDefault="00B669B6" w:rsidP="00B669B6">
            <w:pPr>
              <w:rPr>
                <w:color w:val="000000"/>
                <w:sz w:val="16"/>
                <w:szCs w:val="16"/>
              </w:rPr>
            </w:pPr>
            <w:r w:rsidRPr="002142A2">
              <w:rPr>
                <w:color w:val="000000"/>
                <w:sz w:val="16"/>
                <w:szCs w:val="16"/>
              </w:rPr>
              <w:t>10 groupes thématiques opérationnels</w:t>
            </w:r>
          </w:p>
          <w:p w14:paraId="1D27BDB7" w14:textId="77777777" w:rsidR="00B669B6" w:rsidRPr="002142A2" w:rsidRDefault="00B669B6" w:rsidP="00B669B6">
            <w:pPr>
              <w:rPr>
                <w:color w:val="000000"/>
                <w:sz w:val="16"/>
                <w:szCs w:val="16"/>
              </w:rPr>
            </w:pPr>
            <w:r w:rsidRPr="002142A2">
              <w:rPr>
                <w:color w:val="000000"/>
                <w:sz w:val="16"/>
                <w:szCs w:val="16"/>
              </w:rPr>
              <w:t>200 exemplaires de l’annuaire multipliés</w:t>
            </w:r>
          </w:p>
          <w:p w14:paraId="18A5C4D6" w14:textId="77777777" w:rsidR="00B669B6" w:rsidRPr="00E11FFB" w:rsidRDefault="00B669B6" w:rsidP="00B669B6">
            <w:pPr>
              <w:rPr>
                <w:color w:val="000000"/>
                <w:sz w:val="16"/>
                <w:szCs w:val="16"/>
              </w:rPr>
            </w:pPr>
            <w:r w:rsidRPr="002142A2">
              <w:rPr>
                <w:color w:val="000000"/>
                <w:sz w:val="16"/>
                <w:szCs w:val="16"/>
              </w:rPr>
              <w:t>1 annuaire national mis en ligne</w:t>
            </w:r>
          </w:p>
        </w:tc>
        <w:tc>
          <w:tcPr>
            <w:tcW w:w="2340" w:type="dxa"/>
          </w:tcPr>
          <w:p w14:paraId="7034D3DF" w14:textId="77777777" w:rsidR="00B669B6" w:rsidRPr="00E11FFB" w:rsidRDefault="0066556A"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10 groupes thématiques opérationnels. </w:t>
            </w:r>
          </w:p>
          <w:p w14:paraId="753E6F11" w14:textId="77777777" w:rsidR="009B0075" w:rsidRPr="00E11FFB" w:rsidRDefault="009B0075" w:rsidP="003A6DE1">
            <w:pPr>
              <w:rPr>
                <w:rFonts w:ascii="Avenir" w:eastAsia="Avenir" w:hAnsi="Avenir" w:cs="Avenir"/>
                <w:color w:val="000000"/>
                <w:sz w:val="16"/>
                <w:szCs w:val="16"/>
                <w:highlight w:val="yellow"/>
              </w:rPr>
            </w:pPr>
          </w:p>
          <w:p w14:paraId="2A7D17CA" w14:textId="4EA6EF7D" w:rsidR="0066556A" w:rsidRPr="00E11FFB" w:rsidRDefault="0066556A" w:rsidP="003A6DE1">
            <w:pPr>
              <w:rPr>
                <w:rFonts w:ascii="Avenir" w:eastAsia="Avenir" w:hAnsi="Avenir" w:cs="Avenir"/>
                <w:color w:val="000000"/>
                <w:sz w:val="16"/>
                <w:szCs w:val="16"/>
              </w:rPr>
            </w:pPr>
            <w:r w:rsidRPr="00FC0BC7">
              <w:rPr>
                <w:rFonts w:ascii="Avenir" w:eastAsia="Avenir" w:hAnsi="Avenir" w:cs="Avenir"/>
                <w:color w:val="000000"/>
                <w:sz w:val="16"/>
                <w:szCs w:val="16"/>
              </w:rPr>
              <w:t xml:space="preserve">1 </w:t>
            </w:r>
            <w:r w:rsidR="001E4A54" w:rsidRPr="00FC0BC7">
              <w:rPr>
                <w:rFonts w:ascii="Avenir" w:eastAsia="Avenir" w:hAnsi="Avenir" w:cs="Avenir"/>
                <w:color w:val="000000"/>
                <w:sz w:val="16"/>
                <w:szCs w:val="16"/>
              </w:rPr>
              <w:t xml:space="preserve">draft </w:t>
            </w:r>
            <w:r w:rsidRPr="00FC0BC7">
              <w:rPr>
                <w:rFonts w:ascii="Avenir" w:eastAsia="Avenir" w:hAnsi="Avenir" w:cs="Avenir"/>
                <w:color w:val="000000"/>
                <w:sz w:val="16"/>
                <w:szCs w:val="16"/>
              </w:rPr>
              <w:t xml:space="preserve">annuaire national </w:t>
            </w:r>
          </w:p>
        </w:tc>
        <w:tc>
          <w:tcPr>
            <w:tcW w:w="1605" w:type="dxa"/>
          </w:tcPr>
          <w:p w14:paraId="1C067641" w14:textId="6750FEDF" w:rsidR="00B669B6" w:rsidRPr="00E11FFB" w:rsidRDefault="001E4A54" w:rsidP="003A6DE1">
            <w:pPr>
              <w:rPr>
                <w:rFonts w:ascii="Avenir" w:eastAsia="Avenir" w:hAnsi="Avenir" w:cs="Avenir"/>
                <w:color w:val="000000"/>
                <w:sz w:val="16"/>
                <w:szCs w:val="16"/>
              </w:rPr>
            </w:pPr>
            <w:r w:rsidRPr="00E11FFB">
              <w:rPr>
                <w:sz w:val="16"/>
                <w:szCs w:val="16"/>
              </w:rPr>
              <w:t>En cours</w:t>
            </w:r>
          </w:p>
        </w:tc>
        <w:tc>
          <w:tcPr>
            <w:tcW w:w="3255" w:type="dxa"/>
          </w:tcPr>
          <w:p w14:paraId="3EF3553C" w14:textId="6C5EF281" w:rsidR="00B669B6" w:rsidRPr="00E11FFB" w:rsidRDefault="00203DF8" w:rsidP="003A6DE1">
            <w:pPr>
              <w:rPr>
                <w:rFonts w:ascii="Avenir" w:eastAsia="Avenir" w:hAnsi="Avenir" w:cs="Avenir"/>
                <w:color w:val="000000"/>
                <w:sz w:val="16"/>
                <w:szCs w:val="16"/>
              </w:rPr>
            </w:pPr>
            <w:r w:rsidRPr="00E11FFB">
              <w:rPr>
                <w:rFonts w:ascii="Avenir" w:eastAsia="Avenir" w:hAnsi="Avenir" w:cs="Avenir"/>
                <w:color w:val="000000"/>
                <w:sz w:val="16"/>
                <w:szCs w:val="16"/>
              </w:rPr>
              <w:t>Vulgarisation de l’Annuaire</w:t>
            </w:r>
          </w:p>
        </w:tc>
      </w:tr>
      <w:tr w:rsidR="00B669B6" w:rsidRPr="00E11FFB" w14:paraId="55286715" w14:textId="77777777" w:rsidTr="005B3B85">
        <w:trPr>
          <w:jc w:val="center"/>
        </w:trPr>
        <w:tc>
          <w:tcPr>
            <w:tcW w:w="2695" w:type="dxa"/>
            <w:vAlign w:val="center"/>
          </w:tcPr>
          <w:p w14:paraId="2BF88BF8" w14:textId="3C0E8D87" w:rsidR="00B669B6" w:rsidRPr="00E11FFB" w:rsidRDefault="00B669B6" w:rsidP="003A6DE1">
            <w:pPr>
              <w:rPr>
                <w:rFonts w:ascii="Avenir" w:eastAsia="Avenir" w:hAnsi="Avenir" w:cs="Avenir"/>
                <w:color w:val="000000"/>
                <w:sz w:val="16"/>
                <w:szCs w:val="16"/>
              </w:rPr>
            </w:pPr>
            <w:r w:rsidRPr="00E11FFB">
              <w:rPr>
                <w:color w:val="000000"/>
                <w:sz w:val="16"/>
                <w:szCs w:val="16"/>
              </w:rPr>
              <w:t>1.2.2 : Elaborer l'atlas d'AT prioritaire rassemblant la représentation cartographique des données de l'annuaire des ressources naturelles ainsi que les affectations sectorielles existantes et celle projetées</w:t>
            </w:r>
          </w:p>
        </w:tc>
        <w:tc>
          <w:tcPr>
            <w:tcW w:w="630" w:type="dxa"/>
            <w:vMerge/>
            <w:vAlign w:val="center"/>
          </w:tcPr>
          <w:p w14:paraId="791E6FAC" w14:textId="77777777" w:rsidR="00B669B6" w:rsidRPr="00E11FFB" w:rsidRDefault="00B669B6" w:rsidP="003A6DE1">
            <w:pPr>
              <w:rPr>
                <w:rFonts w:ascii="Avenir" w:eastAsia="Avenir" w:hAnsi="Avenir" w:cs="Avenir"/>
                <w:color w:val="000000"/>
                <w:sz w:val="16"/>
                <w:szCs w:val="16"/>
              </w:rPr>
            </w:pPr>
          </w:p>
        </w:tc>
        <w:tc>
          <w:tcPr>
            <w:tcW w:w="1170" w:type="dxa"/>
            <w:vAlign w:val="center"/>
          </w:tcPr>
          <w:p w14:paraId="1FAF1DBC" w14:textId="7C8D6ECA" w:rsidR="00B669B6" w:rsidRPr="00E11FFB" w:rsidRDefault="007C6CF9" w:rsidP="003A6DE1">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1C147FB4" w14:textId="2BD71AB6" w:rsidR="00B669B6" w:rsidRPr="00E11FFB" w:rsidRDefault="00B669B6" w:rsidP="00B669B6">
            <w:pPr>
              <w:rPr>
                <w:rFonts w:ascii="Avenir" w:eastAsia="Avenir" w:hAnsi="Avenir" w:cs="Avenir"/>
                <w:color w:val="000000" w:themeColor="text1"/>
                <w:sz w:val="16"/>
                <w:szCs w:val="16"/>
              </w:rPr>
            </w:pPr>
            <w:r w:rsidRPr="00E11FFB">
              <w:rPr>
                <w:rFonts w:ascii="Avenir" w:eastAsia="Avenir" w:hAnsi="Avenir" w:cs="Avenir"/>
                <w:color w:val="000000" w:themeColor="text1"/>
                <w:sz w:val="16"/>
                <w:szCs w:val="16"/>
              </w:rPr>
              <w:t>2 mini-atelier d’analyse et traitement de données collectées par le comité technique</w:t>
            </w:r>
            <w:r w:rsidR="0046325C" w:rsidRPr="00E11FFB">
              <w:rPr>
                <w:rFonts w:ascii="Avenir" w:eastAsia="Avenir" w:hAnsi="Avenir" w:cs="Avenir"/>
                <w:color w:val="000000" w:themeColor="text1"/>
                <w:sz w:val="16"/>
                <w:szCs w:val="16"/>
              </w:rPr>
              <w:t xml:space="preserve">. </w:t>
            </w:r>
            <w:r w:rsidRPr="00E11FFB">
              <w:rPr>
                <w:rFonts w:ascii="Avenir" w:eastAsia="Avenir" w:hAnsi="Avenir" w:cs="Avenir"/>
                <w:color w:val="000000" w:themeColor="text1"/>
                <w:sz w:val="16"/>
                <w:szCs w:val="16"/>
              </w:rPr>
              <w:t xml:space="preserve"> </w:t>
            </w:r>
          </w:p>
          <w:p w14:paraId="5973DE07" w14:textId="77777777" w:rsidR="00B669B6" w:rsidRPr="00E11FFB" w:rsidRDefault="00B669B6" w:rsidP="00B669B6">
            <w:pPr>
              <w:rPr>
                <w:rFonts w:ascii="Avenir" w:eastAsia="Avenir" w:hAnsi="Avenir" w:cs="Avenir"/>
                <w:color w:val="000000"/>
                <w:sz w:val="16"/>
                <w:szCs w:val="16"/>
              </w:rPr>
            </w:pPr>
            <w:r w:rsidRPr="00E11FFB">
              <w:rPr>
                <w:rFonts w:ascii="Avenir" w:eastAsia="Avenir" w:hAnsi="Avenir" w:cs="Avenir"/>
                <w:color w:val="000000"/>
                <w:sz w:val="16"/>
                <w:szCs w:val="16"/>
              </w:rPr>
              <w:t xml:space="preserve">Au moins 35 cartes de thématiques sur les différentes potentialités produites </w:t>
            </w:r>
          </w:p>
          <w:p w14:paraId="4D1990E1" w14:textId="77777777" w:rsidR="00B669B6" w:rsidRPr="00E11FFB" w:rsidRDefault="00B669B6" w:rsidP="00B669B6">
            <w:pPr>
              <w:rPr>
                <w:rFonts w:ascii="Avenir" w:eastAsia="Avenir" w:hAnsi="Avenir" w:cs="Avenir"/>
                <w:color w:val="000000"/>
                <w:sz w:val="16"/>
                <w:szCs w:val="16"/>
              </w:rPr>
            </w:pPr>
            <w:r w:rsidRPr="00E11FFB">
              <w:rPr>
                <w:rFonts w:ascii="Avenir" w:eastAsia="Avenir" w:hAnsi="Avenir" w:cs="Avenir"/>
                <w:color w:val="000000"/>
                <w:sz w:val="16"/>
                <w:szCs w:val="16"/>
              </w:rPr>
              <w:t xml:space="preserve">200 exemplaires de recueil de cartes </w:t>
            </w:r>
          </w:p>
          <w:p w14:paraId="68D7D583" w14:textId="77777777" w:rsidR="00B669B6" w:rsidRPr="00E11FFB" w:rsidRDefault="00B669B6" w:rsidP="00B669B6">
            <w:pPr>
              <w:rPr>
                <w:rFonts w:ascii="Avenir" w:eastAsia="Avenir" w:hAnsi="Avenir" w:cs="Avenir"/>
                <w:color w:val="000000"/>
                <w:sz w:val="16"/>
                <w:szCs w:val="16"/>
              </w:rPr>
            </w:pPr>
            <w:r w:rsidRPr="00E11FFB">
              <w:rPr>
                <w:rFonts w:ascii="Avenir" w:eastAsia="Avenir" w:hAnsi="Avenir" w:cs="Avenir"/>
                <w:color w:val="000000"/>
                <w:sz w:val="16"/>
                <w:szCs w:val="16"/>
              </w:rPr>
              <w:t xml:space="preserve">35 exemplaires des cartes de potentialités territoriales diffusés et vulgarisées </w:t>
            </w:r>
          </w:p>
          <w:p w14:paraId="3B26F142" w14:textId="77777777" w:rsidR="00B669B6" w:rsidRPr="00E11FFB" w:rsidRDefault="00B669B6" w:rsidP="00B669B6">
            <w:pPr>
              <w:rPr>
                <w:rFonts w:ascii="Avenir" w:eastAsia="Avenir" w:hAnsi="Avenir" w:cs="Avenir"/>
                <w:color w:val="000000"/>
                <w:sz w:val="16"/>
                <w:szCs w:val="16"/>
              </w:rPr>
            </w:pPr>
            <w:r w:rsidRPr="00E11FFB">
              <w:rPr>
                <w:color w:val="000000"/>
                <w:sz w:val="16"/>
                <w:szCs w:val="16"/>
              </w:rPr>
              <w:t>1 Atlas de l’AT mis en ligne.</w:t>
            </w:r>
          </w:p>
        </w:tc>
        <w:tc>
          <w:tcPr>
            <w:tcW w:w="2340" w:type="dxa"/>
          </w:tcPr>
          <w:p w14:paraId="7608BAF7" w14:textId="1A6E4B5A" w:rsidR="00BF0DB4" w:rsidRPr="00E11FFB" w:rsidRDefault="00B4107A" w:rsidP="003A6DE1">
            <w:pPr>
              <w:rPr>
                <w:rFonts w:ascii="Avenir" w:eastAsia="Avenir" w:hAnsi="Avenir" w:cs="Avenir"/>
                <w:color w:val="000000"/>
                <w:sz w:val="16"/>
                <w:szCs w:val="16"/>
              </w:rPr>
            </w:pPr>
            <w:r w:rsidRPr="00E11FFB">
              <w:rPr>
                <w:rFonts w:ascii="Avenir" w:eastAsia="Avenir" w:hAnsi="Avenir" w:cs="Avenir"/>
                <w:color w:val="000000"/>
                <w:sz w:val="16"/>
                <w:szCs w:val="16"/>
              </w:rPr>
              <w:t>2 mini atelier d’analyse et traitement de données</w:t>
            </w:r>
            <w:r w:rsidR="00281867" w:rsidRPr="00E11FFB">
              <w:rPr>
                <w:rFonts w:ascii="Avenir" w:eastAsia="Avenir" w:hAnsi="Avenir" w:cs="Avenir"/>
                <w:color w:val="000000"/>
                <w:sz w:val="16"/>
                <w:szCs w:val="16"/>
              </w:rPr>
              <w:t xml:space="preserve"> ont été organisés. </w:t>
            </w:r>
          </w:p>
          <w:p w14:paraId="7E4667C2" w14:textId="77777777" w:rsidR="00BF0DB4" w:rsidRPr="00E11FFB" w:rsidRDefault="00BF0DB4" w:rsidP="003A6DE1">
            <w:pPr>
              <w:rPr>
                <w:rFonts w:ascii="Avenir" w:eastAsia="Avenir" w:hAnsi="Avenir" w:cs="Avenir"/>
                <w:color w:val="000000"/>
                <w:sz w:val="16"/>
                <w:szCs w:val="16"/>
              </w:rPr>
            </w:pPr>
          </w:p>
          <w:p w14:paraId="600255AE" w14:textId="7E19A61B" w:rsidR="00BF0DB4" w:rsidRPr="00E11FFB" w:rsidRDefault="00BF0DB4" w:rsidP="003A6DE1">
            <w:pPr>
              <w:rPr>
                <w:rFonts w:ascii="Avenir" w:eastAsia="Avenir" w:hAnsi="Avenir" w:cs="Avenir"/>
                <w:color w:val="000000"/>
                <w:sz w:val="16"/>
                <w:szCs w:val="16"/>
                <w:highlight w:val="yellow"/>
              </w:rPr>
            </w:pPr>
            <w:r w:rsidRPr="00E11FFB">
              <w:rPr>
                <w:rFonts w:ascii="Avenir" w:eastAsia="Avenir" w:hAnsi="Avenir" w:cs="Avenir"/>
                <w:color w:val="000000"/>
                <w:sz w:val="16"/>
                <w:szCs w:val="16"/>
              </w:rPr>
              <w:t>1 draft de l’atlas d’AT</w:t>
            </w:r>
          </w:p>
        </w:tc>
        <w:tc>
          <w:tcPr>
            <w:tcW w:w="1605" w:type="dxa"/>
          </w:tcPr>
          <w:p w14:paraId="549DD2D8" w14:textId="3630FC6B" w:rsidR="00B669B6" w:rsidRPr="00E11FFB" w:rsidRDefault="00B4107A" w:rsidP="003A6DE1">
            <w:pPr>
              <w:rPr>
                <w:rFonts w:ascii="Avenir" w:eastAsia="Avenir" w:hAnsi="Avenir" w:cs="Avenir"/>
                <w:color w:val="000000"/>
                <w:sz w:val="16"/>
                <w:szCs w:val="16"/>
              </w:rPr>
            </w:pPr>
            <w:r w:rsidRPr="00E11FFB">
              <w:rPr>
                <w:sz w:val="16"/>
                <w:szCs w:val="16"/>
              </w:rPr>
              <w:t>En cours</w:t>
            </w:r>
          </w:p>
        </w:tc>
        <w:tc>
          <w:tcPr>
            <w:tcW w:w="3255" w:type="dxa"/>
          </w:tcPr>
          <w:p w14:paraId="45AE921E" w14:textId="6AA45032" w:rsidR="00B669B6" w:rsidRPr="00E11FFB" w:rsidRDefault="00D547FD"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Vulgarisation de l’Atlas national ; cartes des potentialités territoriales diffusés et vulgarisées.  </w:t>
            </w:r>
          </w:p>
        </w:tc>
      </w:tr>
      <w:tr w:rsidR="007C6CF9" w:rsidRPr="00E11FFB" w14:paraId="3CCA3B95" w14:textId="77777777" w:rsidTr="005B3B85">
        <w:trPr>
          <w:jc w:val="center"/>
        </w:trPr>
        <w:tc>
          <w:tcPr>
            <w:tcW w:w="2695" w:type="dxa"/>
            <w:vAlign w:val="center"/>
          </w:tcPr>
          <w:p w14:paraId="0A0776D6" w14:textId="2EE14BC8" w:rsidR="007C6CF9" w:rsidRPr="00E11FFB" w:rsidRDefault="007C6CF9" w:rsidP="005B3B85">
            <w:pPr>
              <w:rPr>
                <w:rFonts w:ascii="Avenir" w:eastAsia="Avenir" w:hAnsi="Avenir" w:cs="Avenir"/>
                <w:color w:val="000000"/>
                <w:sz w:val="16"/>
                <w:szCs w:val="16"/>
              </w:rPr>
            </w:pPr>
            <w:r w:rsidRPr="00E11FFB">
              <w:rPr>
                <w:color w:val="000000"/>
                <w:sz w:val="16"/>
                <w:szCs w:val="16"/>
              </w:rPr>
              <w:t>1.3.1 : Identifier les conflits d'affectation des espaces/terres et de superpositions des usages dans les aires protégées.</w:t>
            </w:r>
          </w:p>
        </w:tc>
        <w:tc>
          <w:tcPr>
            <w:tcW w:w="630" w:type="dxa"/>
            <w:vMerge w:val="restart"/>
            <w:vAlign w:val="center"/>
          </w:tcPr>
          <w:p w14:paraId="5B6699ED" w14:textId="77777777" w:rsidR="007C6CF9" w:rsidRPr="00E11FFB" w:rsidRDefault="007C6CF9" w:rsidP="007C6CF9">
            <w:pPr>
              <w:rPr>
                <w:rFonts w:ascii="Avenir" w:eastAsia="Avenir" w:hAnsi="Avenir" w:cs="Avenir"/>
                <w:color w:val="000000"/>
                <w:sz w:val="16"/>
                <w:szCs w:val="16"/>
              </w:rPr>
            </w:pPr>
            <w:r w:rsidRPr="00E11FFB">
              <w:rPr>
                <w:rFonts w:ascii="Avenir" w:eastAsia="Avenir" w:hAnsi="Avenir" w:cs="Avenir"/>
                <w:color w:val="000000"/>
                <w:sz w:val="16"/>
                <w:szCs w:val="16"/>
              </w:rPr>
              <w:t>1.3</w:t>
            </w:r>
          </w:p>
          <w:p w14:paraId="0A2BFD0E" w14:textId="77777777" w:rsidR="007C6CF9" w:rsidRPr="00E11FFB" w:rsidRDefault="007C6CF9" w:rsidP="007C6CF9">
            <w:pPr>
              <w:rPr>
                <w:rFonts w:ascii="Avenir" w:eastAsia="Avenir" w:hAnsi="Avenir" w:cs="Avenir"/>
                <w:color w:val="000000"/>
                <w:sz w:val="16"/>
                <w:szCs w:val="16"/>
              </w:rPr>
            </w:pPr>
          </w:p>
        </w:tc>
        <w:tc>
          <w:tcPr>
            <w:tcW w:w="1170" w:type="dxa"/>
            <w:vAlign w:val="center"/>
          </w:tcPr>
          <w:p w14:paraId="5497C166" w14:textId="4AD22BD7" w:rsidR="007C6CF9" w:rsidRPr="00E11FFB" w:rsidRDefault="007C6CF9" w:rsidP="007C6CF9">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5CE3528D" w14:textId="77777777" w:rsidR="007C6CF9" w:rsidRPr="00E11FFB" w:rsidRDefault="007C6CF9" w:rsidP="007C6CF9">
            <w:pPr>
              <w:rPr>
                <w:rFonts w:ascii="Avenir" w:eastAsia="Avenir" w:hAnsi="Avenir" w:cs="Avenir"/>
                <w:bCs/>
                <w:color w:val="000000"/>
                <w:sz w:val="16"/>
                <w:szCs w:val="16"/>
              </w:rPr>
            </w:pPr>
            <w:r w:rsidRPr="00E11FFB">
              <w:rPr>
                <w:rFonts w:ascii="Avenir" w:eastAsia="Avenir" w:hAnsi="Avenir" w:cs="Avenir"/>
                <w:bCs/>
                <w:color w:val="000000"/>
                <w:sz w:val="16"/>
                <w:szCs w:val="16"/>
              </w:rPr>
              <w:t>3 consultations identifications de conflit</w:t>
            </w:r>
          </w:p>
          <w:p w14:paraId="17E2C5AA" w14:textId="379712BB" w:rsidR="007C6CF9" w:rsidRPr="00E11FFB" w:rsidRDefault="007C6CF9" w:rsidP="007C6CF9">
            <w:pPr>
              <w:rPr>
                <w:rFonts w:ascii="Avenir" w:eastAsia="Avenir" w:hAnsi="Avenir" w:cs="Avenir"/>
                <w:b/>
                <w:color w:val="000000"/>
                <w:sz w:val="16"/>
                <w:szCs w:val="16"/>
              </w:rPr>
            </w:pPr>
            <w:r w:rsidRPr="00E11FFB">
              <w:rPr>
                <w:rFonts w:ascii="Avenir" w:eastAsia="Avenir" w:hAnsi="Avenir" w:cs="Avenir"/>
                <w:bCs/>
                <w:color w:val="000000"/>
                <w:sz w:val="16"/>
                <w:szCs w:val="16"/>
              </w:rPr>
              <w:t>3</w:t>
            </w:r>
            <w:r w:rsidRPr="00E11FFB">
              <w:rPr>
                <w:color w:val="000000"/>
                <w:sz w:val="16"/>
                <w:szCs w:val="16"/>
              </w:rPr>
              <w:t xml:space="preserve"> cartes des zones des conflits d’affectation des terres</w:t>
            </w:r>
          </w:p>
        </w:tc>
        <w:tc>
          <w:tcPr>
            <w:tcW w:w="2340" w:type="dxa"/>
          </w:tcPr>
          <w:p w14:paraId="30B1F79D" w14:textId="77777777" w:rsidR="007C6CF9" w:rsidRPr="00E11FFB" w:rsidRDefault="001536EB" w:rsidP="007C6CF9">
            <w:pPr>
              <w:rPr>
                <w:rFonts w:ascii="Avenir" w:eastAsia="Avenir" w:hAnsi="Avenir" w:cs="Avenir"/>
                <w:bCs/>
                <w:color w:val="000000"/>
                <w:sz w:val="16"/>
                <w:szCs w:val="16"/>
              </w:rPr>
            </w:pPr>
            <w:r w:rsidRPr="00E11FFB">
              <w:rPr>
                <w:rFonts w:ascii="Avenir" w:eastAsia="Avenir" w:hAnsi="Avenir" w:cs="Avenir"/>
                <w:bCs/>
                <w:color w:val="000000"/>
                <w:sz w:val="16"/>
                <w:szCs w:val="16"/>
              </w:rPr>
              <w:t>2 missions d’identifications réalisées (Equateur et Tshopo)</w:t>
            </w:r>
          </w:p>
          <w:p w14:paraId="71C5C772" w14:textId="0D1C42ED" w:rsidR="001536EB" w:rsidRPr="00E11FFB" w:rsidRDefault="003609EC" w:rsidP="007C6CF9">
            <w:pPr>
              <w:rPr>
                <w:rFonts w:ascii="Avenir" w:eastAsia="Avenir" w:hAnsi="Avenir" w:cs="Avenir"/>
                <w:bCs/>
                <w:color w:val="000000"/>
                <w:sz w:val="16"/>
                <w:szCs w:val="16"/>
              </w:rPr>
            </w:pPr>
            <w:r w:rsidRPr="00E11FFB">
              <w:rPr>
                <w:rFonts w:ascii="Avenir" w:eastAsia="Avenir" w:hAnsi="Avenir" w:cs="Avenir"/>
                <w:bCs/>
                <w:color w:val="000000"/>
                <w:sz w:val="16"/>
                <w:szCs w:val="16"/>
              </w:rPr>
              <w:t>C</w:t>
            </w:r>
            <w:r w:rsidR="001536EB" w:rsidRPr="00E11FFB">
              <w:rPr>
                <w:rFonts w:ascii="Avenir" w:eastAsia="Avenir" w:hAnsi="Avenir" w:cs="Avenir"/>
                <w:bCs/>
                <w:color w:val="000000"/>
                <w:sz w:val="16"/>
                <w:szCs w:val="16"/>
              </w:rPr>
              <w:t>art</w:t>
            </w:r>
            <w:r w:rsidRPr="00E11FFB">
              <w:rPr>
                <w:rFonts w:ascii="Avenir" w:eastAsia="Avenir" w:hAnsi="Avenir" w:cs="Avenir"/>
                <w:bCs/>
                <w:color w:val="000000"/>
                <w:sz w:val="16"/>
                <w:szCs w:val="16"/>
              </w:rPr>
              <w:t xml:space="preserve">ographie </w:t>
            </w:r>
            <w:r w:rsidR="001536EB" w:rsidRPr="00E11FFB">
              <w:rPr>
                <w:rFonts w:ascii="Avenir" w:eastAsia="Avenir" w:hAnsi="Avenir" w:cs="Avenir"/>
                <w:bCs/>
                <w:color w:val="000000"/>
                <w:sz w:val="16"/>
                <w:szCs w:val="16"/>
              </w:rPr>
              <w:t>de</w:t>
            </w:r>
            <w:r w:rsidRPr="00E11FFB">
              <w:rPr>
                <w:rFonts w:ascii="Avenir" w:eastAsia="Avenir" w:hAnsi="Avenir" w:cs="Avenir"/>
                <w:bCs/>
                <w:color w:val="000000"/>
                <w:sz w:val="16"/>
                <w:szCs w:val="16"/>
              </w:rPr>
              <w:t>s</w:t>
            </w:r>
            <w:r w:rsidR="001536EB" w:rsidRPr="00E11FFB">
              <w:rPr>
                <w:rFonts w:ascii="Avenir" w:eastAsia="Avenir" w:hAnsi="Avenir" w:cs="Avenir"/>
                <w:bCs/>
                <w:color w:val="000000"/>
                <w:sz w:val="16"/>
                <w:szCs w:val="16"/>
              </w:rPr>
              <w:t xml:space="preserve"> zones de conflits </w:t>
            </w:r>
            <w:r w:rsidR="00EC0077" w:rsidRPr="00E11FFB">
              <w:rPr>
                <w:rFonts w:ascii="Avenir" w:eastAsia="Avenir" w:hAnsi="Avenir" w:cs="Avenir"/>
                <w:bCs/>
                <w:color w:val="000000"/>
                <w:sz w:val="16"/>
                <w:szCs w:val="16"/>
              </w:rPr>
              <w:t>(Tshopo</w:t>
            </w:r>
            <w:r w:rsidRPr="00E11FFB">
              <w:rPr>
                <w:rFonts w:ascii="Avenir" w:eastAsia="Avenir" w:hAnsi="Avenir" w:cs="Avenir"/>
                <w:bCs/>
                <w:color w:val="000000"/>
                <w:sz w:val="16"/>
                <w:szCs w:val="16"/>
              </w:rPr>
              <w:t>, Haut Lomami</w:t>
            </w:r>
            <w:r w:rsidR="00EC0077" w:rsidRPr="00E11FFB">
              <w:rPr>
                <w:rFonts w:ascii="Avenir" w:eastAsia="Avenir" w:hAnsi="Avenir" w:cs="Avenir"/>
                <w:bCs/>
                <w:color w:val="000000"/>
                <w:sz w:val="16"/>
                <w:szCs w:val="16"/>
              </w:rPr>
              <w:t xml:space="preserve"> et Equateur)</w:t>
            </w:r>
            <w:r w:rsidR="001536EB" w:rsidRPr="00E11FFB">
              <w:rPr>
                <w:rFonts w:ascii="Avenir" w:eastAsia="Avenir" w:hAnsi="Avenir" w:cs="Avenir"/>
                <w:bCs/>
                <w:color w:val="000000"/>
                <w:sz w:val="16"/>
                <w:szCs w:val="16"/>
              </w:rPr>
              <w:t xml:space="preserve">. </w:t>
            </w:r>
          </w:p>
        </w:tc>
        <w:tc>
          <w:tcPr>
            <w:tcW w:w="1605" w:type="dxa"/>
          </w:tcPr>
          <w:p w14:paraId="4B816590" w14:textId="293349CC" w:rsidR="007C6CF9" w:rsidRPr="00E11FFB" w:rsidRDefault="001536EB" w:rsidP="007C6CF9">
            <w:pPr>
              <w:rPr>
                <w:b/>
                <w:bCs/>
                <w:sz w:val="16"/>
                <w:szCs w:val="16"/>
              </w:rPr>
            </w:pPr>
            <w:r w:rsidRPr="00E11FFB">
              <w:rPr>
                <w:b/>
                <w:bCs/>
                <w:sz w:val="16"/>
                <w:szCs w:val="16"/>
              </w:rPr>
              <w:t>En cours</w:t>
            </w:r>
          </w:p>
        </w:tc>
        <w:tc>
          <w:tcPr>
            <w:tcW w:w="3255" w:type="dxa"/>
          </w:tcPr>
          <w:p w14:paraId="3E22169C" w14:textId="6E56C42F" w:rsidR="007C6CF9" w:rsidRPr="00E11FFB" w:rsidRDefault="00D547FD" w:rsidP="007C6CF9">
            <w:pPr>
              <w:rPr>
                <w:rFonts w:ascii="Avenir" w:eastAsia="Avenir" w:hAnsi="Avenir" w:cs="Avenir"/>
                <w:color w:val="000000"/>
                <w:sz w:val="16"/>
                <w:szCs w:val="16"/>
              </w:rPr>
            </w:pPr>
            <w:r w:rsidRPr="00E11FFB">
              <w:rPr>
                <w:rFonts w:ascii="Avenir" w:eastAsia="Avenir" w:hAnsi="Avenir" w:cs="Avenir"/>
                <w:color w:val="000000"/>
                <w:sz w:val="16"/>
                <w:szCs w:val="16"/>
              </w:rPr>
              <w:t xml:space="preserve">Clarification des procédures sectorielles d'affectations des espaces/terres. </w:t>
            </w:r>
          </w:p>
        </w:tc>
      </w:tr>
      <w:tr w:rsidR="00E84CD0" w:rsidRPr="00E11FFB" w14:paraId="277E7422" w14:textId="77777777" w:rsidTr="005B3B85">
        <w:trPr>
          <w:jc w:val="center"/>
        </w:trPr>
        <w:tc>
          <w:tcPr>
            <w:tcW w:w="2695" w:type="dxa"/>
            <w:vAlign w:val="center"/>
          </w:tcPr>
          <w:p w14:paraId="355CA5F6" w14:textId="6B1A5BCD" w:rsidR="00E84CD0" w:rsidRPr="00E11FFB" w:rsidRDefault="00E84CD0" w:rsidP="00E84CD0">
            <w:pPr>
              <w:rPr>
                <w:rFonts w:ascii="Avenir" w:eastAsia="Avenir" w:hAnsi="Avenir" w:cs="Avenir"/>
                <w:color w:val="000000"/>
                <w:sz w:val="16"/>
                <w:szCs w:val="16"/>
              </w:rPr>
            </w:pPr>
            <w:r w:rsidRPr="00E11FFB">
              <w:rPr>
                <w:color w:val="000000"/>
                <w:sz w:val="16"/>
                <w:szCs w:val="16"/>
              </w:rPr>
              <w:t>1.3.2 : Arbitrage des conflits d'affectation des terres conformément à la loi</w:t>
            </w:r>
          </w:p>
        </w:tc>
        <w:tc>
          <w:tcPr>
            <w:tcW w:w="630" w:type="dxa"/>
            <w:vMerge/>
          </w:tcPr>
          <w:p w14:paraId="3E57983F" w14:textId="77777777" w:rsidR="00E84CD0" w:rsidRPr="00E11FFB" w:rsidRDefault="00E84CD0" w:rsidP="00E84CD0">
            <w:pPr>
              <w:rPr>
                <w:rFonts w:ascii="Avenir" w:eastAsia="Avenir" w:hAnsi="Avenir" w:cs="Avenir"/>
                <w:color w:val="000000"/>
                <w:sz w:val="16"/>
                <w:szCs w:val="16"/>
              </w:rPr>
            </w:pPr>
          </w:p>
        </w:tc>
        <w:tc>
          <w:tcPr>
            <w:tcW w:w="1170" w:type="dxa"/>
            <w:vAlign w:val="center"/>
          </w:tcPr>
          <w:p w14:paraId="41788679" w14:textId="4D506DEC"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47CBA4C7" w14:textId="77777777"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6 cartographes mobilisés</w:t>
            </w:r>
          </w:p>
          <w:p w14:paraId="6A7D3172" w14:textId="77777777" w:rsidR="00E84CD0" w:rsidRPr="00E11FFB" w:rsidRDefault="00E84CD0" w:rsidP="00E84CD0">
            <w:pPr>
              <w:rPr>
                <w:rFonts w:ascii="Avenir" w:eastAsia="Avenir" w:hAnsi="Avenir" w:cs="Avenir"/>
                <w:b/>
                <w:color w:val="000000"/>
                <w:sz w:val="16"/>
                <w:szCs w:val="16"/>
              </w:rPr>
            </w:pPr>
            <w:r w:rsidRPr="00E11FFB">
              <w:rPr>
                <w:rFonts w:ascii="Avenir" w:eastAsia="Avenir" w:hAnsi="Avenir" w:cs="Avenir"/>
                <w:bCs/>
                <w:color w:val="000000"/>
                <w:sz w:val="16"/>
                <w:szCs w:val="16"/>
              </w:rPr>
              <w:t>1 session de conseils d’AT pour prise et publication des avis et directives et conciliation sur les usages des terres en conflits</w:t>
            </w:r>
            <w:r w:rsidRPr="00E11FFB">
              <w:rPr>
                <w:rFonts w:ascii="Avenir" w:eastAsia="Avenir" w:hAnsi="Avenir" w:cs="Avenir"/>
                <w:b/>
                <w:color w:val="000000"/>
                <w:sz w:val="16"/>
                <w:szCs w:val="16"/>
              </w:rPr>
              <w:t xml:space="preserve"> </w:t>
            </w:r>
          </w:p>
        </w:tc>
        <w:tc>
          <w:tcPr>
            <w:tcW w:w="2340" w:type="dxa"/>
          </w:tcPr>
          <w:p w14:paraId="5FDEC35F" w14:textId="1B032990" w:rsidR="00E84CD0" w:rsidRPr="00E11FFB" w:rsidRDefault="00EC0077" w:rsidP="00E84CD0">
            <w:pPr>
              <w:rPr>
                <w:rFonts w:ascii="Avenir" w:eastAsia="Avenir" w:hAnsi="Avenir" w:cs="Avenir"/>
                <w:bCs/>
                <w:color w:val="000000"/>
                <w:sz w:val="16"/>
                <w:szCs w:val="16"/>
                <w:highlight w:val="yellow"/>
              </w:rPr>
            </w:pPr>
            <w:r w:rsidRPr="00E11FFB">
              <w:rPr>
                <w:rFonts w:ascii="Avenir" w:eastAsia="Avenir" w:hAnsi="Avenir" w:cs="Avenir"/>
                <w:bCs/>
                <w:color w:val="000000"/>
                <w:sz w:val="16"/>
                <w:szCs w:val="16"/>
              </w:rPr>
              <w:t>3</w:t>
            </w:r>
            <w:r w:rsidR="00E84CD0" w:rsidRPr="00E11FFB">
              <w:rPr>
                <w:rFonts w:ascii="Avenir" w:eastAsia="Avenir" w:hAnsi="Avenir" w:cs="Avenir"/>
                <w:bCs/>
                <w:color w:val="000000"/>
                <w:sz w:val="16"/>
                <w:szCs w:val="16"/>
              </w:rPr>
              <w:t xml:space="preserve"> cartographes mobilisés </w:t>
            </w:r>
            <w:r w:rsidRPr="00E11FFB">
              <w:rPr>
                <w:rFonts w:ascii="Avenir" w:eastAsia="Avenir" w:hAnsi="Avenir" w:cs="Avenir"/>
                <w:bCs/>
                <w:color w:val="000000"/>
                <w:sz w:val="16"/>
                <w:szCs w:val="16"/>
              </w:rPr>
              <w:t xml:space="preserve">pour la production des cartes de conflits d’usage. </w:t>
            </w:r>
          </w:p>
        </w:tc>
        <w:tc>
          <w:tcPr>
            <w:tcW w:w="1605" w:type="dxa"/>
          </w:tcPr>
          <w:p w14:paraId="7FF9EEFF" w14:textId="59522003" w:rsidR="00E84CD0" w:rsidRPr="00E11FFB" w:rsidRDefault="00E84CD0" w:rsidP="00E84CD0">
            <w:pPr>
              <w:rPr>
                <w:b/>
                <w:bCs/>
                <w:sz w:val="16"/>
                <w:szCs w:val="16"/>
              </w:rPr>
            </w:pPr>
            <w:r w:rsidRPr="00E11FFB">
              <w:rPr>
                <w:b/>
                <w:bCs/>
                <w:sz w:val="16"/>
                <w:szCs w:val="16"/>
              </w:rPr>
              <w:t>En cours</w:t>
            </w:r>
          </w:p>
        </w:tc>
        <w:tc>
          <w:tcPr>
            <w:tcW w:w="3255" w:type="dxa"/>
          </w:tcPr>
          <w:p w14:paraId="3252A486" w14:textId="69E69BF7" w:rsidR="00E84CD0" w:rsidRPr="00E11FFB" w:rsidRDefault="00292700" w:rsidP="00E84CD0">
            <w:pPr>
              <w:rPr>
                <w:rFonts w:ascii="Avenir" w:eastAsia="Avenir" w:hAnsi="Avenir" w:cs="Avenir"/>
                <w:color w:val="000000"/>
                <w:sz w:val="16"/>
                <w:szCs w:val="16"/>
              </w:rPr>
            </w:pPr>
            <w:r w:rsidRPr="00E11FFB">
              <w:rPr>
                <w:rFonts w:ascii="Avenir" w:eastAsia="Avenir" w:hAnsi="Avenir" w:cs="Avenir"/>
                <w:color w:val="000000"/>
                <w:sz w:val="16"/>
                <w:szCs w:val="16"/>
              </w:rPr>
              <w:t xml:space="preserve">Organisations des séances d’arbitrage dans les sessions de </w:t>
            </w:r>
            <w:r w:rsidR="00BF0DB4" w:rsidRPr="00E11FFB">
              <w:rPr>
                <w:rFonts w:ascii="Avenir" w:eastAsia="Avenir" w:hAnsi="Avenir" w:cs="Avenir"/>
                <w:color w:val="000000"/>
                <w:sz w:val="16"/>
                <w:szCs w:val="16"/>
              </w:rPr>
              <w:t>conseil national</w:t>
            </w:r>
            <w:r w:rsidRPr="00E11FFB">
              <w:rPr>
                <w:rFonts w:ascii="Avenir" w:eastAsia="Avenir" w:hAnsi="Avenir" w:cs="Avenir"/>
                <w:color w:val="000000"/>
                <w:sz w:val="16"/>
                <w:szCs w:val="16"/>
              </w:rPr>
              <w:t xml:space="preserve"> d’AT et au niveau de CPAT. </w:t>
            </w:r>
          </w:p>
        </w:tc>
      </w:tr>
      <w:tr w:rsidR="00E84CD0" w:rsidRPr="00E11FFB" w14:paraId="50E05135" w14:textId="77777777" w:rsidTr="005B3B85">
        <w:trPr>
          <w:jc w:val="center"/>
        </w:trPr>
        <w:tc>
          <w:tcPr>
            <w:tcW w:w="2695" w:type="dxa"/>
            <w:vAlign w:val="center"/>
          </w:tcPr>
          <w:p w14:paraId="393A12D2" w14:textId="0A501D01" w:rsidR="00E84CD0" w:rsidRPr="00E11FFB" w:rsidRDefault="00E84CD0" w:rsidP="00E84CD0">
            <w:pPr>
              <w:rPr>
                <w:rFonts w:ascii="Avenir" w:eastAsia="Avenir" w:hAnsi="Avenir" w:cs="Avenir"/>
                <w:color w:val="000000"/>
                <w:sz w:val="16"/>
                <w:szCs w:val="16"/>
              </w:rPr>
            </w:pPr>
            <w:r w:rsidRPr="00E11FFB">
              <w:rPr>
                <w:color w:val="000000"/>
                <w:sz w:val="16"/>
                <w:szCs w:val="16"/>
              </w:rPr>
              <w:t>1.4.1 : Centraliser et publier sur une plateforme Internet accessible tous les contrats d'affectation des terres (agriculture, foret, Mines, Hydrocarbures) de manière transparente et en collaboration avec les ministères sectoriels concernés avec une mise à jour annuelle.</w:t>
            </w:r>
          </w:p>
        </w:tc>
        <w:tc>
          <w:tcPr>
            <w:tcW w:w="630" w:type="dxa"/>
            <w:vAlign w:val="center"/>
          </w:tcPr>
          <w:p w14:paraId="03F0CD4C" w14:textId="77777777" w:rsidR="00E84CD0" w:rsidRPr="00E11FFB" w:rsidRDefault="00E84CD0" w:rsidP="00E84CD0">
            <w:pPr>
              <w:rPr>
                <w:rFonts w:ascii="Avenir" w:eastAsia="Avenir" w:hAnsi="Avenir" w:cs="Avenir"/>
                <w:color w:val="000000"/>
                <w:sz w:val="16"/>
                <w:szCs w:val="16"/>
              </w:rPr>
            </w:pPr>
            <w:r w:rsidRPr="00E11FFB">
              <w:rPr>
                <w:rFonts w:ascii="Avenir" w:eastAsia="Avenir" w:hAnsi="Avenir" w:cs="Avenir"/>
                <w:color w:val="000000"/>
                <w:sz w:val="16"/>
                <w:szCs w:val="16"/>
              </w:rPr>
              <w:t>1.4</w:t>
            </w:r>
          </w:p>
        </w:tc>
        <w:tc>
          <w:tcPr>
            <w:tcW w:w="1170" w:type="dxa"/>
            <w:vAlign w:val="center"/>
          </w:tcPr>
          <w:p w14:paraId="48008944" w14:textId="40B8527F"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30/06/2025</w:t>
            </w:r>
          </w:p>
        </w:tc>
        <w:tc>
          <w:tcPr>
            <w:tcW w:w="2790" w:type="dxa"/>
            <w:vAlign w:val="center"/>
          </w:tcPr>
          <w:p w14:paraId="579ED96E" w14:textId="77777777"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2 missions de collecte des données auprès des ministères sectoriels à Kinshasa sur le contrat d’affectation des terres</w:t>
            </w:r>
          </w:p>
          <w:p w14:paraId="4CC2B994" w14:textId="096CC486"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1 base de données géoréférencées de tous les contrats en ligne et actualisée annuellement</w:t>
            </w:r>
          </w:p>
        </w:tc>
        <w:tc>
          <w:tcPr>
            <w:tcW w:w="2340" w:type="dxa"/>
          </w:tcPr>
          <w:p w14:paraId="0FFD5036" w14:textId="1A5EDEF2"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5 sessions de collecte de données</w:t>
            </w:r>
          </w:p>
          <w:p w14:paraId="30BAEA8B" w14:textId="1AF22505" w:rsidR="00BF0DB4" w:rsidRPr="00E11FFB" w:rsidRDefault="00BF0DB4"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Contrat de consultance sur le traitement et publication données </w:t>
            </w:r>
          </w:p>
          <w:p w14:paraId="65563C14" w14:textId="4A319440" w:rsidR="00E84CD0" w:rsidRPr="00E11FFB" w:rsidRDefault="00E84CD0" w:rsidP="00E84CD0">
            <w:pPr>
              <w:rPr>
                <w:rFonts w:ascii="Avenir" w:eastAsia="Avenir" w:hAnsi="Avenir" w:cs="Avenir"/>
                <w:bCs/>
                <w:color w:val="000000"/>
                <w:sz w:val="16"/>
                <w:szCs w:val="16"/>
              </w:rPr>
            </w:pPr>
          </w:p>
        </w:tc>
        <w:tc>
          <w:tcPr>
            <w:tcW w:w="1605" w:type="dxa"/>
          </w:tcPr>
          <w:p w14:paraId="384BB8E3" w14:textId="0AA4C0EE" w:rsidR="00E84CD0" w:rsidRPr="00E11FFB" w:rsidRDefault="00E84CD0" w:rsidP="00E84CD0">
            <w:pPr>
              <w:rPr>
                <w:b/>
                <w:bCs/>
                <w:sz w:val="16"/>
                <w:szCs w:val="16"/>
              </w:rPr>
            </w:pPr>
            <w:r w:rsidRPr="00E11FFB">
              <w:rPr>
                <w:b/>
                <w:bCs/>
                <w:sz w:val="16"/>
                <w:szCs w:val="16"/>
              </w:rPr>
              <w:t>En cours</w:t>
            </w:r>
          </w:p>
        </w:tc>
        <w:tc>
          <w:tcPr>
            <w:tcW w:w="3255" w:type="dxa"/>
          </w:tcPr>
          <w:p w14:paraId="4C00AC57" w14:textId="187CEE6E" w:rsidR="00E84CD0" w:rsidRPr="00E11FFB" w:rsidRDefault="008246EB" w:rsidP="00E84CD0">
            <w:pPr>
              <w:rPr>
                <w:rFonts w:ascii="Avenir" w:eastAsia="Avenir" w:hAnsi="Avenir" w:cs="Avenir"/>
                <w:color w:val="000000"/>
                <w:sz w:val="16"/>
                <w:szCs w:val="16"/>
              </w:rPr>
            </w:pPr>
            <w:r w:rsidRPr="00E11FFB">
              <w:rPr>
                <w:rFonts w:ascii="Avenir" w:eastAsia="Avenir" w:hAnsi="Avenir" w:cs="Avenir"/>
                <w:color w:val="000000"/>
                <w:sz w:val="16"/>
                <w:szCs w:val="16"/>
              </w:rPr>
              <w:t xml:space="preserve">Publication de contrat d’affectation des terres en ligne. </w:t>
            </w:r>
          </w:p>
        </w:tc>
      </w:tr>
      <w:tr w:rsidR="00E84CD0" w:rsidRPr="00E11FFB" w14:paraId="58A29CD4" w14:textId="77777777" w:rsidTr="004635EF">
        <w:trPr>
          <w:trHeight w:val="328"/>
          <w:jc w:val="center"/>
        </w:trPr>
        <w:tc>
          <w:tcPr>
            <w:tcW w:w="2695" w:type="dxa"/>
            <w:vAlign w:val="center"/>
          </w:tcPr>
          <w:p w14:paraId="489842A8" w14:textId="5DEE7E70" w:rsidR="00E84CD0" w:rsidRPr="00E11FFB" w:rsidRDefault="00E84CD0" w:rsidP="00E84CD0">
            <w:pPr>
              <w:rPr>
                <w:rFonts w:ascii="Avenir" w:eastAsia="Avenir" w:hAnsi="Avenir" w:cs="Avenir"/>
                <w:color w:val="000000"/>
                <w:sz w:val="16"/>
                <w:szCs w:val="16"/>
              </w:rPr>
            </w:pPr>
            <w:r w:rsidRPr="00E11FFB">
              <w:rPr>
                <w:color w:val="000000"/>
                <w:sz w:val="16"/>
                <w:szCs w:val="16"/>
              </w:rPr>
              <w:t>1.5.1 : Réaliser le Schéma National d'AT de manière participative et inclusive en s'assurant qu'ils intègrent les forêts de grande valeur et les tourbières en vue de leur préservation et de leur exploitation</w:t>
            </w:r>
          </w:p>
        </w:tc>
        <w:tc>
          <w:tcPr>
            <w:tcW w:w="630" w:type="dxa"/>
            <w:vAlign w:val="center"/>
          </w:tcPr>
          <w:p w14:paraId="14421029" w14:textId="77777777" w:rsidR="00E84CD0" w:rsidRPr="00E11FFB" w:rsidRDefault="00E84CD0" w:rsidP="00E84CD0">
            <w:pPr>
              <w:rPr>
                <w:rFonts w:ascii="Avenir" w:eastAsia="Avenir" w:hAnsi="Avenir" w:cs="Avenir"/>
                <w:color w:val="000000"/>
                <w:sz w:val="16"/>
                <w:szCs w:val="16"/>
              </w:rPr>
            </w:pPr>
            <w:r w:rsidRPr="00E11FFB">
              <w:rPr>
                <w:rFonts w:ascii="Avenir" w:eastAsia="Avenir" w:hAnsi="Avenir" w:cs="Avenir"/>
                <w:color w:val="000000"/>
                <w:sz w:val="16"/>
                <w:szCs w:val="16"/>
              </w:rPr>
              <w:t>1.5</w:t>
            </w:r>
          </w:p>
        </w:tc>
        <w:tc>
          <w:tcPr>
            <w:tcW w:w="1170" w:type="dxa"/>
            <w:vAlign w:val="center"/>
          </w:tcPr>
          <w:p w14:paraId="4572A24D" w14:textId="3DEEB8A6"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59C940A8" w14:textId="77777777"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1 contrat signé avec une expertise spécialisée</w:t>
            </w:r>
          </w:p>
          <w:p w14:paraId="4A0C2B51" w14:textId="77777777"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1 contrat de recrutement avec un bureau d’étude pour réaliser l’EESS du SNAT</w:t>
            </w:r>
          </w:p>
          <w:p w14:paraId="18C26153" w14:textId="0BD50205" w:rsidR="00E84CD0" w:rsidRPr="00E11FFB" w:rsidRDefault="00E84CD0" w:rsidP="00E84CD0">
            <w:pPr>
              <w:rPr>
                <w:rFonts w:ascii="Avenir" w:eastAsia="Avenir" w:hAnsi="Avenir" w:cs="Avenir"/>
                <w:b/>
                <w:color w:val="000000"/>
                <w:sz w:val="16"/>
                <w:szCs w:val="16"/>
              </w:rPr>
            </w:pPr>
            <w:r w:rsidRPr="00E11FFB">
              <w:rPr>
                <w:rFonts w:ascii="Avenir" w:eastAsia="Avenir" w:hAnsi="Avenir" w:cs="Avenir"/>
                <w:bCs/>
                <w:color w:val="000000"/>
                <w:sz w:val="16"/>
                <w:szCs w:val="16"/>
              </w:rPr>
              <w:t>Rapport de Schéma National AT</w:t>
            </w:r>
          </w:p>
        </w:tc>
        <w:tc>
          <w:tcPr>
            <w:tcW w:w="2340" w:type="dxa"/>
          </w:tcPr>
          <w:p w14:paraId="6181EA19" w14:textId="77777777" w:rsidR="00E84CD0" w:rsidRPr="00FC0BC7" w:rsidRDefault="00E84CD0" w:rsidP="00E84CD0">
            <w:pPr>
              <w:rPr>
                <w:rFonts w:ascii="Avenir" w:eastAsia="Avenir" w:hAnsi="Avenir" w:cs="Avenir"/>
                <w:bCs/>
                <w:color w:val="000000"/>
                <w:sz w:val="16"/>
                <w:szCs w:val="16"/>
              </w:rPr>
            </w:pPr>
            <w:r w:rsidRPr="00FC0BC7">
              <w:rPr>
                <w:rFonts w:ascii="Avenir" w:eastAsia="Avenir" w:hAnsi="Avenir" w:cs="Avenir"/>
                <w:bCs/>
                <w:color w:val="000000"/>
                <w:sz w:val="16"/>
                <w:szCs w:val="16"/>
              </w:rPr>
              <w:t xml:space="preserve">1 contrat signé </w:t>
            </w:r>
          </w:p>
          <w:p w14:paraId="07D2DCA8" w14:textId="77777777" w:rsidR="00E84CD0" w:rsidRPr="00FC0BC7" w:rsidRDefault="00E84CD0" w:rsidP="00E84CD0">
            <w:pPr>
              <w:rPr>
                <w:rFonts w:ascii="Avenir" w:eastAsia="Avenir" w:hAnsi="Avenir" w:cs="Avenir"/>
                <w:bCs/>
                <w:color w:val="000000"/>
                <w:sz w:val="16"/>
                <w:szCs w:val="16"/>
              </w:rPr>
            </w:pPr>
            <w:r w:rsidRPr="00FC0BC7">
              <w:rPr>
                <w:rFonts w:ascii="Avenir" w:eastAsia="Avenir" w:hAnsi="Avenir" w:cs="Avenir"/>
                <w:bCs/>
                <w:color w:val="000000"/>
                <w:sz w:val="16"/>
                <w:szCs w:val="16"/>
              </w:rPr>
              <w:t>Draft Schéma National AT</w:t>
            </w:r>
          </w:p>
          <w:p w14:paraId="741C5D07" w14:textId="198073FA" w:rsidR="00FC0BC7" w:rsidRPr="00FC0BC7" w:rsidRDefault="00FC0BC7" w:rsidP="00E84CD0">
            <w:pPr>
              <w:rPr>
                <w:rFonts w:ascii="Avenir" w:eastAsia="Avenir" w:hAnsi="Avenir" w:cs="Avenir"/>
                <w:bCs/>
                <w:color w:val="000000"/>
                <w:sz w:val="16"/>
                <w:szCs w:val="16"/>
              </w:rPr>
            </w:pPr>
            <w:r w:rsidRPr="00FC0BC7">
              <w:rPr>
                <w:rFonts w:ascii="Avenir" w:eastAsia="Avenir" w:hAnsi="Avenir" w:cs="Avenir"/>
                <w:bCs/>
                <w:color w:val="000000"/>
                <w:sz w:val="16"/>
                <w:szCs w:val="16"/>
              </w:rPr>
              <w:t>ANO sur le recrutement du bureau d’étude EES</w:t>
            </w:r>
          </w:p>
        </w:tc>
        <w:tc>
          <w:tcPr>
            <w:tcW w:w="1605" w:type="dxa"/>
          </w:tcPr>
          <w:p w14:paraId="7F29D85D" w14:textId="64F93ABA" w:rsidR="00E84CD0" w:rsidRPr="00E11FFB" w:rsidRDefault="00E84CD0" w:rsidP="00E84CD0">
            <w:pPr>
              <w:rPr>
                <w:b/>
                <w:bCs/>
                <w:sz w:val="16"/>
                <w:szCs w:val="16"/>
              </w:rPr>
            </w:pPr>
            <w:r w:rsidRPr="00E11FFB">
              <w:rPr>
                <w:b/>
                <w:bCs/>
                <w:sz w:val="16"/>
                <w:szCs w:val="16"/>
              </w:rPr>
              <w:t xml:space="preserve"> En cours</w:t>
            </w:r>
          </w:p>
        </w:tc>
        <w:tc>
          <w:tcPr>
            <w:tcW w:w="3255" w:type="dxa"/>
          </w:tcPr>
          <w:p w14:paraId="035E6DB0" w14:textId="600AD2F9" w:rsidR="00E84CD0" w:rsidRPr="00E11FFB" w:rsidRDefault="00281867" w:rsidP="00E84CD0">
            <w:pPr>
              <w:rPr>
                <w:rFonts w:ascii="Avenir" w:eastAsia="Avenir" w:hAnsi="Avenir" w:cs="Avenir"/>
                <w:color w:val="000000"/>
                <w:sz w:val="16"/>
                <w:szCs w:val="16"/>
              </w:rPr>
            </w:pPr>
            <w:r w:rsidRPr="00E11FFB">
              <w:rPr>
                <w:rFonts w:ascii="Avenir" w:eastAsia="Avenir" w:hAnsi="Avenir" w:cs="Avenir"/>
                <w:color w:val="000000"/>
                <w:sz w:val="16"/>
                <w:szCs w:val="16"/>
              </w:rPr>
              <w:t xml:space="preserve">EES </w:t>
            </w:r>
            <w:r w:rsidR="008246EB" w:rsidRPr="00E11FFB">
              <w:rPr>
                <w:rFonts w:ascii="Avenir" w:eastAsia="Avenir" w:hAnsi="Avenir" w:cs="Avenir"/>
                <w:color w:val="000000"/>
                <w:sz w:val="16"/>
                <w:szCs w:val="16"/>
              </w:rPr>
              <w:t>sur le Schéma</w:t>
            </w:r>
            <w:r w:rsidRPr="00E11FFB">
              <w:rPr>
                <w:rFonts w:ascii="Avenir" w:eastAsia="Avenir" w:hAnsi="Avenir" w:cs="Avenir"/>
                <w:color w:val="000000"/>
                <w:sz w:val="16"/>
                <w:szCs w:val="16"/>
              </w:rPr>
              <w:t xml:space="preserve">. </w:t>
            </w:r>
            <w:r w:rsidR="008246EB" w:rsidRPr="00E11FFB">
              <w:rPr>
                <w:rFonts w:ascii="Avenir" w:eastAsia="Avenir" w:hAnsi="Avenir" w:cs="Avenir"/>
                <w:color w:val="000000"/>
                <w:sz w:val="16"/>
                <w:szCs w:val="16"/>
              </w:rPr>
              <w:t>Finalisation</w:t>
            </w:r>
            <w:r w:rsidR="00117CE9" w:rsidRPr="00E11FFB">
              <w:rPr>
                <w:rFonts w:ascii="Avenir" w:eastAsia="Avenir" w:hAnsi="Avenir" w:cs="Avenir"/>
                <w:color w:val="000000"/>
                <w:sz w:val="16"/>
                <w:szCs w:val="16"/>
              </w:rPr>
              <w:t xml:space="preserve"> et vulgarisation</w:t>
            </w:r>
            <w:r w:rsidR="008246EB" w:rsidRPr="00E11FFB">
              <w:rPr>
                <w:rFonts w:ascii="Avenir" w:eastAsia="Avenir" w:hAnsi="Avenir" w:cs="Avenir"/>
                <w:color w:val="000000"/>
                <w:sz w:val="16"/>
                <w:szCs w:val="16"/>
              </w:rPr>
              <w:t xml:space="preserve"> du Schéma National d’AT</w:t>
            </w:r>
            <w:r w:rsidR="00117CE9" w:rsidRPr="00E11FFB">
              <w:rPr>
                <w:rFonts w:ascii="Avenir" w:eastAsia="Avenir" w:hAnsi="Avenir" w:cs="Avenir"/>
                <w:color w:val="000000"/>
                <w:sz w:val="16"/>
                <w:szCs w:val="16"/>
              </w:rPr>
              <w:t xml:space="preserve">. </w:t>
            </w:r>
          </w:p>
        </w:tc>
      </w:tr>
      <w:tr w:rsidR="00E84CD0" w:rsidRPr="00E11FFB" w14:paraId="3198300C" w14:textId="77777777" w:rsidTr="005B3B85">
        <w:trPr>
          <w:jc w:val="center"/>
        </w:trPr>
        <w:tc>
          <w:tcPr>
            <w:tcW w:w="2695" w:type="dxa"/>
          </w:tcPr>
          <w:p w14:paraId="71674B14" w14:textId="77324EBA" w:rsidR="00E84CD0" w:rsidRPr="00E11FFB" w:rsidRDefault="00E84CD0" w:rsidP="00E84CD0">
            <w:pPr>
              <w:rPr>
                <w:rFonts w:ascii="Avenir" w:eastAsia="Avenir" w:hAnsi="Avenir" w:cs="Avenir"/>
                <w:color w:val="000000"/>
                <w:sz w:val="16"/>
                <w:szCs w:val="16"/>
              </w:rPr>
            </w:pPr>
            <w:r w:rsidRPr="00E11FFB">
              <w:rPr>
                <w:color w:val="000000"/>
                <w:sz w:val="16"/>
                <w:szCs w:val="16"/>
              </w:rPr>
              <w:t>1.6.1 : Appuyer la Task-Force de pilotage de l'atteinte du processus de réalisation des jalons de LOI.</w:t>
            </w:r>
          </w:p>
        </w:tc>
        <w:tc>
          <w:tcPr>
            <w:tcW w:w="630" w:type="dxa"/>
            <w:vMerge w:val="restart"/>
            <w:vAlign w:val="center"/>
          </w:tcPr>
          <w:p w14:paraId="22B824D8" w14:textId="77777777" w:rsidR="00E84CD0" w:rsidRPr="00E11FFB" w:rsidRDefault="00E84CD0" w:rsidP="00E84CD0">
            <w:pPr>
              <w:rPr>
                <w:rFonts w:ascii="Avenir" w:eastAsia="Avenir" w:hAnsi="Avenir" w:cs="Avenir"/>
                <w:color w:val="000000"/>
                <w:sz w:val="16"/>
                <w:szCs w:val="16"/>
              </w:rPr>
            </w:pPr>
            <w:r w:rsidRPr="00E11FFB">
              <w:rPr>
                <w:rFonts w:ascii="Avenir" w:eastAsia="Avenir" w:hAnsi="Avenir" w:cs="Avenir"/>
                <w:color w:val="000000"/>
                <w:sz w:val="16"/>
                <w:szCs w:val="16"/>
              </w:rPr>
              <w:t>1.6</w:t>
            </w:r>
          </w:p>
        </w:tc>
        <w:tc>
          <w:tcPr>
            <w:tcW w:w="1170" w:type="dxa"/>
            <w:vAlign w:val="center"/>
          </w:tcPr>
          <w:p w14:paraId="0D6A3F93" w14:textId="24E49B5B"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40159A5B" w14:textId="1EE5159E" w:rsidR="00E84CD0" w:rsidRPr="00E11FFB" w:rsidRDefault="00E84CD0" w:rsidP="00E84CD0">
            <w:pPr>
              <w:rPr>
                <w:rFonts w:ascii="Avenir" w:eastAsia="Avenir" w:hAnsi="Avenir" w:cs="Avenir"/>
                <w:b/>
                <w:color w:val="000000"/>
                <w:sz w:val="16"/>
                <w:szCs w:val="16"/>
              </w:rPr>
            </w:pPr>
            <w:r w:rsidRPr="00E11FFB">
              <w:rPr>
                <w:rFonts w:ascii="Avenir" w:eastAsia="Avenir" w:hAnsi="Avenir" w:cs="Avenir"/>
                <w:bCs/>
                <w:color w:val="000000"/>
                <w:sz w:val="16"/>
                <w:szCs w:val="16"/>
              </w:rPr>
              <w:t>Rapport d’activité des membres de la Task-force</w:t>
            </w:r>
          </w:p>
        </w:tc>
        <w:tc>
          <w:tcPr>
            <w:tcW w:w="2340" w:type="dxa"/>
          </w:tcPr>
          <w:p w14:paraId="17CF787E" w14:textId="75372468" w:rsidR="00E84CD0" w:rsidRPr="00E11FFB" w:rsidRDefault="00281867"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Les membres de la task-force ont produit mensuellement les rapports d’activité détaillant les tâches </w:t>
            </w:r>
            <w:r w:rsidR="00F71E1B" w:rsidRPr="00E11FFB">
              <w:rPr>
                <w:rFonts w:ascii="Avenir" w:eastAsia="Avenir" w:hAnsi="Avenir" w:cs="Avenir"/>
                <w:bCs/>
                <w:color w:val="000000"/>
                <w:sz w:val="16"/>
                <w:szCs w:val="16"/>
              </w:rPr>
              <w:t>réalisées</w:t>
            </w:r>
            <w:r w:rsidRPr="00E11FFB">
              <w:rPr>
                <w:rFonts w:ascii="Avenir" w:eastAsia="Avenir" w:hAnsi="Avenir" w:cs="Avenir"/>
                <w:bCs/>
                <w:color w:val="000000"/>
                <w:sz w:val="16"/>
                <w:szCs w:val="16"/>
              </w:rPr>
              <w:t xml:space="preserve"> pour le compte du projet. </w:t>
            </w:r>
          </w:p>
        </w:tc>
        <w:tc>
          <w:tcPr>
            <w:tcW w:w="1605" w:type="dxa"/>
          </w:tcPr>
          <w:p w14:paraId="0D4E2EAD" w14:textId="48E8BC65" w:rsidR="00E84CD0" w:rsidRPr="00E11FFB" w:rsidRDefault="008C0BA8" w:rsidP="00E84CD0">
            <w:pPr>
              <w:rPr>
                <w:b/>
                <w:bCs/>
                <w:sz w:val="16"/>
                <w:szCs w:val="16"/>
              </w:rPr>
            </w:pPr>
            <w:r w:rsidRPr="00E11FFB">
              <w:rPr>
                <w:b/>
                <w:bCs/>
                <w:sz w:val="16"/>
                <w:szCs w:val="16"/>
              </w:rPr>
              <w:t>Atteint</w:t>
            </w:r>
          </w:p>
        </w:tc>
        <w:tc>
          <w:tcPr>
            <w:tcW w:w="3255" w:type="dxa"/>
          </w:tcPr>
          <w:p w14:paraId="0B615F78" w14:textId="4E0BC23A" w:rsidR="00E84CD0" w:rsidRPr="00E11FFB" w:rsidRDefault="00022FCC" w:rsidP="00E84CD0">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E84CD0" w:rsidRPr="00E11FFB" w14:paraId="21DC870E" w14:textId="77777777" w:rsidTr="005B3B85">
        <w:trPr>
          <w:jc w:val="center"/>
        </w:trPr>
        <w:tc>
          <w:tcPr>
            <w:tcW w:w="2695" w:type="dxa"/>
          </w:tcPr>
          <w:p w14:paraId="367811B4" w14:textId="5451CAD9" w:rsidR="00E84CD0" w:rsidRPr="00E11FFB" w:rsidRDefault="00E84CD0" w:rsidP="00E84CD0">
            <w:pPr>
              <w:rPr>
                <w:rFonts w:ascii="Avenir" w:eastAsia="Avenir" w:hAnsi="Avenir" w:cs="Avenir"/>
                <w:color w:val="000000"/>
                <w:sz w:val="16"/>
                <w:szCs w:val="16"/>
              </w:rPr>
            </w:pPr>
            <w:r w:rsidRPr="00E11FFB">
              <w:rPr>
                <w:color w:val="000000"/>
                <w:sz w:val="16"/>
                <w:szCs w:val="16"/>
              </w:rPr>
              <w:t>1.6.2 : Appuyer le fonctionnement et la logistique de la Task-Force d'appui à la réalisation des jalons du secteur Aménagement du Territoire</w:t>
            </w:r>
          </w:p>
        </w:tc>
        <w:tc>
          <w:tcPr>
            <w:tcW w:w="630" w:type="dxa"/>
            <w:vMerge/>
            <w:vAlign w:val="center"/>
          </w:tcPr>
          <w:p w14:paraId="374BFBF6" w14:textId="77777777" w:rsidR="00E84CD0" w:rsidRPr="00E11FFB" w:rsidRDefault="00E84CD0" w:rsidP="00E84CD0">
            <w:pPr>
              <w:rPr>
                <w:rFonts w:ascii="Avenir" w:eastAsia="Avenir" w:hAnsi="Avenir" w:cs="Avenir"/>
                <w:color w:val="000000"/>
                <w:sz w:val="16"/>
                <w:szCs w:val="16"/>
              </w:rPr>
            </w:pPr>
          </w:p>
        </w:tc>
        <w:tc>
          <w:tcPr>
            <w:tcW w:w="1170" w:type="dxa"/>
            <w:vAlign w:val="center"/>
          </w:tcPr>
          <w:p w14:paraId="790DD079" w14:textId="2A27C05A"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2203B66F" w14:textId="44A491F6"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Equipement et formation </w:t>
            </w:r>
          </w:p>
          <w:p w14:paraId="037A7933" w14:textId="0AB479C2" w:rsidR="00E84CD0" w:rsidRPr="00E11FFB" w:rsidRDefault="00281867" w:rsidP="00E84CD0">
            <w:pPr>
              <w:rPr>
                <w:rFonts w:ascii="Avenir" w:eastAsia="Avenir" w:hAnsi="Avenir" w:cs="Avenir"/>
                <w:bCs/>
                <w:color w:val="000000"/>
                <w:sz w:val="16"/>
                <w:szCs w:val="16"/>
              </w:rPr>
            </w:pPr>
            <w:r w:rsidRPr="00E11FFB">
              <w:rPr>
                <w:bCs/>
                <w:color w:val="000000"/>
                <w:sz w:val="16"/>
                <w:szCs w:val="16"/>
              </w:rPr>
              <w:t>Fourniture</w:t>
            </w:r>
            <w:r w:rsidR="00E84CD0" w:rsidRPr="00E11FFB">
              <w:rPr>
                <w:bCs/>
                <w:color w:val="000000"/>
                <w:sz w:val="16"/>
                <w:szCs w:val="16"/>
              </w:rPr>
              <w:t xml:space="preserve"> de bureau et consommables</w:t>
            </w:r>
          </w:p>
          <w:p w14:paraId="0C8847D6" w14:textId="77777777" w:rsidR="00E84CD0" w:rsidRPr="00E11FFB" w:rsidRDefault="00E84CD0" w:rsidP="00E84CD0">
            <w:pPr>
              <w:rPr>
                <w:rFonts w:ascii="Avenir" w:eastAsia="Avenir" w:hAnsi="Avenir" w:cs="Avenir"/>
                <w:b/>
                <w:color w:val="000000"/>
                <w:sz w:val="16"/>
                <w:szCs w:val="16"/>
              </w:rPr>
            </w:pPr>
            <w:r w:rsidRPr="00E11FFB">
              <w:rPr>
                <w:bCs/>
                <w:color w:val="000000"/>
                <w:sz w:val="16"/>
                <w:szCs w:val="16"/>
              </w:rPr>
              <w:t>1 véhicule</w:t>
            </w:r>
          </w:p>
        </w:tc>
        <w:tc>
          <w:tcPr>
            <w:tcW w:w="2340" w:type="dxa"/>
          </w:tcPr>
          <w:p w14:paraId="633899F5" w14:textId="287CDA13" w:rsidR="00E84CD0" w:rsidRPr="00E11FFB" w:rsidRDefault="00281867"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Les fournitures ont été fournies</w:t>
            </w:r>
            <w:r w:rsidR="00203C56" w:rsidRPr="00E11FFB">
              <w:rPr>
                <w:rFonts w:ascii="Avenir" w:eastAsia="Avenir" w:hAnsi="Avenir" w:cs="Avenir"/>
                <w:bCs/>
                <w:color w:val="000000"/>
                <w:sz w:val="16"/>
                <w:szCs w:val="16"/>
              </w:rPr>
              <w:t xml:space="preserve">, les réunions de la task-force tenues. </w:t>
            </w:r>
          </w:p>
        </w:tc>
        <w:tc>
          <w:tcPr>
            <w:tcW w:w="1605" w:type="dxa"/>
          </w:tcPr>
          <w:p w14:paraId="0D773535" w14:textId="6EB7780B" w:rsidR="00E84CD0" w:rsidRPr="00E11FFB" w:rsidRDefault="008C0BA8" w:rsidP="00E84CD0">
            <w:pPr>
              <w:rPr>
                <w:b/>
                <w:bCs/>
                <w:sz w:val="16"/>
                <w:szCs w:val="16"/>
              </w:rPr>
            </w:pPr>
            <w:r w:rsidRPr="00E11FFB">
              <w:rPr>
                <w:b/>
                <w:bCs/>
                <w:sz w:val="16"/>
                <w:szCs w:val="16"/>
              </w:rPr>
              <w:t>Atteint</w:t>
            </w:r>
          </w:p>
        </w:tc>
        <w:tc>
          <w:tcPr>
            <w:tcW w:w="3255" w:type="dxa"/>
          </w:tcPr>
          <w:p w14:paraId="3140E6A1" w14:textId="3084494A" w:rsidR="00E84CD0" w:rsidRPr="00E11FFB" w:rsidRDefault="001533FE" w:rsidP="00E84CD0">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E84CD0" w:rsidRPr="00E11FFB" w14:paraId="14C2319D" w14:textId="77777777" w:rsidTr="00203C56">
        <w:trPr>
          <w:trHeight w:val="247"/>
          <w:jc w:val="center"/>
        </w:trPr>
        <w:tc>
          <w:tcPr>
            <w:tcW w:w="2695" w:type="dxa"/>
            <w:vAlign w:val="center"/>
          </w:tcPr>
          <w:p w14:paraId="2435F263" w14:textId="46C0F158" w:rsidR="00E84CD0" w:rsidRPr="00E11FFB" w:rsidRDefault="00E84CD0" w:rsidP="00E84CD0">
            <w:pPr>
              <w:rPr>
                <w:rFonts w:ascii="Avenir" w:eastAsia="Avenir" w:hAnsi="Avenir" w:cs="Avenir"/>
                <w:color w:val="000000"/>
                <w:sz w:val="16"/>
                <w:szCs w:val="16"/>
              </w:rPr>
            </w:pPr>
            <w:r w:rsidRPr="00E11FFB">
              <w:rPr>
                <w:color w:val="000000"/>
                <w:sz w:val="16"/>
                <w:szCs w:val="16"/>
              </w:rPr>
              <w:t>1.6.3 : Appuyer la Direction des nouvelles technologies de l'information et de la communication (DANTIC) du MINAT</w:t>
            </w:r>
          </w:p>
        </w:tc>
        <w:tc>
          <w:tcPr>
            <w:tcW w:w="630" w:type="dxa"/>
            <w:vMerge/>
            <w:vAlign w:val="center"/>
          </w:tcPr>
          <w:p w14:paraId="44A092B0" w14:textId="77777777" w:rsidR="00E84CD0" w:rsidRPr="00E11FFB" w:rsidRDefault="00E84CD0" w:rsidP="00E84CD0">
            <w:pPr>
              <w:rPr>
                <w:rFonts w:ascii="Avenir" w:eastAsia="Avenir" w:hAnsi="Avenir" w:cs="Avenir"/>
                <w:color w:val="000000"/>
                <w:sz w:val="16"/>
                <w:szCs w:val="16"/>
              </w:rPr>
            </w:pPr>
          </w:p>
        </w:tc>
        <w:tc>
          <w:tcPr>
            <w:tcW w:w="1170" w:type="dxa"/>
            <w:vAlign w:val="center"/>
          </w:tcPr>
          <w:p w14:paraId="5F2831CB" w14:textId="7F41AF31"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31/12/2025</w:t>
            </w:r>
          </w:p>
        </w:tc>
        <w:tc>
          <w:tcPr>
            <w:tcW w:w="2790" w:type="dxa"/>
          </w:tcPr>
          <w:p w14:paraId="58F1695C" w14:textId="00DE87E2" w:rsidR="00E84CD0" w:rsidRPr="00E11FFB" w:rsidRDefault="00E84CD0" w:rsidP="00E84CD0">
            <w:pPr>
              <w:rPr>
                <w:rFonts w:ascii="Avenir" w:eastAsia="Avenir" w:hAnsi="Avenir" w:cs="Avenir"/>
                <w:bCs/>
                <w:color w:val="000000"/>
                <w:sz w:val="16"/>
                <w:szCs w:val="16"/>
              </w:rPr>
            </w:pPr>
            <w:r w:rsidRPr="00E11FFB">
              <w:rPr>
                <w:rFonts w:ascii="Avenir" w:eastAsia="Avenir" w:hAnsi="Avenir" w:cs="Avenir"/>
                <w:bCs/>
                <w:color w:val="000000"/>
                <w:sz w:val="16"/>
                <w:szCs w:val="16"/>
              </w:rPr>
              <w:t>1 page d’accueil et le Site web du ministère mis a jour</w:t>
            </w:r>
          </w:p>
        </w:tc>
        <w:tc>
          <w:tcPr>
            <w:tcW w:w="2340" w:type="dxa"/>
          </w:tcPr>
          <w:p w14:paraId="4063D5D3" w14:textId="41EA570C" w:rsidR="00E84CD0" w:rsidRPr="00E7609D" w:rsidRDefault="001533FE" w:rsidP="00E84CD0">
            <w:pPr>
              <w:rPr>
                <w:rFonts w:ascii="Avenir" w:eastAsia="Avenir" w:hAnsi="Avenir" w:cs="Avenir"/>
                <w:bCs/>
                <w:color w:val="000000"/>
                <w:sz w:val="16"/>
                <w:szCs w:val="16"/>
              </w:rPr>
            </w:pPr>
            <w:r w:rsidRPr="00E7609D">
              <w:rPr>
                <w:rFonts w:ascii="Avenir" w:eastAsia="Avenir" w:hAnsi="Avenir" w:cs="Avenir"/>
                <w:bCs/>
                <w:color w:val="000000"/>
                <w:sz w:val="16"/>
                <w:szCs w:val="16"/>
              </w:rPr>
              <w:t xml:space="preserve">1 site mis en ligne. </w:t>
            </w:r>
          </w:p>
        </w:tc>
        <w:tc>
          <w:tcPr>
            <w:tcW w:w="1605" w:type="dxa"/>
          </w:tcPr>
          <w:p w14:paraId="510ECC9A" w14:textId="678F27EC" w:rsidR="00E84CD0" w:rsidRPr="00E11FFB" w:rsidRDefault="004F7A8F" w:rsidP="00E84CD0">
            <w:pPr>
              <w:rPr>
                <w:b/>
                <w:bCs/>
                <w:sz w:val="16"/>
                <w:szCs w:val="16"/>
              </w:rPr>
            </w:pPr>
            <w:r w:rsidRPr="00E11FFB">
              <w:rPr>
                <w:b/>
                <w:bCs/>
                <w:sz w:val="16"/>
                <w:szCs w:val="16"/>
              </w:rPr>
              <w:t>En cours</w:t>
            </w:r>
          </w:p>
        </w:tc>
        <w:tc>
          <w:tcPr>
            <w:tcW w:w="3255" w:type="dxa"/>
          </w:tcPr>
          <w:p w14:paraId="3FCC1EB1" w14:textId="25973B4F" w:rsidR="00E84CD0" w:rsidRPr="00E11FFB" w:rsidRDefault="001533FE" w:rsidP="00E84CD0">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tbl>
    <w:p w14:paraId="78F6082F" w14:textId="77777777" w:rsidR="00B669B6" w:rsidRDefault="00B669B6" w:rsidP="00B669B6">
      <w:pPr>
        <w:spacing w:after="5" w:line="271" w:lineRule="auto"/>
        <w:ind w:right="28"/>
        <w:jc w:val="both"/>
        <w:rPr>
          <w:rFonts w:ascii="Avenir" w:eastAsia="Avenir" w:hAnsi="Avenir" w:cs="Avenir"/>
          <w:color w:val="000000"/>
          <w:sz w:val="21"/>
          <w:szCs w:val="21"/>
        </w:rPr>
      </w:pPr>
    </w:p>
    <w:p w14:paraId="0C3FAAC4" w14:textId="77777777" w:rsidR="00E82414" w:rsidRDefault="00E82414" w:rsidP="00B669B6">
      <w:pPr>
        <w:spacing w:after="5" w:line="271" w:lineRule="auto"/>
        <w:ind w:right="28"/>
        <w:jc w:val="both"/>
        <w:rPr>
          <w:rFonts w:ascii="Avenir" w:eastAsia="Avenir" w:hAnsi="Avenir" w:cs="Avenir"/>
          <w:color w:val="000000"/>
          <w:sz w:val="21"/>
          <w:szCs w:val="21"/>
        </w:rPr>
      </w:pPr>
    </w:p>
    <w:p w14:paraId="12E10F76" w14:textId="77777777" w:rsidR="00E82414" w:rsidRPr="00E11FFB" w:rsidRDefault="00E82414" w:rsidP="00B669B6">
      <w:pPr>
        <w:spacing w:after="5" w:line="271" w:lineRule="auto"/>
        <w:ind w:right="28"/>
        <w:jc w:val="both"/>
        <w:rPr>
          <w:rFonts w:ascii="Avenir" w:eastAsia="Avenir" w:hAnsi="Avenir" w:cs="Avenir"/>
          <w:color w:val="000000"/>
          <w:sz w:val="21"/>
          <w:szCs w:val="21"/>
        </w:rPr>
      </w:pPr>
    </w:p>
    <w:p w14:paraId="11A4DD1A" w14:textId="7DC00DBA" w:rsidR="00B669B6" w:rsidRPr="006D79E9" w:rsidRDefault="00E82414" w:rsidP="006D79E9">
      <w:pPr>
        <w:spacing w:before="240" w:after="5"/>
        <w:ind w:left="20" w:right="28" w:hanging="10"/>
        <w:jc w:val="both"/>
        <w:rPr>
          <w:rFonts w:ascii="Avenir" w:eastAsia="Avenir" w:hAnsi="Avenir" w:cs="Avenir"/>
          <w:color w:val="000000"/>
        </w:rPr>
      </w:pPr>
      <w:r>
        <w:rPr>
          <w:rFonts w:ascii="Avenir" w:eastAsia="Avenir" w:hAnsi="Avenir" w:cs="Avenir"/>
          <w:color w:val="000000"/>
        </w:rPr>
        <w:t xml:space="preserve">PTBA 2025- </w:t>
      </w:r>
      <w:r w:rsidR="00B669B6" w:rsidRPr="006D79E9">
        <w:rPr>
          <w:rFonts w:ascii="Avenir" w:eastAsia="Avenir" w:hAnsi="Avenir" w:cs="Avenir"/>
          <w:color w:val="000000"/>
        </w:rPr>
        <w:t xml:space="preserve"> Agriculture</w:t>
      </w:r>
    </w:p>
    <w:tbl>
      <w:tblPr>
        <w:tblW w:w="147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720"/>
        <w:gridCol w:w="1345"/>
        <w:gridCol w:w="2885"/>
        <w:gridCol w:w="2340"/>
        <w:gridCol w:w="1620"/>
        <w:gridCol w:w="3330"/>
      </w:tblGrid>
      <w:tr w:rsidR="005B3B85" w:rsidRPr="00E11FFB" w14:paraId="4F9E2717" w14:textId="77777777" w:rsidTr="005B3B85">
        <w:trPr>
          <w:trHeight w:val="535"/>
          <w:tblHeader/>
          <w:jc w:val="center"/>
        </w:trPr>
        <w:tc>
          <w:tcPr>
            <w:tcW w:w="2520" w:type="dxa"/>
            <w:shd w:val="clear" w:color="auto" w:fill="A9D5E7"/>
          </w:tcPr>
          <w:p w14:paraId="7CC2E2D1"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u w:val="single"/>
              </w:rPr>
              <w:t>Activité</w:t>
            </w:r>
            <w:r w:rsidRPr="00E11FFB">
              <w:rPr>
                <w:rFonts w:ascii="Avenir" w:eastAsia="Avenir" w:hAnsi="Avenir" w:cs="Avenir"/>
                <w:b/>
                <w:color w:val="000000"/>
                <w:sz w:val="14"/>
                <w:szCs w:val="14"/>
              </w:rPr>
              <w:t xml:space="preserve"> prévue dans le PTBA </w:t>
            </w:r>
            <w:r w:rsidRPr="00E11FFB">
              <w:rPr>
                <w:rFonts w:ascii="Avenir" w:eastAsia="Avenir" w:hAnsi="Avenir" w:cs="Avenir"/>
                <w:b/>
                <w:sz w:val="14"/>
                <w:szCs w:val="14"/>
              </w:rPr>
              <w:t>2025</w:t>
            </w:r>
          </w:p>
        </w:tc>
        <w:tc>
          <w:tcPr>
            <w:tcW w:w="720" w:type="dxa"/>
            <w:shd w:val="clear" w:color="auto" w:fill="A9D5E7"/>
          </w:tcPr>
          <w:p w14:paraId="5B846ADA"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rPr>
              <w:t>Produit</w:t>
            </w:r>
            <w:r w:rsidRPr="00E11FFB">
              <w:rPr>
                <w:rFonts w:ascii="Avenir" w:eastAsia="Avenir" w:hAnsi="Avenir" w:cs="Avenir"/>
                <w:b/>
                <w:i/>
                <w:color w:val="000000"/>
                <w:sz w:val="14"/>
                <w:szCs w:val="14"/>
                <w:vertAlign w:val="superscript"/>
              </w:rPr>
              <w:footnoteReference w:id="23"/>
            </w:r>
            <w:r w:rsidRPr="00E11FFB">
              <w:rPr>
                <w:rFonts w:ascii="Avenir" w:eastAsia="Avenir" w:hAnsi="Avenir" w:cs="Avenir"/>
                <w:b/>
                <w:color w:val="000000"/>
                <w:sz w:val="14"/>
                <w:szCs w:val="14"/>
              </w:rPr>
              <w:t xml:space="preserve"> (ex. 1.1)</w:t>
            </w:r>
          </w:p>
        </w:tc>
        <w:tc>
          <w:tcPr>
            <w:tcW w:w="1345" w:type="dxa"/>
            <w:shd w:val="clear" w:color="auto" w:fill="A9D5E7"/>
          </w:tcPr>
          <w:p w14:paraId="02042203"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rPr>
              <w:t>Chronologie prévue pour cette activité</w:t>
            </w:r>
            <w:r w:rsidRPr="00E11FFB">
              <w:rPr>
                <w:rFonts w:ascii="Avenir" w:eastAsia="Avenir" w:hAnsi="Avenir" w:cs="Avenir"/>
                <w:b/>
                <w:i/>
                <w:color w:val="000000"/>
                <w:sz w:val="14"/>
                <w:szCs w:val="14"/>
                <w:vertAlign w:val="superscript"/>
              </w:rPr>
              <w:footnoteReference w:id="24"/>
            </w:r>
          </w:p>
        </w:tc>
        <w:tc>
          <w:tcPr>
            <w:tcW w:w="2885" w:type="dxa"/>
            <w:shd w:val="clear" w:color="auto" w:fill="A9D5E7"/>
          </w:tcPr>
          <w:p w14:paraId="73998762"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rPr>
              <w:t>Cible prévue dans le PTBA 2025</w:t>
            </w:r>
          </w:p>
        </w:tc>
        <w:tc>
          <w:tcPr>
            <w:tcW w:w="2340" w:type="dxa"/>
            <w:shd w:val="clear" w:color="auto" w:fill="A9D5E7"/>
          </w:tcPr>
          <w:p w14:paraId="63EBA094"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rPr>
              <w:t>Valeur atteinte fin 2025</w:t>
            </w:r>
          </w:p>
        </w:tc>
        <w:tc>
          <w:tcPr>
            <w:tcW w:w="1620" w:type="dxa"/>
            <w:shd w:val="clear" w:color="auto" w:fill="A9D5E7"/>
          </w:tcPr>
          <w:p w14:paraId="617C46C6"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rPr>
              <w:t xml:space="preserve">Statut </w:t>
            </w:r>
            <w:r w:rsidRPr="00E11FFB">
              <w:rPr>
                <w:rFonts w:ascii="Avenir" w:eastAsia="Avenir" w:hAnsi="Avenir" w:cs="Avenir"/>
                <w:b/>
                <w:sz w:val="14"/>
                <w:szCs w:val="14"/>
              </w:rPr>
              <w:t>à la fin de la période de rapportage</w:t>
            </w:r>
          </w:p>
        </w:tc>
        <w:tc>
          <w:tcPr>
            <w:tcW w:w="3330" w:type="dxa"/>
            <w:shd w:val="clear" w:color="auto" w:fill="A9D5E7"/>
          </w:tcPr>
          <w:p w14:paraId="77B4012E" w14:textId="77777777" w:rsidR="00B669B6" w:rsidRPr="00E11FFB" w:rsidRDefault="00B669B6" w:rsidP="003A6DE1">
            <w:pPr>
              <w:rPr>
                <w:rFonts w:ascii="Avenir" w:eastAsia="Avenir" w:hAnsi="Avenir" w:cs="Avenir"/>
                <w:b/>
                <w:color w:val="000000"/>
                <w:sz w:val="14"/>
                <w:szCs w:val="14"/>
              </w:rPr>
            </w:pPr>
            <w:r w:rsidRPr="00E11FFB">
              <w:rPr>
                <w:rFonts w:ascii="Avenir" w:eastAsia="Avenir" w:hAnsi="Avenir" w:cs="Avenir"/>
                <w:b/>
                <w:color w:val="000000"/>
                <w:sz w:val="14"/>
                <w:szCs w:val="14"/>
              </w:rPr>
              <w:t xml:space="preserve">Progrès et/ou défis attendus </w:t>
            </w:r>
            <w:r w:rsidRPr="00E11FFB">
              <w:rPr>
                <w:rFonts w:ascii="Avenir" w:eastAsia="Avenir" w:hAnsi="Avenir" w:cs="Avenir"/>
                <w:b/>
                <w:sz w:val="14"/>
                <w:szCs w:val="14"/>
              </w:rPr>
              <w:t>au cours de l’année suivante</w:t>
            </w:r>
          </w:p>
        </w:tc>
      </w:tr>
      <w:tr w:rsidR="005B3B85" w:rsidRPr="00E11FFB" w14:paraId="77D0B158" w14:textId="77777777" w:rsidTr="005B3B85">
        <w:trPr>
          <w:jc w:val="center"/>
        </w:trPr>
        <w:tc>
          <w:tcPr>
            <w:tcW w:w="2520" w:type="dxa"/>
            <w:vAlign w:val="center"/>
          </w:tcPr>
          <w:p w14:paraId="014E6E0F" w14:textId="55A69CD8" w:rsidR="001716D9" w:rsidRPr="00E11FFB" w:rsidRDefault="004635EF" w:rsidP="004635EF">
            <w:pPr>
              <w:jc w:val="both"/>
              <w:rPr>
                <w:rFonts w:ascii="Avenir" w:eastAsia="Avenir" w:hAnsi="Avenir" w:cs="Avenir"/>
                <w:color w:val="000000"/>
                <w:sz w:val="16"/>
                <w:szCs w:val="16"/>
              </w:rPr>
            </w:pPr>
            <w:r w:rsidRPr="00E11FFB">
              <w:rPr>
                <w:sz w:val="16"/>
                <w:szCs w:val="16"/>
              </w:rPr>
              <w:t xml:space="preserve">2.1.1: </w:t>
            </w:r>
            <w:r w:rsidR="001716D9" w:rsidRPr="00E11FFB">
              <w:rPr>
                <w:sz w:val="16"/>
                <w:szCs w:val="16"/>
              </w:rPr>
              <w:t>Vulgariser la Politique agricole adoptée en Conseil des Ministres du 17 février 2023</w:t>
            </w:r>
          </w:p>
        </w:tc>
        <w:tc>
          <w:tcPr>
            <w:tcW w:w="720" w:type="dxa"/>
            <w:vMerge w:val="restart"/>
            <w:vAlign w:val="center"/>
          </w:tcPr>
          <w:p w14:paraId="38E0DA9D" w14:textId="77777777" w:rsidR="001716D9" w:rsidRPr="00E11FFB" w:rsidRDefault="001716D9" w:rsidP="001716D9">
            <w:pPr>
              <w:rPr>
                <w:rFonts w:ascii="Avenir" w:eastAsia="Avenir" w:hAnsi="Avenir" w:cs="Avenir"/>
                <w:color w:val="000000"/>
                <w:sz w:val="16"/>
                <w:szCs w:val="16"/>
              </w:rPr>
            </w:pPr>
            <w:r w:rsidRPr="00E11FFB">
              <w:rPr>
                <w:rFonts w:ascii="Avenir" w:eastAsia="Avenir" w:hAnsi="Avenir" w:cs="Avenir"/>
                <w:color w:val="000000"/>
                <w:sz w:val="16"/>
                <w:szCs w:val="16"/>
              </w:rPr>
              <w:t>2.1</w:t>
            </w:r>
          </w:p>
        </w:tc>
        <w:tc>
          <w:tcPr>
            <w:tcW w:w="1345" w:type="dxa"/>
            <w:vAlign w:val="center"/>
          </w:tcPr>
          <w:p w14:paraId="252F9679" w14:textId="59D3B49C" w:rsidR="001716D9" w:rsidRPr="00E11FFB" w:rsidRDefault="001716D9" w:rsidP="001716D9">
            <w:pPr>
              <w:rPr>
                <w:rFonts w:ascii="Avenir" w:eastAsia="Avenir" w:hAnsi="Avenir" w:cs="Avenir"/>
                <w:bCs/>
                <w:color w:val="000000"/>
                <w:sz w:val="16"/>
                <w:szCs w:val="16"/>
              </w:rPr>
            </w:pPr>
            <w:r w:rsidRPr="00E11FFB">
              <w:rPr>
                <w:rFonts w:ascii="Avenir" w:eastAsia="Avenir" w:hAnsi="Avenir" w:cs="Avenir"/>
                <w:b/>
                <w:color w:val="000000"/>
                <w:sz w:val="16"/>
                <w:szCs w:val="16"/>
              </w:rPr>
              <w:t>Du 01/06/2025 au 31/12/2025</w:t>
            </w:r>
          </w:p>
        </w:tc>
        <w:tc>
          <w:tcPr>
            <w:tcW w:w="2885" w:type="dxa"/>
          </w:tcPr>
          <w:p w14:paraId="2DAC724E" w14:textId="77777777" w:rsidR="001716D9" w:rsidRPr="00E11FFB" w:rsidRDefault="001716D9" w:rsidP="005B3B85">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Vulgarisation du document de la politique dans 6 provinces </w:t>
            </w:r>
          </w:p>
        </w:tc>
        <w:tc>
          <w:tcPr>
            <w:tcW w:w="2340" w:type="dxa"/>
          </w:tcPr>
          <w:p w14:paraId="4BA9E5B7" w14:textId="5B021F47" w:rsidR="001716D9" w:rsidRPr="00E11FFB" w:rsidRDefault="00EF533E"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Vulgarisation de la politique dans </w:t>
            </w:r>
            <w:r w:rsidR="00516829" w:rsidRPr="00E11FFB">
              <w:rPr>
                <w:rFonts w:ascii="Avenir" w:eastAsia="Avenir" w:hAnsi="Avenir" w:cs="Avenir"/>
                <w:color w:val="000000"/>
                <w:sz w:val="16"/>
                <w:szCs w:val="16"/>
              </w:rPr>
              <w:t>7</w:t>
            </w:r>
            <w:r w:rsidRPr="00E11FFB">
              <w:rPr>
                <w:rFonts w:ascii="Avenir" w:eastAsia="Avenir" w:hAnsi="Avenir" w:cs="Avenir"/>
                <w:color w:val="000000"/>
                <w:sz w:val="16"/>
                <w:szCs w:val="16"/>
              </w:rPr>
              <w:t xml:space="preserve"> provinces en plus de la vulgarisation dans 4 autres provinces en 2024. </w:t>
            </w:r>
          </w:p>
        </w:tc>
        <w:tc>
          <w:tcPr>
            <w:tcW w:w="1620" w:type="dxa"/>
          </w:tcPr>
          <w:p w14:paraId="4FDE6CFB" w14:textId="1159CD84" w:rsidR="001716D9" w:rsidRPr="00E11FFB" w:rsidRDefault="00EF533E" w:rsidP="001716D9">
            <w:pPr>
              <w:rPr>
                <w:b/>
                <w:bCs/>
                <w:sz w:val="16"/>
                <w:szCs w:val="16"/>
              </w:rPr>
            </w:pPr>
            <w:r w:rsidRPr="00E11FFB">
              <w:rPr>
                <w:b/>
                <w:bCs/>
                <w:sz w:val="16"/>
                <w:szCs w:val="16"/>
              </w:rPr>
              <w:t>Atteint</w:t>
            </w:r>
          </w:p>
        </w:tc>
        <w:tc>
          <w:tcPr>
            <w:tcW w:w="3330" w:type="dxa"/>
          </w:tcPr>
          <w:p w14:paraId="2307A84F" w14:textId="157DE06D" w:rsidR="001716D9" w:rsidRPr="00E11FFB" w:rsidRDefault="007E1774" w:rsidP="001716D9">
            <w:pPr>
              <w:rPr>
                <w:rFonts w:ascii="Avenir" w:eastAsia="Avenir" w:hAnsi="Avenir" w:cs="Avenir"/>
                <w:color w:val="000000"/>
                <w:sz w:val="16"/>
                <w:szCs w:val="16"/>
              </w:rPr>
            </w:pPr>
            <w:r w:rsidRPr="00E11FFB">
              <w:rPr>
                <w:rFonts w:ascii="Avenir" w:eastAsia="Avenir" w:hAnsi="Avenir" w:cs="Avenir"/>
                <w:color w:val="000000"/>
                <w:sz w:val="16"/>
                <w:szCs w:val="16"/>
              </w:rPr>
              <w:t>Vulgarisation de la politique agricole dans</w:t>
            </w:r>
            <w:r w:rsidR="00EF533E" w:rsidRPr="00E11FFB">
              <w:rPr>
                <w:rFonts w:ascii="Avenir" w:eastAsia="Avenir" w:hAnsi="Avenir" w:cs="Avenir"/>
                <w:color w:val="000000"/>
                <w:sz w:val="16"/>
                <w:szCs w:val="16"/>
              </w:rPr>
              <w:t xml:space="preserve"> d’autres </w:t>
            </w:r>
            <w:r w:rsidRPr="00E11FFB">
              <w:rPr>
                <w:rFonts w:ascii="Avenir" w:eastAsia="Avenir" w:hAnsi="Avenir" w:cs="Avenir"/>
                <w:color w:val="000000"/>
                <w:sz w:val="16"/>
                <w:szCs w:val="16"/>
              </w:rPr>
              <w:t>provinces additionnelles</w:t>
            </w:r>
            <w:r w:rsidR="00EF533E" w:rsidRPr="00E11FFB">
              <w:rPr>
                <w:rFonts w:ascii="Avenir" w:eastAsia="Avenir" w:hAnsi="Avenir" w:cs="Avenir"/>
                <w:color w:val="000000"/>
                <w:sz w:val="16"/>
                <w:szCs w:val="16"/>
              </w:rPr>
              <w:t xml:space="preserve"> non encore couvertes. </w:t>
            </w:r>
          </w:p>
        </w:tc>
      </w:tr>
      <w:tr w:rsidR="005B3B85" w:rsidRPr="00E11FFB" w14:paraId="155096EF" w14:textId="77777777" w:rsidTr="005B3B85">
        <w:trPr>
          <w:jc w:val="center"/>
        </w:trPr>
        <w:tc>
          <w:tcPr>
            <w:tcW w:w="2520" w:type="dxa"/>
            <w:vAlign w:val="center"/>
          </w:tcPr>
          <w:p w14:paraId="1C306439" w14:textId="6DE2C92C" w:rsidR="001716D9" w:rsidRPr="00E11FFB" w:rsidRDefault="001716D9" w:rsidP="004635EF">
            <w:pPr>
              <w:jc w:val="both"/>
              <w:rPr>
                <w:rFonts w:ascii="Avenir" w:eastAsia="Avenir" w:hAnsi="Avenir" w:cs="Avenir"/>
                <w:color w:val="000000"/>
                <w:sz w:val="16"/>
                <w:szCs w:val="16"/>
              </w:rPr>
            </w:pPr>
            <w:bookmarkStart w:id="13" w:name="_Hlk219108962"/>
            <w:r w:rsidRPr="00E11FFB">
              <w:rPr>
                <w:sz w:val="16"/>
                <w:szCs w:val="16"/>
              </w:rPr>
              <w:t>2.1.2: Promulguer la loi agricole révisée, et publier les textes et mesures d'application</w:t>
            </w:r>
          </w:p>
        </w:tc>
        <w:tc>
          <w:tcPr>
            <w:tcW w:w="720" w:type="dxa"/>
            <w:vMerge/>
            <w:vAlign w:val="center"/>
          </w:tcPr>
          <w:p w14:paraId="07819DE0" w14:textId="77777777" w:rsidR="001716D9" w:rsidRPr="00E11FFB" w:rsidRDefault="001716D9" w:rsidP="001716D9">
            <w:pPr>
              <w:rPr>
                <w:rFonts w:ascii="Avenir" w:eastAsia="Avenir" w:hAnsi="Avenir" w:cs="Avenir"/>
                <w:color w:val="000000"/>
                <w:sz w:val="16"/>
                <w:szCs w:val="16"/>
              </w:rPr>
            </w:pPr>
          </w:p>
        </w:tc>
        <w:tc>
          <w:tcPr>
            <w:tcW w:w="1345" w:type="dxa"/>
            <w:vAlign w:val="center"/>
          </w:tcPr>
          <w:p w14:paraId="12925293" w14:textId="3003EBF2" w:rsidR="001716D9" w:rsidRPr="00E11FFB" w:rsidRDefault="001716D9" w:rsidP="001716D9">
            <w:pPr>
              <w:rPr>
                <w:rFonts w:ascii="Avenir" w:eastAsia="Avenir" w:hAnsi="Avenir" w:cs="Avenir"/>
                <w:bCs/>
                <w:color w:val="000000"/>
                <w:sz w:val="16"/>
                <w:szCs w:val="16"/>
              </w:rPr>
            </w:pPr>
            <w:r w:rsidRPr="00E11FFB">
              <w:rPr>
                <w:rFonts w:ascii="Avenir" w:eastAsia="Avenir" w:hAnsi="Avenir" w:cs="Avenir"/>
                <w:b/>
                <w:color w:val="000000"/>
                <w:sz w:val="16"/>
                <w:szCs w:val="16"/>
              </w:rPr>
              <w:t>Du 01/06/2025 au 31/12/2025</w:t>
            </w:r>
          </w:p>
        </w:tc>
        <w:tc>
          <w:tcPr>
            <w:tcW w:w="2885" w:type="dxa"/>
            <w:vAlign w:val="center"/>
          </w:tcPr>
          <w:p w14:paraId="12768DB9" w14:textId="1F97A538" w:rsidR="001716D9" w:rsidRPr="00E11FFB" w:rsidRDefault="001716D9" w:rsidP="005B3B85">
            <w:pPr>
              <w:rPr>
                <w:rFonts w:ascii="Avenir" w:eastAsia="Avenir" w:hAnsi="Avenir" w:cs="Avenir"/>
                <w:bCs/>
                <w:color w:val="000000"/>
                <w:sz w:val="16"/>
                <w:szCs w:val="16"/>
              </w:rPr>
            </w:pPr>
            <w:r w:rsidRPr="00E11FFB">
              <w:rPr>
                <w:rFonts w:ascii="Avenir" w:eastAsia="Avenir" w:hAnsi="Avenir" w:cs="Avenir"/>
                <w:bCs/>
                <w:color w:val="000000"/>
                <w:sz w:val="16"/>
                <w:szCs w:val="16"/>
              </w:rPr>
              <w:t>Promulgation de la loi agricole révisée</w:t>
            </w:r>
          </w:p>
        </w:tc>
        <w:tc>
          <w:tcPr>
            <w:tcW w:w="2340" w:type="dxa"/>
          </w:tcPr>
          <w:p w14:paraId="6927AE26" w14:textId="261552F0" w:rsidR="001716D9" w:rsidRPr="00E11FFB" w:rsidRDefault="00EF533E"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Le draft de la loi agricole </w:t>
            </w:r>
            <w:r w:rsidR="0061742D" w:rsidRPr="00E11FFB">
              <w:rPr>
                <w:rFonts w:ascii="Avenir" w:eastAsia="Avenir" w:hAnsi="Avenir" w:cs="Avenir"/>
                <w:color w:val="000000"/>
                <w:sz w:val="16"/>
                <w:szCs w:val="16"/>
              </w:rPr>
              <w:t>révisée</w:t>
            </w:r>
            <w:r w:rsidRPr="00E11FFB">
              <w:rPr>
                <w:rFonts w:ascii="Avenir" w:eastAsia="Avenir" w:hAnsi="Avenir" w:cs="Avenir"/>
                <w:color w:val="000000"/>
                <w:sz w:val="16"/>
                <w:szCs w:val="16"/>
              </w:rPr>
              <w:t xml:space="preserve"> a été préparée par le ministre et soumise au </w:t>
            </w:r>
            <w:r w:rsidR="0061742D" w:rsidRPr="00E11FFB">
              <w:rPr>
                <w:rFonts w:ascii="Avenir" w:eastAsia="Avenir" w:hAnsi="Avenir" w:cs="Avenir"/>
                <w:color w:val="000000"/>
                <w:sz w:val="16"/>
                <w:szCs w:val="16"/>
              </w:rPr>
              <w:t>gouvernement</w:t>
            </w:r>
          </w:p>
        </w:tc>
        <w:tc>
          <w:tcPr>
            <w:tcW w:w="1620" w:type="dxa"/>
          </w:tcPr>
          <w:p w14:paraId="3250CDA2" w14:textId="11A2E8A5" w:rsidR="001716D9" w:rsidRPr="00E11FFB" w:rsidRDefault="008C0BA8" w:rsidP="001716D9">
            <w:pPr>
              <w:rPr>
                <w:b/>
                <w:bCs/>
                <w:sz w:val="16"/>
                <w:szCs w:val="16"/>
              </w:rPr>
            </w:pPr>
            <w:r w:rsidRPr="00E11FFB">
              <w:rPr>
                <w:b/>
                <w:bCs/>
                <w:sz w:val="16"/>
                <w:szCs w:val="16"/>
              </w:rPr>
              <w:t>En cours</w:t>
            </w:r>
          </w:p>
        </w:tc>
        <w:tc>
          <w:tcPr>
            <w:tcW w:w="3330" w:type="dxa"/>
          </w:tcPr>
          <w:p w14:paraId="60ED93EB" w14:textId="58B90AD9" w:rsidR="001716D9" w:rsidRPr="00E11FFB" w:rsidRDefault="0068019B"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Loi révisée promulguée par l’assemblée ou le gouvernement </w:t>
            </w:r>
          </w:p>
        </w:tc>
      </w:tr>
      <w:bookmarkEnd w:id="13"/>
      <w:tr w:rsidR="008C0BA8" w:rsidRPr="00E11FFB" w14:paraId="14A1F77F" w14:textId="77777777" w:rsidTr="005B3B85">
        <w:trPr>
          <w:jc w:val="center"/>
        </w:trPr>
        <w:tc>
          <w:tcPr>
            <w:tcW w:w="2520" w:type="dxa"/>
          </w:tcPr>
          <w:p w14:paraId="4FBB0C44" w14:textId="01219720" w:rsidR="008C0BA8" w:rsidRPr="00E11FFB" w:rsidRDefault="008C0BA8" w:rsidP="008C0BA8">
            <w:pPr>
              <w:rPr>
                <w:rFonts w:ascii="Avenir" w:eastAsia="Avenir" w:hAnsi="Avenir" w:cs="Avenir"/>
                <w:color w:val="000000"/>
                <w:sz w:val="16"/>
                <w:szCs w:val="16"/>
              </w:rPr>
            </w:pPr>
            <w:r w:rsidRPr="00E11FFB">
              <w:rPr>
                <w:sz w:val="16"/>
                <w:szCs w:val="16"/>
              </w:rPr>
              <w:t>2.2.1: Concevoir et opérationnaliser un pilote du cadastre agricole (orientation et information des acquéreurs potentiels).</w:t>
            </w:r>
          </w:p>
        </w:tc>
        <w:tc>
          <w:tcPr>
            <w:tcW w:w="720" w:type="dxa"/>
            <w:vMerge w:val="restart"/>
            <w:vAlign w:val="center"/>
          </w:tcPr>
          <w:p w14:paraId="55D26471" w14:textId="77777777" w:rsidR="008C0BA8" w:rsidRPr="00E11FFB" w:rsidRDefault="008C0BA8" w:rsidP="008C0BA8">
            <w:pPr>
              <w:rPr>
                <w:rFonts w:ascii="Avenir" w:eastAsia="Avenir" w:hAnsi="Avenir" w:cs="Avenir"/>
                <w:color w:val="000000"/>
                <w:sz w:val="16"/>
                <w:szCs w:val="16"/>
              </w:rPr>
            </w:pPr>
            <w:r w:rsidRPr="00E11FFB">
              <w:rPr>
                <w:rFonts w:ascii="Avenir" w:eastAsia="Avenir" w:hAnsi="Avenir" w:cs="Avenir"/>
                <w:color w:val="000000"/>
                <w:sz w:val="16"/>
                <w:szCs w:val="16"/>
              </w:rPr>
              <w:t>2.2</w:t>
            </w:r>
          </w:p>
        </w:tc>
        <w:tc>
          <w:tcPr>
            <w:tcW w:w="1345" w:type="dxa"/>
            <w:vAlign w:val="center"/>
          </w:tcPr>
          <w:p w14:paraId="036437CB" w14:textId="79909189" w:rsidR="008C0BA8" w:rsidRPr="00E11FFB" w:rsidRDefault="008C0BA8" w:rsidP="008C0BA8">
            <w:pPr>
              <w:rPr>
                <w:rFonts w:ascii="Avenir" w:eastAsia="Avenir" w:hAnsi="Avenir" w:cs="Avenir"/>
                <w:color w:val="000000"/>
                <w:sz w:val="16"/>
                <w:szCs w:val="16"/>
              </w:rPr>
            </w:pPr>
            <w:r w:rsidRPr="00E11FFB">
              <w:rPr>
                <w:rFonts w:ascii="Avenir" w:eastAsia="Avenir" w:hAnsi="Avenir" w:cs="Avenir"/>
                <w:b/>
                <w:color w:val="000000"/>
                <w:sz w:val="16"/>
                <w:szCs w:val="16"/>
              </w:rPr>
              <w:t>Du 01/06/2025 au 31/12/2025</w:t>
            </w:r>
          </w:p>
        </w:tc>
        <w:tc>
          <w:tcPr>
            <w:tcW w:w="2885" w:type="dxa"/>
            <w:vAlign w:val="center"/>
          </w:tcPr>
          <w:p w14:paraId="36BD1A13" w14:textId="77777777" w:rsidR="008C0BA8" w:rsidRPr="00E11FFB" w:rsidRDefault="008C0BA8" w:rsidP="008C0BA8">
            <w:pPr>
              <w:rPr>
                <w:rFonts w:ascii="Avenir" w:eastAsia="Avenir" w:hAnsi="Avenir" w:cs="Avenir"/>
                <w:color w:val="000000"/>
                <w:sz w:val="16"/>
                <w:szCs w:val="16"/>
              </w:rPr>
            </w:pPr>
            <w:r w:rsidRPr="00E11FFB">
              <w:rPr>
                <w:rFonts w:ascii="Avenir" w:eastAsia="Avenir" w:hAnsi="Avenir" w:cs="Avenir"/>
                <w:bCs/>
                <w:color w:val="000000"/>
                <w:sz w:val="16"/>
                <w:szCs w:val="16"/>
              </w:rPr>
              <w:t>1 pilote de cadastre Agricole</w:t>
            </w:r>
          </w:p>
        </w:tc>
        <w:tc>
          <w:tcPr>
            <w:tcW w:w="2340" w:type="dxa"/>
          </w:tcPr>
          <w:p w14:paraId="0F9E0EA4" w14:textId="698A80A2" w:rsidR="008C0BA8" w:rsidRPr="00E11FFB" w:rsidRDefault="008C0BA8" w:rsidP="008C0BA8">
            <w:pPr>
              <w:rPr>
                <w:rFonts w:ascii="Avenir" w:eastAsia="Avenir" w:hAnsi="Avenir" w:cs="Avenir"/>
                <w:color w:val="000000"/>
                <w:sz w:val="16"/>
                <w:szCs w:val="16"/>
              </w:rPr>
            </w:pPr>
            <w:bookmarkStart w:id="14" w:name="_Hlk219113311"/>
            <w:r w:rsidRPr="00E11FFB">
              <w:rPr>
                <w:rFonts w:ascii="Avenir" w:eastAsia="Avenir" w:hAnsi="Avenir" w:cs="Avenir"/>
                <w:color w:val="000000"/>
                <w:sz w:val="16"/>
                <w:szCs w:val="16"/>
              </w:rPr>
              <w:t>Le draft du rapport de cadastre agricole produit. Harmonisation avec les autres ministères pour la mise en place de cadastre agricole</w:t>
            </w:r>
            <w:bookmarkEnd w:id="14"/>
          </w:p>
        </w:tc>
        <w:tc>
          <w:tcPr>
            <w:tcW w:w="1620" w:type="dxa"/>
          </w:tcPr>
          <w:p w14:paraId="3DA464D9" w14:textId="008E9D91" w:rsidR="008C0BA8" w:rsidRPr="00E11FFB" w:rsidRDefault="008C0BA8" w:rsidP="008C0BA8">
            <w:pPr>
              <w:rPr>
                <w:b/>
                <w:bCs/>
                <w:sz w:val="16"/>
                <w:szCs w:val="16"/>
              </w:rPr>
            </w:pPr>
            <w:r w:rsidRPr="00E11FFB">
              <w:rPr>
                <w:b/>
                <w:bCs/>
                <w:sz w:val="16"/>
                <w:szCs w:val="16"/>
              </w:rPr>
              <w:t>En cours</w:t>
            </w:r>
          </w:p>
        </w:tc>
        <w:tc>
          <w:tcPr>
            <w:tcW w:w="3330" w:type="dxa"/>
          </w:tcPr>
          <w:p w14:paraId="66BDA64E" w14:textId="0D537EE4" w:rsidR="008C0BA8" w:rsidRPr="00E11FFB" w:rsidRDefault="008C0BA8" w:rsidP="008C0BA8">
            <w:pPr>
              <w:rPr>
                <w:rFonts w:ascii="Avenir" w:eastAsia="Avenir" w:hAnsi="Avenir" w:cs="Avenir"/>
                <w:color w:val="000000"/>
                <w:sz w:val="16"/>
                <w:szCs w:val="16"/>
              </w:rPr>
            </w:pPr>
            <w:r w:rsidRPr="00E11FFB">
              <w:rPr>
                <w:rFonts w:ascii="Avenir" w:eastAsia="Avenir" w:hAnsi="Avenir" w:cs="Avenir"/>
                <w:color w:val="000000"/>
                <w:sz w:val="16"/>
                <w:szCs w:val="16"/>
              </w:rPr>
              <w:t>Prise d’un acte juridique pour la mise en place du cadastre agricole</w:t>
            </w:r>
          </w:p>
        </w:tc>
      </w:tr>
      <w:tr w:rsidR="005B3B85" w:rsidRPr="00E11FFB" w14:paraId="588DE837" w14:textId="77777777" w:rsidTr="005B3B85">
        <w:trPr>
          <w:jc w:val="center"/>
        </w:trPr>
        <w:tc>
          <w:tcPr>
            <w:tcW w:w="2520" w:type="dxa"/>
          </w:tcPr>
          <w:p w14:paraId="24A091F7" w14:textId="3120CA49" w:rsidR="001716D9" w:rsidRPr="00E11FFB" w:rsidRDefault="001716D9" w:rsidP="005B3B85">
            <w:pPr>
              <w:rPr>
                <w:rFonts w:ascii="Avenir" w:eastAsia="Avenir" w:hAnsi="Avenir" w:cs="Avenir"/>
                <w:color w:val="000000"/>
                <w:sz w:val="16"/>
                <w:szCs w:val="16"/>
              </w:rPr>
            </w:pPr>
            <w:r w:rsidRPr="00E11FFB">
              <w:rPr>
                <w:sz w:val="16"/>
                <w:szCs w:val="16"/>
              </w:rPr>
              <w:t>2.2.2: Procéder à l'inventaire et à la revue légale des concessions agricoles rurales.</w:t>
            </w:r>
          </w:p>
        </w:tc>
        <w:tc>
          <w:tcPr>
            <w:tcW w:w="720" w:type="dxa"/>
            <w:vMerge/>
            <w:vAlign w:val="center"/>
          </w:tcPr>
          <w:p w14:paraId="3F0C6781" w14:textId="77777777" w:rsidR="001716D9" w:rsidRPr="00E11FFB" w:rsidRDefault="001716D9" w:rsidP="001716D9">
            <w:pPr>
              <w:rPr>
                <w:rFonts w:ascii="Avenir" w:eastAsia="Avenir" w:hAnsi="Avenir" w:cs="Avenir"/>
                <w:color w:val="000000"/>
                <w:sz w:val="16"/>
                <w:szCs w:val="16"/>
              </w:rPr>
            </w:pPr>
          </w:p>
        </w:tc>
        <w:tc>
          <w:tcPr>
            <w:tcW w:w="1345" w:type="dxa"/>
            <w:vAlign w:val="center"/>
          </w:tcPr>
          <w:p w14:paraId="59EB913C" w14:textId="2D04AB80" w:rsidR="001716D9" w:rsidRPr="00E11FFB" w:rsidRDefault="001716D9" w:rsidP="001716D9">
            <w:pPr>
              <w:rPr>
                <w:rFonts w:ascii="Avenir" w:eastAsia="Avenir" w:hAnsi="Avenir" w:cs="Avenir"/>
                <w:color w:val="000000"/>
                <w:sz w:val="16"/>
                <w:szCs w:val="16"/>
              </w:rPr>
            </w:pPr>
            <w:r w:rsidRPr="00E11FFB">
              <w:rPr>
                <w:rFonts w:ascii="Avenir" w:eastAsia="Avenir" w:hAnsi="Avenir" w:cs="Avenir"/>
                <w:b/>
                <w:color w:val="000000"/>
                <w:sz w:val="16"/>
                <w:szCs w:val="16"/>
              </w:rPr>
              <w:t>Du 01/06/2025 au 31/12/2025</w:t>
            </w:r>
          </w:p>
        </w:tc>
        <w:tc>
          <w:tcPr>
            <w:tcW w:w="2885" w:type="dxa"/>
            <w:vAlign w:val="center"/>
          </w:tcPr>
          <w:p w14:paraId="3D2F8EAD" w14:textId="77777777" w:rsidR="001716D9" w:rsidRPr="00E11FFB" w:rsidRDefault="001716D9" w:rsidP="005B3B85">
            <w:pPr>
              <w:rPr>
                <w:rFonts w:ascii="Avenir" w:eastAsia="Avenir" w:hAnsi="Avenir" w:cs="Avenir"/>
                <w:b/>
                <w:color w:val="000000"/>
                <w:sz w:val="16"/>
                <w:szCs w:val="16"/>
              </w:rPr>
            </w:pPr>
            <w:r w:rsidRPr="00E11FFB">
              <w:rPr>
                <w:rFonts w:ascii="Avenir" w:eastAsia="Avenir" w:hAnsi="Avenir" w:cs="Avenir"/>
                <w:bCs/>
                <w:color w:val="000000"/>
                <w:sz w:val="16"/>
                <w:szCs w:val="16"/>
              </w:rPr>
              <w:t>1 rapport d’inventaire</w:t>
            </w:r>
          </w:p>
        </w:tc>
        <w:tc>
          <w:tcPr>
            <w:tcW w:w="2340" w:type="dxa"/>
          </w:tcPr>
          <w:p w14:paraId="6481618E" w14:textId="397AB435" w:rsidR="001716D9" w:rsidRPr="00E11FFB" w:rsidRDefault="008C0BA8"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Listes provisoires </w:t>
            </w:r>
            <w:r w:rsidR="00862F3C" w:rsidRPr="00E11FFB">
              <w:rPr>
                <w:rFonts w:ascii="Avenir" w:eastAsia="Avenir" w:hAnsi="Avenir" w:cs="Avenir"/>
                <w:color w:val="000000"/>
                <w:sz w:val="16"/>
                <w:szCs w:val="16"/>
              </w:rPr>
              <w:t>des concessions agricoles,</w:t>
            </w:r>
            <w:r w:rsidR="00011120" w:rsidRPr="00E11FFB">
              <w:rPr>
                <w:rFonts w:ascii="Avenir" w:eastAsia="Avenir" w:hAnsi="Avenir" w:cs="Avenir"/>
                <w:color w:val="000000"/>
                <w:sz w:val="16"/>
                <w:szCs w:val="16"/>
              </w:rPr>
              <w:t xml:space="preserve"> Début de collecte de données sur les concessions dans deux provinces. </w:t>
            </w:r>
          </w:p>
        </w:tc>
        <w:tc>
          <w:tcPr>
            <w:tcW w:w="1620" w:type="dxa"/>
          </w:tcPr>
          <w:p w14:paraId="52887534" w14:textId="213951F2" w:rsidR="001716D9" w:rsidRPr="00E11FFB" w:rsidRDefault="00862F3C" w:rsidP="001716D9">
            <w:pPr>
              <w:rPr>
                <w:b/>
                <w:bCs/>
                <w:sz w:val="16"/>
                <w:szCs w:val="16"/>
              </w:rPr>
            </w:pPr>
            <w:r w:rsidRPr="00E11FFB">
              <w:rPr>
                <w:b/>
                <w:bCs/>
                <w:sz w:val="16"/>
                <w:szCs w:val="16"/>
              </w:rPr>
              <w:t>En cours</w:t>
            </w:r>
          </w:p>
        </w:tc>
        <w:tc>
          <w:tcPr>
            <w:tcW w:w="3330" w:type="dxa"/>
          </w:tcPr>
          <w:p w14:paraId="580525F4" w14:textId="1339F1A5" w:rsidR="001716D9" w:rsidRPr="00E11FFB" w:rsidRDefault="00862F3C"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Collecte de données et production du rapport de la revue légale des concessions agricoles, publication </w:t>
            </w:r>
            <w:r w:rsidR="00963B7B" w:rsidRPr="00E11FFB">
              <w:rPr>
                <w:rFonts w:ascii="Avenir" w:eastAsia="Avenir" w:hAnsi="Avenir" w:cs="Avenir"/>
                <w:color w:val="000000"/>
                <w:sz w:val="16"/>
                <w:szCs w:val="16"/>
              </w:rPr>
              <w:t>des contrats</w:t>
            </w:r>
            <w:r w:rsidRPr="00E11FFB">
              <w:rPr>
                <w:rFonts w:ascii="Avenir" w:eastAsia="Avenir" w:hAnsi="Avenir" w:cs="Avenir"/>
                <w:color w:val="000000"/>
                <w:sz w:val="16"/>
                <w:szCs w:val="16"/>
              </w:rPr>
              <w:t xml:space="preserve"> des concessions. </w:t>
            </w:r>
          </w:p>
        </w:tc>
      </w:tr>
      <w:tr w:rsidR="005B3B85" w:rsidRPr="00E11FFB" w14:paraId="3E26F427" w14:textId="77777777" w:rsidTr="005B3B85">
        <w:trPr>
          <w:jc w:val="center"/>
        </w:trPr>
        <w:tc>
          <w:tcPr>
            <w:tcW w:w="2520" w:type="dxa"/>
          </w:tcPr>
          <w:p w14:paraId="5712795E" w14:textId="55413EF1" w:rsidR="001716D9" w:rsidRPr="00E11FFB" w:rsidRDefault="001716D9" w:rsidP="005B3B85">
            <w:pPr>
              <w:rPr>
                <w:rFonts w:ascii="Avenir" w:eastAsia="Avenir" w:hAnsi="Avenir" w:cs="Avenir"/>
                <w:color w:val="000000"/>
                <w:sz w:val="16"/>
                <w:szCs w:val="16"/>
              </w:rPr>
            </w:pPr>
            <w:r w:rsidRPr="00E11FFB">
              <w:rPr>
                <w:sz w:val="16"/>
                <w:szCs w:val="16"/>
              </w:rPr>
              <w:t>2.2.3: Procéder à la publication des contrats des concessions agricoles sur le site du Ministère.</w:t>
            </w:r>
          </w:p>
        </w:tc>
        <w:tc>
          <w:tcPr>
            <w:tcW w:w="720" w:type="dxa"/>
            <w:vMerge/>
            <w:vAlign w:val="center"/>
          </w:tcPr>
          <w:p w14:paraId="7AC700DC" w14:textId="77777777" w:rsidR="001716D9" w:rsidRPr="00E11FFB" w:rsidRDefault="001716D9" w:rsidP="001716D9">
            <w:pPr>
              <w:rPr>
                <w:rFonts w:ascii="Avenir" w:eastAsia="Avenir" w:hAnsi="Avenir" w:cs="Avenir"/>
                <w:color w:val="000000"/>
                <w:sz w:val="16"/>
                <w:szCs w:val="16"/>
              </w:rPr>
            </w:pPr>
          </w:p>
        </w:tc>
        <w:tc>
          <w:tcPr>
            <w:tcW w:w="1345" w:type="dxa"/>
            <w:vAlign w:val="center"/>
          </w:tcPr>
          <w:p w14:paraId="3F78DF79" w14:textId="336EA2D3" w:rsidR="001716D9" w:rsidRPr="00E11FFB" w:rsidRDefault="001716D9" w:rsidP="001716D9">
            <w:pPr>
              <w:rPr>
                <w:rFonts w:ascii="Avenir" w:eastAsia="Avenir" w:hAnsi="Avenir" w:cs="Avenir"/>
                <w:color w:val="000000"/>
                <w:sz w:val="16"/>
                <w:szCs w:val="16"/>
              </w:rPr>
            </w:pPr>
            <w:r w:rsidRPr="00E11FFB">
              <w:rPr>
                <w:rFonts w:ascii="Avenir" w:eastAsia="Avenir" w:hAnsi="Avenir" w:cs="Avenir"/>
                <w:b/>
                <w:color w:val="000000"/>
                <w:sz w:val="16"/>
                <w:szCs w:val="16"/>
              </w:rPr>
              <w:t>Du 01/06/2025 au 31/12/2025</w:t>
            </w:r>
          </w:p>
        </w:tc>
        <w:tc>
          <w:tcPr>
            <w:tcW w:w="2885" w:type="dxa"/>
            <w:vAlign w:val="center"/>
          </w:tcPr>
          <w:p w14:paraId="1B21FFFF" w14:textId="77777777" w:rsidR="001716D9" w:rsidRPr="00E11FFB" w:rsidRDefault="001716D9" w:rsidP="005B3B85">
            <w:pPr>
              <w:rPr>
                <w:rFonts w:ascii="Avenir" w:eastAsia="Avenir" w:hAnsi="Avenir" w:cs="Avenir"/>
                <w:b/>
                <w:color w:val="000000"/>
                <w:sz w:val="16"/>
                <w:szCs w:val="16"/>
              </w:rPr>
            </w:pPr>
            <w:r w:rsidRPr="00E11FFB">
              <w:rPr>
                <w:color w:val="EE0000"/>
                <w:sz w:val="16"/>
                <w:szCs w:val="16"/>
              </w:rPr>
              <w:t>Pour mémoire</w:t>
            </w:r>
          </w:p>
        </w:tc>
        <w:tc>
          <w:tcPr>
            <w:tcW w:w="2340" w:type="dxa"/>
          </w:tcPr>
          <w:p w14:paraId="0266A7B7" w14:textId="1A28B64A" w:rsidR="001716D9" w:rsidRPr="00E11FFB" w:rsidRDefault="00862F3C" w:rsidP="001716D9">
            <w:pPr>
              <w:rPr>
                <w:rFonts w:ascii="Avenir" w:eastAsia="Avenir" w:hAnsi="Avenir" w:cs="Avenir"/>
                <w:color w:val="000000"/>
                <w:sz w:val="16"/>
                <w:szCs w:val="16"/>
                <w:highlight w:val="yellow"/>
              </w:rPr>
            </w:pPr>
            <w:r w:rsidRPr="00E7609D">
              <w:rPr>
                <w:rFonts w:ascii="Avenir" w:eastAsia="Avenir" w:hAnsi="Avenir" w:cs="Avenir"/>
                <w:color w:val="000000"/>
                <w:sz w:val="16"/>
                <w:szCs w:val="16"/>
              </w:rPr>
              <w:t>NA</w:t>
            </w:r>
          </w:p>
        </w:tc>
        <w:tc>
          <w:tcPr>
            <w:tcW w:w="1620" w:type="dxa"/>
          </w:tcPr>
          <w:p w14:paraId="373CD54C" w14:textId="3914F44C" w:rsidR="001716D9" w:rsidRPr="00E11FFB" w:rsidRDefault="00A22CF7" w:rsidP="001716D9">
            <w:pPr>
              <w:rPr>
                <w:b/>
                <w:bCs/>
                <w:sz w:val="16"/>
                <w:szCs w:val="16"/>
              </w:rPr>
            </w:pPr>
            <w:r w:rsidRPr="00E11FFB">
              <w:rPr>
                <w:b/>
                <w:bCs/>
                <w:sz w:val="16"/>
                <w:szCs w:val="16"/>
              </w:rPr>
              <w:t xml:space="preserve">Non entamé </w:t>
            </w:r>
          </w:p>
        </w:tc>
        <w:tc>
          <w:tcPr>
            <w:tcW w:w="3330" w:type="dxa"/>
          </w:tcPr>
          <w:p w14:paraId="33CF98D5" w14:textId="64EABCD6" w:rsidR="001716D9" w:rsidRPr="00E11FFB" w:rsidRDefault="001716D9" w:rsidP="001716D9">
            <w:pPr>
              <w:rPr>
                <w:rFonts w:ascii="Avenir" w:eastAsia="Avenir" w:hAnsi="Avenir" w:cs="Avenir"/>
                <w:color w:val="000000"/>
                <w:sz w:val="16"/>
                <w:szCs w:val="16"/>
              </w:rPr>
            </w:pPr>
          </w:p>
        </w:tc>
      </w:tr>
      <w:tr w:rsidR="005B3B85" w:rsidRPr="00E11FFB" w14:paraId="250D1100" w14:textId="77777777" w:rsidTr="005B3B85">
        <w:trPr>
          <w:jc w:val="center"/>
        </w:trPr>
        <w:tc>
          <w:tcPr>
            <w:tcW w:w="2520" w:type="dxa"/>
          </w:tcPr>
          <w:p w14:paraId="77714EA9" w14:textId="00292F9D" w:rsidR="001716D9" w:rsidRPr="00E11FFB" w:rsidRDefault="001716D9" w:rsidP="001716D9">
            <w:pPr>
              <w:rPr>
                <w:rFonts w:ascii="Avenir" w:eastAsia="Avenir" w:hAnsi="Avenir" w:cs="Avenir"/>
                <w:color w:val="000000"/>
                <w:sz w:val="16"/>
                <w:szCs w:val="16"/>
              </w:rPr>
            </w:pPr>
            <w:r w:rsidRPr="00E11FFB">
              <w:rPr>
                <w:sz w:val="16"/>
                <w:szCs w:val="16"/>
              </w:rPr>
              <w:t>2.3.1: Donner et suivre de manière transparente et participative des orientations pour le développement du secteur agricole en RDC (CCNA).</w:t>
            </w:r>
          </w:p>
        </w:tc>
        <w:tc>
          <w:tcPr>
            <w:tcW w:w="720" w:type="dxa"/>
            <w:vAlign w:val="center"/>
          </w:tcPr>
          <w:p w14:paraId="50E3A912" w14:textId="77777777" w:rsidR="001716D9" w:rsidRPr="00E11FFB" w:rsidRDefault="001716D9" w:rsidP="001716D9">
            <w:pPr>
              <w:rPr>
                <w:rFonts w:ascii="Avenir" w:eastAsia="Avenir" w:hAnsi="Avenir" w:cs="Avenir"/>
                <w:color w:val="000000"/>
                <w:sz w:val="16"/>
                <w:szCs w:val="16"/>
              </w:rPr>
            </w:pPr>
            <w:r w:rsidRPr="00E11FFB">
              <w:rPr>
                <w:rFonts w:ascii="Avenir" w:eastAsia="Avenir" w:hAnsi="Avenir" w:cs="Avenir"/>
                <w:color w:val="000000"/>
                <w:sz w:val="16"/>
                <w:szCs w:val="16"/>
              </w:rPr>
              <w:t>2.3</w:t>
            </w:r>
          </w:p>
        </w:tc>
        <w:tc>
          <w:tcPr>
            <w:tcW w:w="1345" w:type="dxa"/>
            <w:vAlign w:val="center"/>
          </w:tcPr>
          <w:p w14:paraId="48DA0529" w14:textId="2862E369" w:rsidR="001716D9" w:rsidRPr="00E11FFB" w:rsidRDefault="001716D9" w:rsidP="001716D9">
            <w:pPr>
              <w:rPr>
                <w:rFonts w:ascii="Avenir" w:eastAsia="Avenir" w:hAnsi="Avenir" w:cs="Avenir"/>
                <w:color w:val="000000"/>
                <w:sz w:val="16"/>
                <w:szCs w:val="16"/>
              </w:rPr>
            </w:pPr>
            <w:r w:rsidRPr="00E11FFB">
              <w:rPr>
                <w:rFonts w:ascii="Avenir" w:eastAsia="Avenir" w:hAnsi="Avenir" w:cs="Avenir"/>
                <w:b/>
                <w:color w:val="000000"/>
                <w:sz w:val="16"/>
                <w:szCs w:val="16"/>
              </w:rPr>
              <w:t>Du 01/07/2025 au 31/12/2025</w:t>
            </w:r>
          </w:p>
        </w:tc>
        <w:tc>
          <w:tcPr>
            <w:tcW w:w="2885" w:type="dxa"/>
            <w:vAlign w:val="center"/>
          </w:tcPr>
          <w:p w14:paraId="6F04C5C4" w14:textId="77777777" w:rsidR="001716D9" w:rsidRPr="00E11FFB" w:rsidRDefault="001716D9" w:rsidP="005B3B85">
            <w:pPr>
              <w:rPr>
                <w:rFonts w:ascii="Avenir" w:eastAsia="Avenir" w:hAnsi="Avenir" w:cs="Avenir"/>
                <w:b/>
                <w:color w:val="000000"/>
                <w:sz w:val="16"/>
                <w:szCs w:val="16"/>
              </w:rPr>
            </w:pPr>
            <w:r w:rsidRPr="00E11FFB">
              <w:rPr>
                <w:rFonts w:ascii="Avenir" w:eastAsia="Avenir" w:hAnsi="Avenir" w:cs="Avenir"/>
                <w:bCs/>
                <w:color w:val="000000"/>
                <w:sz w:val="16"/>
                <w:szCs w:val="16"/>
              </w:rPr>
              <w:t>3</w:t>
            </w:r>
            <w:r w:rsidRPr="00E11FFB">
              <w:rPr>
                <w:bCs/>
                <w:sz w:val="16"/>
                <w:szCs w:val="16"/>
              </w:rPr>
              <w:t xml:space="preserve"> </w:t>
            </w:r>
            <w:r w:rsidRPr="00E11FFB">
              <w:rPr>
                <w:sz w:val="16"/>
                <w:szCs w:val="16"/>
              </w:rPr>
              <w:t xml:space="preserve">orientations du développement agricole sont élaborées </w:t>
            </w:r>
          </w:p>
        </w:tc>
        <w:tc>
          <w:tcPr>
            <w:tcW w:w="2340" w:type="dxa"/>
          </w:tcPr>
          <w:p w14:paraId="2523E22C" w14:textId="6581FD48" w:rsidR="001716D9" w:rsidRPr="00E11FFB" w:rsidRDefault="001716D9" w:rsidP="00707DD1">
            <w:pPr>
              <w:rPr>
                <w:rFonts w:ascii="Avenir" w:eastAsia="Avenir" w:hAnsi="Avenir" w:cs="Avenir"/>
                <w:bCs/>
                <w:color w:val="000000"/>
                <w:sz w:val="16"/>
                <w:szCs w:val="16"/>
              </w:rPr>
            </w:pPr>
          </w:p>
        </w:tc>
        <w:tc>
          <w:tcPr>
            <w:tcW w:w="1620" w:type="dxa"/>
          </w:tcPr>
          <w:p w14:paraId="6CA87019" w14:textId="37C8AE92" w:rsidR="001716D9" w:rsidRPr="00E11FFB" w:rsidRDefault="00A22CF7" w:rsidP="001716D9">
            <w:pPr>
              <w:rPr>
                <w:b/>
                <w:bCs/>
                <w:sz w:val="16"/>
                <w:szCs w:val="16"/>
              </w:rPr>
            </w:pPr>
            <w:r w:rsidRPr="00E11FFB">
              <w:rPr>
                <w:b/>
                <w:bCs/>
                <w:sz w:val="16"/>
                <w:szCs w:val="16"/>
              </w:rPr>
              <w:t>Non entamé</w:t>
            </w:r>
          </w:p>
        </w:tc>
        <w:tc>
          <w:tcPr>
            <w:tcW w:w="3330" w:type="dxa"/>
          </w:tcPr>
          <w:p w14:paraId="14E15F2D" w14:textId="5D86133A" w:rsidR="001716D9" w:rsidRPr="00E11FFB" w:rsidRDefault="00707DD1" w:rsidP="001716D9">
            <w:pPr>
              <w:rPr>
                <w:rFonts w:ascii="Avenir" w:eastAsia="Avenir" w:hAnsi="Avenir" w:cs="Avenir"/>
                <w:color w:val="000000"/>
                <w:sz w:val="16"/>
                <w:szCs w:val="16"/>
              </w:rPr>
            </w:pPr>
            <w:r w:rsidRPr="00E11FFB">
              <w:rPr>
                <w:rFonts w:ascii="Avenir" w:eastAsia="Avenir" w:hAnsi="Avenir" w:cs="Avenir"/>
                <w:color w:val="000000"/>
                <w:sz w:val="16"/>
                <w:szCs w:val="16"/>
              </w:rPr>
              <w:t>Réunion prévue au T3 (fonds disponible entre janvier mars 2026)</w:t>
            </w:r>
          </w:p>
        </w:tc>
      </w:tr>
      <w:tr w:rsidR="005B3B85" w:rsidRPr="00E11FFB" w14:paraId="06CA435C" w14:textId="77777777" w:rsidTr="005B3B85">
        <w:trPr>
          <w:jc w:val="center"/>
        </w:trPr>
        <w:tc>
          <w:tcPr>
            <w:tcW w:w="2520" w:type="dxa"/>
          </w:tcPr>
          <w:p w14:paraId="0151E3B4" w14:textId="609DBC04" w:rsidR="001716D9" w:rsidRPr="00E11FFB" w:rsidRDefault="001716D9" w:rsidP="001716D9">
            <w:pPr>
              <w:rPr>
                <w:rFonts w:ascii="Avenir" w:eastAsia="Avenir" w:hAnsi="Avenir" w:cs="Avenir"/>
                <w:color w:val="000000"/>
                <w:sz w:val="16"/>
                <w:szCs w:val="16"/>
              </w:rPr>
            </w:pPr>
            <w:r w:rsidRPr="00E11FFB">
              <w:rPr>
                <w:sz w:val="16"/>
                <w:szCs w:val="16"/>
              </w:rPr>
              <w:t>2.4.1: Définir l'agriculture de taille intermédiaire (type familial).</w:t>
            </w:r>
          </w:p>
        </w:tc>
        <w:tc>
          <w:tcPr>
            <w:tcW w:w="720" w:type="dxa"/>
            <w:vMerge w:val="restart"/>
            <w:vAlign w:val="center"/>
          </w:tcPr>
          <w:p w14:paraId="3D99146E" w14:textId="77777777" w:rsidR="001716D9" w:rsidRPr="00E11FFB" w:rsidRDefault="001716D9" w:rsidP="001716D9">
            <w:pPr>
              <w:rPr>
                <w:rFonts w:ascii="Avenir" w:eastAsia="Avenir" w:hAnsi="Avenir" w:cs="Avenir"/>
                <w:color w:val="000000"/>
                <w:sz w:val="16"/>
                <w:szCs w:val="16"/>
              </w:rPr>
            </w:pPr>
            <w:r w:rsidRPr="00E11FFB">
              <w:rPr>
                <w:rFonts w:ascii="Avenir" w:eastAsia="Avenir" w:hAnsi="Avenir" w:cs="Avenir"/>
                <w:color w:val="000000"/>
                <w:sz w:val="16"/>
                <w:szCs w:val="16"/>
              </w:rPr>
              <w:t>2.4</w:t>
            </w:r>
          </w:p>
          <w:p w14:paraId="34B1A7F7" w14:textId="77777777" w:rsidR="001716D9" w:rsidRPr="00E11FFB" w:rsidRDefault="001716D9" w:rsidP="001716D9">
            <w:pPr>
              <w:rPr>
                <w:rFonts w:ascii="Avenir" w:eastAsia="Avenir" w:hAnsi="Avenir" w:cs="Avenir"/>
                <w:color w:val="000000"/>
                <w:sz w:val="16"/>
                <w:szCs w:val="16"/>
              </w:rPr>
            </w:pPr>
          </w:p>
        </w:tc>
        <w:tc>
          <w:tcPr>
            <w:tcW w:w="1345" w:type="dxa"/>
            <w:vAlign w:val="center"/>
          </w:tcPr>
          <w:p w14:paraId="1E85722B" w14:textId="3D6E1D6D" w:rsidR="001716D9" w:rsidRPr="00E11FFB" w:rsidRDefault="001716D9" w:rsidP="001716D9">
            <w:pPr>
              <w:rPr>
                <w:rFonts w:ascii="Avenir" w:eastAsia="Avenir" w:hAnsi="Avenir" w:cs="Avenir"/>
                <w:color w:val="000000"/>
                <w:sz w:val="16"/>
                <w:szCs w:val="16"/>
              </w:rPr>
            </w:pPr>
            <w:r w:rsidRPr="00E11FFB">
              <w:rPr>
                <w:rFonts w:ascii="Avenir" w:eastAsia="Avenir" w:hAnsi="Avenir" w:cs="Avenir"/>
                <w:b/>
                <w:color w:val="000000"/>
                <w:sz w:val="16"/>
                <w:szCs w:val="16"/>
              </w:rPr>
              <w:t>Du 01/07/2025 au 31/12/2025</w:t>
            </w:r>
          </w:p>
        </w:tc>
        <w:tc>
          <w:tcPr>
            <w:tcW w:w="2885" w:type="dxa"/>
            <w:vAlign w:val="center"/>
          </w:tcPr>
          <w:p w14:paraId="0079A162" w14:textId="77777777" w:rsidR="001716D9" w:rsidRPr="00E11FFB" w:rsidRDefault="001716D9" w:rsidP="005B3B85">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Etude réalisé dans 3 provinces </w:t>
            </w:r>
          </w:p>
        </w:tc>
        <w:tc>
          <w:tcPr>
            <w:tcW w:w="2340" w:type="dxa"/>
          </w:tcPr>
          <w:p w14:paraId="5530E433" w14:textId="54CF5D18" w:rsidR="001716D9" w:rsidRPr="00E11FFB" w:rsidRDefault="00F16E8C" w:rsidP="001716D9">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Etude réalisées dans </w:t>
            </w:r>
            <w:r w:rsidR="002A5224" w:rsidRPr="00E11FFB">
              <w:rPr>
                <w:rFonts w:ascii="Avenir" w:eastAsia="Avenir" w:hAnsi="Avenir" w:cs="Avenir"/>
                <w:bCs/>
                <w:color w:val="000000"/>
                <w:sz w:val="16"/>
                <w:szCs w:val="16"/>
              </w:rPr>
              <w:t xml:space="preserve">3 </w:t>
            </w:r>
            <w:r w:rsidRPr="00E11FFB">
              <w:rPr>
                <w:rFonts w:ascii="Avenir" w:eastAsia="Avenir" w:hAnsi="Avenir" w:cs="Avenir"/>
                <w:bCs/>
                <w:color w:val="000000"/>
                <w:sz w:val="16"/>
                <w:szCs w:val="16"/>
              </w:rPr>
              <w:t>provinces (Tshopo, Kasai Orientale et Kongo central)</w:t>
            </w:r>
          </w:p>
        </w:tc>
        <w:tc>
          <w:tcPr>
            <w:tcW w:w="1620" w:type="dxa"/>
          </w:tcPr>
          <w:p w14:paraId="4FAF49D3" w14:textId="5E27F1C3" w:rsidR="001716D9" w:rsidRPr="00E11FFB" w:rsidRDefault="00A22CF7" w:rsidP="001716D9">
            <w:pPr>
              <w:rPr>
                <w:b/>
                <w:bCs/>
                <w:sz w:val="16"/>
                <w:szCs w:val="16"/>
              </w:rPr>
            </w:pPr>
            <w:r w:rsidRPr="00E11FFB">
              <w:rPr>
                <w:b/>
                <w:bCs/>
                <w:sz w:val="16"/>
                <w:szCs w:val="16"/>
              </w:rPr>
              <w:t>En cours</w:t>
            </w:r>
          </w:p>
        </w:tc>
        <w:tc>
          <w:tcPr>
            <w:tcW w:w="3330" w:type="dxa"/>
          </w:tcPr>
          <w:p w14:paraId="12B00C08" w14:textId="42CE1205" w:rsidR="001716D9" w:rsidRPr="00E11FFB" w:rsidRDefault="00F16E8C" w:rsidP="001716D9">
            <w:pPr>
              <w:rPr>
                <w:rFonts w:ascii="Avenir" w:eastAsia="Avenir" w:hAnsi="Avenir" w:cs="Avenir"/>
                <w:color w:val="000000"/>
                <w:sz w:val="16"/>
                <w:szCs w:val="16"/>
              </w:rPr>
            </w:pPr>
            <w:r w:rsidRPr="00E11FFB">
              <w:rPr>
                <w:rFonts w:ascii="Calibri" w:hAnsi="Calibri" w:cs="Calibri"/>
                <w:sz w:val="18"/>
                <w:szCs w:val="18"/>
                <w:lang w:eastAsia="fr-CD"/>
              </w:rPr>
              <w:t>Atelier de national de validation de la définition</w:t>
            </w:r>
          </w:p>
        </w:tc>
      </w:tr>
      <w:tr w:rsidR="005B3B85" w:rsidRPr="00E11FFB" w14:paraId="0A0ADF6F" w14:textId="77777777" w:rsidTr="005B3B85">
        <w:trPr>
          <w:jc w:val="center"/>
        </w:trPr>
        <w:tc>
          <w:tcPr>
            <w:tcW w:w="2520" w:type="dxa"/>
          </w:tcPr>
          <w:p w14:paraId="1886D998" w14:textId="44029ADA" w:rsidR="001716D9" w:rsidRPr="00E11FFB" w:rsidRDefault="001716D9" w:rsidP="005B3B85">
            <w:pPr>
              <w:rPr>
                <w:rFonts w:ascii="Avenir" w:eastAsia="Avenir" w:hAnsi="Avenir" w:cs="Avenir"/>
                <w:color w:val="000000"/>
                <w:sz w:val="16"/>
                <w:szCs w:val="16"/>
              </w:rPr>
            </w:pPr>
            <w:r w:rsidRPr="00E11FFB">
              <w:rPr>
                <w:sz w:val="16"/>
                <w:szCs w:val="16"/>
              </w:rPr>
              <w:t>2.4.2: Réaliser des études sur les potentiels provinciaux de l'agriculture de taille moyenne.</w:t>
            </w:r>
          </w:p>
        </w:tc>
        <w:tc>
          <w:tcPr>
            <w:tcW w:w="720" w:type="dxa"/>
            <w:vMerge/>
            <w:vAlign w:val="center"/>
          </w:tcPr>
          <w:p w14:paraId="08566667" w14:textId="77777777" w:rsidR="001716D9" w:rsidRPr="00E11FFB" w:rsidRDefault="001716D9" w:rsidP="001716D9">
            <w:pPr>
              <w:rPr>
                <w:rFonts w:ascii="Avenir" w:eastAsia="Avenir" w:hAnsi="Avenir" w:cs="Avenir"/>
                <w:color w:val="000000"/>
                <w:sz w:val="16"/>
                <w:szCs w:val="16"/>
              </w:rPr>
            </w:pPr>
          </w:p>
        </w:tc>
        <w:tc>
          <w:tcPr>
            <w:tcW w:w="1345" w:type="dxa"/>
            <w:vAlign w:val="center"/>
          </w:tcPr>
          <w:p w14:paraId="75A32A26" w14:textId="3ED6CB3C" w:rsidR="001716D9" w:rsidRPr="00E11FFB" w:rsidRDefault="001716D9" w:rsidP="001716D9">
            <w:pPr>
              <w:rPr>
                <w:rFonts w:ascii="Avenir" w:eastAsia="Avenir" w:hAnsi="Avenir" w:cs="Avenir"/>
                <w:color w:val="000000"/>
                <w:sz w:val="16"/>
                <w:szCs w:val="16"/>
              </w:rPr>
            </w:pPr>
            <w:r w:rsidRPr="00E11FFB">
              <w:rPr>
                <w:rFonts w:ascii="Avenir" w:eastAsia="Avenir" w:hAnsi="Avenir" w:cs="Avenir"/>
                <w:b/>
                <w:color w:val="000000"/>
                <w:sz w:val="16"/>
                <w:szCs w:val="16"/>
              </w:rPr>
              <w:t>Du 01/07/2025 au 31/12/2025</w:t>
            </w:r>
          </w:p>
        </w:tc>
        <w:tc>
          <w:tcPr>
            <w:tcW w:w="2885" w:type="dxa"/>
            <w:vAlign w:val="center"/>
          </w:tcPr>
          <w:p w14:paraId="0F94DE81" w14:textId="77777777" w:rsidR="001716D9" w:rsidRPr="00E11FFB" w:rsidRDefault="001716D9" w:rsidP="005B3B85">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2 cartographies du potentiel de production agricole durable  </w:t>
            </w:r>
          </w:p>
        </w:tc>
        <w:tc>
          <w:tcPr>
            <w:tcW w:w="2340" w:type="dxa"/>
          </w:tcPr>
          <w:p w14:paraId="5D28C783" w14:textId="286B9D65" w:rsidR="001716D9" w:rsidRPr="00E11FFB" w:rsidRDefault="00963B7B" w:rsidP="001716D9">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Etude réalisée dans </w:t>
            </w:r>
            <w:r w:rsidR="002A5224" w:rsidRPr="00E11FFB">
              <w:rPr>
                <w:rFonts w:ascii="Avenir" w:eastAsia="Avenir" w:hAnsi="Avenir" w:cs="Avenir"/>
                <w:bCs/>
                <w:color w:val="000000"/>
                <w:sz w:val="16"/>
                <w:szCs w:val="16"/>
              </w:rPr>
              <w:t xml:space="preserve">4 </w:t>
            </w:r>
            <w:r w:rsidRPr="00E11FFB">
              <w:rPr>
                <w:rFonts w:ascii="Avenir" w:eastAsia="Avenir" w:hAnsi="Avenir" w:cs="Avenir"/>
                <w:bCs/>
                <w:color w:val="000000"/>
                <w:sz w:val="16"/>
                <w:szCs w:val="16"/>
              </w:rPr>
              <w:t>provinces</w:t>
            </w:r>
          </w:p>
        </w:tc>
        <w:tc>
          <w:tcPr>
            <w:tcW w:w="1620" w:type="dxa"/>
          </w:tcPr>
          <w:p w14:paraId="007AE5D4" w14:textId="34E3C5A0" w:rsidR="001716D9" w:rsidRPr="00E11FFB" w:rsidRDefault="00A22CF7" w:rsidP="001716D9">
            <w:pPr>
              <w:rPr>
                <w:b/>
                <w:bCs/>
                <w:sz w:val="16"/>
                <w:szCs w:val="16"/>
              </w:rPr>
            </w:pPr>
            <w:r w:rsidRPr="00E11FFB">
              <w:rPr>
                <w:b/>
                <w:bCs/>
                <w:sz w:val="16"/>
                <w:szCs w:val="16"/>
              </w:rPr>
              <w:t>Atteinte</w:t>
            </w:r>
          </w:p>
        </w:tc>
        <w:tc>
          <w:tcPr>
            <w:tcW w:w="3330" w:type="dxa"/>
          </w:tcPr>
          <w:p w14:paraId="05CFA573" w14:textId="15685330" w:rsidR="001716D9" w:rsidRPr="00E11FFB" w:rsidRDefault="00963B7B"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Etude planifier pour 2 autres provinces et les ateliers de restitution dans les provinces concernées. </w:t>
            </w:r>
          </w:p>
        </w:tc>
      </w:tr>
      <w:tr w:rsidR="005B3B85" w:rsidRPr="00E11FFB" w14:paraId="34B3D727" w14:textId="77777777" w:rsidTr="005B3B85">
        <w:trPr>
          <w:jc w:val="center"/>
        </w:trPr>
        <w:tc>
          <w:tcPr>
            <w:tcW w:w="2520" w:type="dxa"/>
          </w:tcPr>
          <w:p w14:paraId="5E2A5C34" w14:textId="6AA2E302" w:rsidR="001716D9" w:rsidRPr="00E11FFB" w:rsidRDefault="001716D9" w:rsidP="001716D9">
            <w:pPr>
              <w:rPr>
                <w:rFonts w:ascii="Avenir" w:eastAsia="Avenir" w:hAnsi="Avenir" w:cs="Avenir"/>
                <w:color w:val="000000"/>
                <w:sz w:val="16"/>
                <w:szCs w:val="16"/>
              </w:rPr>
            </w:pPr>
            <w:r w:rsidRPr="00E11FFB">
              <w:rPr>
                <w:sz w:val="16"/>
                <w:szCs w:val="16"/>
              </w:rPr>
              <w:t>2.5.1: Notifications et informations formelles des partenaires au développement et les Gouverneurs de Province d’assurer la cohérence entre, d’une part, les programmes d’aide publique au développement et les programmes provinciaux incluant les investissements publics et privés et, d’autre part, les orientations de la Politique agricole nationale ainsi que les prescriptions des Schémas/Plans d’AT.</w:t>
            </w:r>
          </w:p>
        </w:tc>
        <w:tc>
          <w:tcPr>
            <w:tcW w:w="720" w:type="dxa"/>
            <w:vAlign w:val="center"/>
          </w:tcPr>
          <w:p w14:paraId="1A201E47" w14:textId="77777777" w:rsidR="001716D9" w:rsidRPr="00E11FFB" w:rsidRDefault="001716D9" w:rsidP="001716D9">
            <w:pPr>
              <w:rPr>
                <w:rFonts w:ascii="Avenir" w:eastAsia="Avenir" w:hAnsi="Avenir" w:cs="Avenir"/>
                <w:color w:val="000000"/>
                <w:sz w:val="16"/>
                <w:szCs w:val="16"/>
              </w:rPr>
            </w:pPr>
            <w:r w:rsidRPr="00E11FFB">
              <w:rPr>
                <w:rFonts w:ascii="Avenir" w:eastAsia="Avenir" w:hAnsi="Avenir" w:cs="Avenir"/>
                <w:color w:val="000000"/>
                <w:sz w:val="16"/>
                <w:szCs w:val="16"/>
              </w:rPr>
              <w:t>2.5</w:t>
            </w:r>
          </w:p>
        </w:tc>
        <w:tc>
          <w:tcPr>
            <w:tcW w:w="1345" w:type="dxa"/>
            <w:vAlign w:val="center"/>
          </w:tcPr>
          <w:p w14:paraId="5D36383F" w14:textId="2D4BB60A" w:rsidR="001716D9" w:rsidRPr="00E11FFB" w:rsidRDefault="001716D9" w:rsidP="001716D9">
            <w:pPr>
              <w:rPr>
                <w:rFonts w:ascii="Avenir" w:eastAsia="Avenir" w:hAnsi="Avenir" w:cs="Avenir"/>
                <w:b/>
                <w:color w:val="000000"/>
                <w:sz w:val="16"/>
                <w:szCs w:val="16"/>
              </w:rPr>
            </w:pPr>
            <w:r w:rsidRPr="00E11FFB">
              <w:rPr>
                <w:rFonts w:ascii="Avenir" w:eastAsia="Avenir" w:hAnsi="Avenir" w:cs="Avenir"/>
                <w:b/>
                <w:color w:val="000000"/>
                <w:sz w:val="16"/>
                <w:szCs w:val="16"/>
              </w:rPr>
              <w:t>Du 01/07/2025 au 31/12/2025</w:t>
            </w:r>
          </w:p>
        </w:tc>
        <w:tc>
          <w:tcPr>
            <w:tcW w:w="2885" w:type="dxa"/>
            <w:vAlign w:val="center"/>
          </w:tcPr>
          <w:p w14:paraId="0418BA68" w14:textId="10D967CF" w:rsidR="001716D9" w:rsidRPr="00E11FFB" w:rsidRDefault="001716D9" w:rsidP="00A22CF7">
            <w:pPr>
              <w:rPr>
                <w:rFonts w:ascii="Avenir" w:eastAsia="Avenir" w:hAnsi="Avenir" w:cs="Avenir"/>
                <w:bCs/>
                <w:color w:val="000000"/>
                <w:sz w:val="16"/>
                <w:szCs w:val="16"/>
              </w:rPr>
            </w:pPr>
            <w:r w:rsidRPr="00E11FFB">
              <w:rPr>
                <w:rFonts w:ascii="Avenir" w:eastAsia="Avenir" w:hAnsi="Avenir" w:cs="Avenir"/>
                <w:bCs/>
                <w:color w:val="000000"/>
                <w:sz w:val="16"/>
                <w:szCs w:val="16"/>
              </w:rPr>
              <w:t>Notifications et informations adressés aux gouverneurs des 26 provinces</w:t>
            </w:r>
          </w:p>
        </w:tc>
        <w:tc>
          <w:tcPr>
            <w:tcW w:w="2340" w:type="dxa"/>
          </w:tcPr>
          <w:p w14:paraId="43B3E260" w14:textId="4E1CB7DF" w:rsidR="001716D9" w:rsidRPr="00E11FFB" w:rsidRDefault="008210AE" w:rsidP="00A22CF7">
            <w:pPr>
              <w:rPr>
                <w:rFonts w:ascii="Avenir" w:eastAsia="Avenir" w:hAnsi="Avenir" w:cs="Avenir"/>
                <w:bCs/>
                <w:color w:val="000000"/>
                <w:sz w:val="16"/>
                <w:szCs w:val="16"/>
              </w:rPr>
            </w:pPr>
            <w:r w:rsidRPr="00E11FFB">
              <w:rPr>
                <w:rFonts w:ascii="Avenir" w:eastAsia="Avenir" w:hAnsi="Avenir" w:cs="Avenir"/>
                <w:bCs/>
                <w:color w:val="000000"/>
                <w:sz w:val="16"/>
                <w:szCs w:val="16"/>
              </w:rPr>
              <w:t>Draft de la lettre au gouverneur préparé</w:t>
            </w:r>
          </w:p>
        </w:tc>
        <w:tc>
          <w:tcPr>
            <w:tcW w:w="1620" w:type="dxa"/>
          </w:tcPr>
          <w:p w14:paraId="6700585C" w14:textId="517BAE45" w:rsidR="001716D9" w:rsidRPr="00E11FFB" w:rsidRDefault="00A22CF7" w:rsidP="001716D9">
            <w:pPr>
              <w:rPr>
                <w:b/>
                <w:bCs/>
                <w:sz w:val="16"/>
                <w:szCs w:val="16"/>
              </w:rPr>
            </w:pPr>
            <w:r w:rsidRPr="00E11FFB">
              <w:rPr>
                <w:b/>
                <w:bCs/>
                <w:sz w:val="16"/>
                <w:szCs w:val="16"/>
              </w:rPr>
              <w:t>En cours</w:t>
            </w:r>
          </w:p>
        </w:tc>
        <w:tc>
          <w:tcPr>
            <w:tcW w:w="3330" w:type="dxa"/>
          </w:tcPr>
          <w:p w14:paraId="134AB94F" w14:textId="7D24F7B7" w:rsidR="001716D9" w:rsidRPr="00E11FFB" w:rsidRDefault="00F403BE" w:rsidP="001716D9">
            <w:pPr>
              <w:rPr>
                <w:rFonts w:ascii="Avenir" w:eastAsia="Avenir" w:hAnsi="Avenir" w:cs="Avenir"/>
                <w:color w:val="000000"/>
                <w:sz w:val="16"/>
                <w:szCs w:val="16"/>
              </w:rPr>
            </w:pPr>
            <w:r w:rsidRPr="00E11FFB">
              <w:rPr>
                <w:rFonts w:ascii="Avenir" w:eastAsia="Avenir" w:hAnsi="Avenir" w:cs="Avenir"/>
                <w:color w:val="000000"/>
                <w:sz w:val="16"/>
                <w:szCs w:val="16"/>
              </w:rPr>
              <w:t>2</w:t>
            </w:r>
            <w:r w:rsidRPr="00E11FFB">
              <w:rPr>
                <w:rFonts w:ascii="Avenir" w:eastAsia="Avenir" w:hAnsi="Avenir" w:cs="Avenir"/>
                <w:color w:val="000000"/>
                <w:sz w:val="16"/>
                <w:szCs w:val="16"/>
                <w:vertAlign w:val="superscript"/>
              </w:rPr>
              <w:t>ième</w:t>
            </w:r>
            <w:r w:rsidRPr="00E11FFB">
              <w:rPr>
                <w:rFonts w:ascii="Avenir" w:eastAsia="Avenir" w:hAnsi="Avenir" w:cs="Avenir"/>
                <w:color w:val="000000"/>
                <w:sz w:val="16"/>
                <w:szCs w:val="16"/>
              </w:rPr>
              <w:t xml:space="preserve"> atelier national de sensibilisation incluant les Partenaires techniques et financiers. </w:t>
            </w:r>
            <w:r w:rsidR="002A5224" w:rsidRPr="00E11FFB">
              <w:rPr>
                <w:rFonts w:ascii="Avenir" w:eastAsia="Avenir" w:hAnsi="Avenir" w:cs="Avenir"/>
                <w:bCs/>
                <w:color w:val="000000"/>
                <w:sz w:val="16"/>
                <w:szCs w:val="16"/>
              </w:rPr>
              <w:t xml:space="preserve">Atelier avec les ministres provinciaux et les inspecteurs d’agriculture aligé au T3 </w:t>
            </w:r>
          </w:p>
        </w:tc>
      </w:tr>
      <w:tr w:rsidR="005B3B85" w:rsidRPr="00E11FFB" w14:paraId="50D7C3B3" w14:textId="77777777" w:rsidTr="005B3B85">
        <w:trPr>
          <w:jc w:val="center"/>
        </w:trPr>
        <w:tc>
          <w:tcPr>
            <w:tcW w:w="2520" w:type="dxa"/>
          </w:tcPr>
          <w:p w14:paraId="7251C9A2" w14:textId="2A8332D4" w:rsidR="001716D9" w:rsidRPr="00E11FFB" w:rsidRDefault="001716D9" w:rsidP="001716D9">
            <w:pPr>
              <w:rPr>
                <w:rFonts w:ascii="Avenir" w:eastAsia="Avenir" w:hAnsi="Avenir" w:cs="Avenir"/>
                <w:color w:val="000000"/>
                <w:sz w:val="16"/>
                <w:szCs w:val="16"/>
              </w:rPr>
            </w:pPr>
            <w:r w:rsidRPr="00E11FFB">
              <w:rPr>
                <w:sz w:val="16"/>
                <w:szCs w:val="16"/>
              </w:rPr>
              <w:t>2.6.1: Plaidoyers pour augmenter graduellement l’allocation et l’exécution budgétaires domestiques au secteur de l’agriculture</w:t>
            </w:r>
          </w:p>
        </w:tc>
        <w:tc>
          <w:tcPr>
            <w:tcW w:w="720" w:type="dxa"/>
            <w:vAlign w:val="center"/>
          </w:tcPr>
          <w:p w14:paraId="46B13D38" w14:textId="77777777" w:rsidR="001716D9" w:rsidRPr="00E11FFB" w:rsidRDefault="001716D9" w:rsidP="001716D9">
            <w:pPr>
              <w:rPr>
                <w:rFonts w:ascii="Avenir" w:eastAsia="Avenir" w:hAnsi="Avenir" w:cs="Avenir"/>
                <w:color w:val="000000"/>
                <w:sz w:val="16"/>
                <w:szCs w:val="16"/>
              </w:rPr>
            </w:pPr>
            <w:r w:rsidRPr="00E11FFB">
              <w:rPr>
                <w:rFonts w:ascii="Avenir" w:eastAsia="Avenir" w:hAnsi="Avenir" w:cs="Avenir"/>
                <w:color w:val="000000"/>
                <w:sz w:val="16"/>
                <w:szCs w:val="16"/>
              </w:rPr>
              <w:t>2.6</w:t>
            </w:r>
          </w:p>
        </w:tc>
        <w:tc>
          <w:tcPr>
            <w:tcW w:w="1345" w:type="dxa"/>
            <w:vAlign w:val="center"/>
          </w:tcPr>
          <w:p w14:paraId="18866071" w14:textId="479304AB" w:rsidR="001716D9" w:rsidRPr="00E11FFB" w:rsidRDefault="001716D9" w:rsidP="001716D9">
            <w:pPr>
              <w:rPr>
                <w:rFonts w:ascii="Avenir" w:eastAsia="Avenir" w:hAnsi="Avenir" w:cs="Avenir"/>
                <w:b/>
                <w:color w:val="000000"/>
                <w:sz w:val="16"/>
                <w:szCs w:val="16"/>
              </w:rPr>
            </w:pPr>
            <w:r w:rsidRPr="00E11FFB">
              <w:rPr>
                <w:rFonts w:ascii="Avenir" w:eastAsia="Avenir" w:hAnsi="Avenir" w:cs="Avenir"/>
                <w:b/>
                <w:color w:val="000000"/>
                <w:sz w:val="16"/>
                <w:szCs w:val="16"/>
              </w:rPr>
              <w:t>Du 01/07/2025 au 31/12/2025</w:t>
            </w:r>
          </w:p>
        </w:tc>
        <w:tc>
          <w:tcPr>
            <w:tcW w:w="2885" w:type="dxa"/>
            <w:vAlign w:val="center"/>
          </w:tcPr>
          <w:p w14:paraId="762E9362" w14:textId="77777777" w:rsidR="001716D9" w:rsidRPr="00E11FFB" w:rsidRDefault="001716D9" w:rsidP="005B3B85">
            <w:pPr>
              <w:rPr>
                <w:rFonts w:ascii="Avenir" w:eastAsia="Avenir" w:hAnsi="Avenir" w:cs="Avenir"/>
                <w:bCs/>
                <w:color w:val="000000"/>
                <w:sz w:val="16"/>
                <w:szCs w:val="16"/>
              </w:rPr>
            </w:pPr>
            <w:r w:rsidRPr="00E11FFB">
              <w:rPr>
                <w:sz w:val="16"/>
                <w:szCs w:val="16"/>
              </w:rPr>
              <w:t>3 plaidoyers</w:t>
            </w:r>
            <w:r w:rsidRPr="00E11FFB">
              <w:rPr>
                <w:rFonts w:ascii="Avenir" w:eastAsia="Avenir" w:hAnsi="Avenir" w:cs="Avenir"/>
                <w:bCs/>
                <w:color w:val="EE0000"/>
                <w:sz w:val="16"/>
                <w:szCs w:val="16"/>
              </w:rPr>
              <w:t xml:space="preserve"> </w:t>
            </w:r>
          </w:p>
        </w:tc>
        <w:tc>
          <w:tcPr>
            <w:tcW w:w="2340" w:type="dxa"/>
          </w:tcPr>
          <w:p w14:paraId="73D9099D" w14:textId="5014C109" w:rsidR="001716D9" w:rsidRPr="00E11FFB" w:rsidRDefault="00F71E1B" w:rsidP="001716D9">
            <w:pPr>
              <w:rPr>
                <w:rFonts w:ascii="Avenir" w:eastAsia="Avenir" w:hAnsi="Avenir" w:cs="Avenir"/>
                <w:bCs/>
                <w:color w:val="000000"/>
                <w:sz w:val="16"/>
                <w:szCs w:val="16"/>
              </w:rPr>
            </w:pPr>
            <w:r w:rsidRPr="002142A2">
              <w:rPr>
                <w:rFonts w:ascii="Avenir" w:eastAsia="Avenir" w:hAnsi="Avenir" w:cs="Avenir"/>
                <w:bCs/>
                <w:color w:val="000000"/>
                <w:sz w:val="16"/>
                <w:szCs w:val="16"/>
              </w:rPr>
              <w:t>3 Plaidoyers (services des ministères de finance, du budget, atelier avec les autres partenaires.</w:t>
            </w:r>
            <w:r w:rsidRPr="00E11FFB">
              <w:rPr>
                <w:rFonts w:ascii="Avenir" w:eastAsia="Avenir" w:hAnsi="Avenir" w:cs="Avenir"/>
                <w:bCs/>
                <w:color w:val="000000"/>
                <w:sz w:val="16"/>
                <w:szCs w:val="16"/>
              </w:rPr>
              <w:t xml:space="preserve"> </w:t>
            </w:r>
          </w:p>
        </w:tc>
        <w:tc>
          <w:tcPr>
            <w:tcW w:w="1620" w:type="dxa"/>
          </w:tcPr>
          <w:p w14:paraId="6852C558" w14:textId="35B490FE" w:rsidR="001716D9" w:rsidRPr="00E11FFB" w:rsidRDefault="00A22CF7" w:rsidP="001716D9">
            <w:pPr>
              <w:rPr>
                <w:color w:val="808080"/>
                <w:sz w:val="16"/>
                <w:szCs w:val="16"/>
              </w:rPr>
            </w:pPr>
            <w:r w:rsidRPr="00E11FFB">
              <w:rPr>
                <w:b/>
                <w:bCs/>
                <w:sz w:val="16"/>
                <w:szCs w:val="16"/>
              </w:rPr>
              <w:t>En cours</w:t>
            </w:r>
          </w:p>
        </w:tc>
        <w:tc>
          <w:tcPr>
            <w:tcW w:w="3330" w:type="dxa"/>
          </w:tcPr>
          <w:p w14:paraId="4A699DCE" w14:textId="35FE82E0" w:rsidR="001716D9" w:rsidRPr="00E11FFB" w:rsidRDefault="00F71E1B"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Plaidoyers avec les membres de l’Assemblée nationale et du SENA. </w:t>
            </w:r>
          </w:p>
        </w:tc>
      </w:tr>
      <w:tr w:rsidR="00A22CF7" w:rsidRPr="00E11FFB" w14:paraId="4ECE5518" w14:textId="77777777" w:rsidTr="005B3B85">
        <w:trPr>
          <w:jc w:val="center"/>
        </w:trPr>
        <w:tc>
          <w:tcPr>
            <w:tcW w:w="2520" w:type="dxa"/>
          </w:tcPr>
          <w:p w14:paraId="007B7808" w14:textId="58BC0D6E" w:rsidR="00A22CF7" w:rsidRPr="00E11FFB" w:rsidRDefault="00A22CF7" w:rsidP="00A22CF7">
            <w:pPr>
              <w:rPr>
                <w:rFonts w:ascii="Avenir" w:eastAsia="Avenir" w:hAnsi="Avenir" w:cs="Avenir"/>
                <w:color w:val="000000"/>
                <w:sz w:val="16"/>
                <w:szCs w:val="16"/>
              </w:rPr>
            </w:pPr>
            <w:r w:rsidRPr="00E11FFB">
              <w:rPr>
                <w:sz w:val="16"/>
                <w:szCs w:val="16"/>
              </w:rPr>
              <w:t>2.7.1: Appuyer la Task-Force de pilotage de l'atteinte du processus de réalisation des jalons de LOI.</w:t>
            </w:r>
          </w:p>
        </w:tc>
        <w:tc>
          <w:tcPr>
            <w:tcW w:w="720" w:type="dxa"/>
            <w:vMerge w:val="restart"/>
            <w:vAlign w:val="center"/>
          </w:tcPr>
          <w:p w14:paraId="1BB881C2" w14:textId="77777777" w:rsidR="00A22CF7" w:rsidRPr="00E11FFB" w:rsidRDefault="00A22CF7" w:rsidP="00A22CF7">
            <w:pPr>
              <w:rPr>
                <w:rFonts w:ascii="Avenir" w:eastAsia="Avenir" w:hAnsi="Avenir" w:cs="Avenir"/>
                <w:color w:val="000000"/>
                <w:sz w:val="16"/>
                <w:szCs w:val="16"/>
              </w:rPr>
            </w:pPr>
            <w:r w:rsidRPr="00E11FFB">
              <w:rPr>
                <w:rFonts w:ascii="Avenir" w:eastAsia="Avenir" w:hAnsi="Avenir" w:cs="Avenir"/>
                <w:color w:val="000000"/>
                <w:sz w:val="16"/>
                <w:szCs w:val="16"/>
              </w:rPr>
              <w:t>2.7</w:t>
            </w:r>
          </w:p>
          <w:p w14:paraId="1056A175" w14:textId="77777777" w:rsidR="00A22CF7" w:rsidRPr="00E11FFB" w:rsidRDefault="00A22CF7" w:rsidP="00A22CF7">
            <w:pPr>
              <w:rPr>
                <w:rFonts w:ascii="Avenir" w:eastAsia="Avenir" w:hAnsi="Avenir" w:cs="Avenir"/>
                <w:color w:val="000000"/>
                <w:sz w:val="16"/>
                <w:szCs w:val="16"/>
              </w:rPr>
            </w:pPr>
          </w:p>
        </w:tc>
        <w:tc>
          <w:tcPr>
            <w:tcW w:w="1345" w:type="dxa"/>
            <w:vAlign w:val="center"/>
          </w:tcPr>
          <w:p w14:paraId="667CCA66" w14:textId="3C9CFB80" w:rsidR="00A22CF7" w:rsidRPr="00E11FFB" w:rsidRDefault="00A22CF7" w:rsidP="00A22CF7">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885" w:type="dxa"/>
            <w:vAlign w:val="center"/>
          </w:tcPr>
          <w:p w14:paraId="5C6D98C9" w14:textId="77777777" w:rsidR="00A22CF7" w:rsidRPr="00E11FFB" w:rsidRDefault="00A22CF7" w:rsidP="00A22CF7">
            <w:pPr>
              <w:rPr>
                <w:rFonts w:ascii="Avenir" w:eastAsia="Avenir" w:hAnsi="Avenir" w:cs="Avenir"/>
                <w:bCs/>
                <w:color w:val="000000"/>
                <w:sz w:val="16"/>
                <w:szCs w:val="16"/>
              </w:rPr>
            </w:pPr>
            <w:r w:rsidRPr="00E11FFB">
              <w:rPr>
                <w:sz w:val="16"/>
                <w:szCs w:val="16"/>
              </w:rPr>
              <w:t>Rapport d’activité</w:t>
            </w:r>
          </w:p>
        </w:tc>
        <w:tc>
          <w:tcPr>
            <w:tcW w:w="2340" w:type="dxa"/>
          </w:tcPr>
          <w:p w14:paraId="738B4490" w14:textId="35406DCD" w:rsidR="00A22CF7" w:rsidRPr="00E11FFB" w:rsidRDefault="00A22CF7" w:rsidP="00A22CF7">
            <w:pPr>
              <w:rPr>
                <w:rFonts w:ascii="Avenir" w:eastAsia="Avenir" w:hAnsi="Avenir" w:cs="Avenir"/>
                <w:bCs/>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1620" w:type="dxa"/>
          </w:tcPr>
          <w:p w14:paraId="40D23795" w14:textId="60BEE99B" w:rsidR="00A22CF7" w:rsidRPr="00E11FFB" w:rsidRDefault="00A22CF7" w:rsidP="00A22CF7">
            <w:pPr>
              <w:rPr>
                <w:color w:val="808080"/>
                <w:sz w:val="16"/>
                <w:szCs w:val="16"/>
              </w:rPr>
            </w:pPr>
            <w:r w:rsidRPr="00E11FFB">
              <w:rPr>
                <w:b/>
                <w:bCs/>
                <w:sz w:val="16"/>
                <w:szCs w:val="16"/>
              </w:rPr>
              <w:t>Atteint</w:t>
            </w:r>
          </w:p>
        </w:tc>
        <w:tc>
          <w:tcPr>
            <w:tcW w:w="3330" w:type="dxa"/>
          </w:tcPr>
          <w:p w14:paraId="5BAB1EED" w14:textId="763578C6" w:rsidR="00A22CF7" w:rsidRPr="00E11FFB" w:rsidRDefault="00A22CF7" w:rsidP="00A22CF7">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A22CF7" w:rsidRPr="00E11FFB" w14:paraId="43CAD31C" w14:textId="77777777" w:rsidTr="005B3B85">
        <w:trPr>
          <w:jc w:val="center"/>
        </w:trPr>
        <w:tc>
          <w:tcPr>
            <w:tcW w:w="2520" w:type="dxa"/>
            <w:vAlign w:val="center"/>
          </w:tcPr>
          <w:p w14:paraId="5CA3623E" w14:textId="5F7141C0" w:rsidR="00A22CF7" w:rsidRPr="00E11FFB" w:rsidRDefault="00A22CF7" w:rsidP="00A22CF7">
            <w:pPr>
              <w:rPr>
                <w:rFonts w:ascii="Avenir" w:eastAsia="Avenir" w:hAnsi="Avenir" w:cs="Avenir"/>
                <w:color w:val="000000"/>
                <w:sz w:val="16"/>
                <w:szCs w:val="16"/>
              </w:rPr>
            </w:pPr>
            <w:r w:rsidRPr="00E11FFB">
              <w:rPr>
                <w:sz w:val="16"/>
                <w:szCs w:val="16"/>
              </w:rPr>
              <w:t>2.7.2: Appuyer le fonctionnement et la logistique de la Task-Force d'appui à la réalisation des jalons du secteur agriculture.</w:t>
            </w:r>
          </w:p>
        </w:tc>
        <w:tc>
          <w:tcPr>
            <w:tcW w:w="720" w:type="dxa"/>
            <w:vMerge/>
            <w:vAlign w:val="center"/>
          </w:tcPr>
          <w:p w14:paraId="02FCCD47" w14:textId="77777777" w:rsidR="00A22CF7" w:rsidRPr="00E11FFB" w:rsidRDefault="00A22CF7" w:rsidP="00A22CF7">
            <w:pPr>
              <w:rPr>
                <w:rFonts w:ascii="Avenir" w:eastAsia="Avenir" w:hAnsi="Avenir" w:cs="Avenir"/>
                <w:color w:val="000000"/>
                <w:sz w:val="16"/>
                <w:szCs w:val="16"/>
              </w:rPr>
            </w:pPr>
          </w:p>
        </w:tc>
        <w:tc>
          <w:tcPr>
            <w:tcW w:w="1345" w:type="dxa"/>
            <w:vAlign w:val="center"/>
          </w:tcPr>
          <w:p w14:paraId="375BCDB9" w14:textId="0EC43050" w:rsidR="00A22CF7" w:rsidRPr="00E11FFB" w:rsidRDefault="00A22CF7" w:rsidP="00A22CF7">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885" w:type="dxa"/>
          </w:tcPr>
          <w:p w14:paraId="57EFFD23" w14:textId="77777777" w:rsidR="00A22CF7" w:rsidRPr="00E11FFB" w:rsidRDefault="00A22CF7" w:rsidP="00A22CF7">
            <w:pPr>
              <w:rPr>
                <w:rFonts w:ascii="Avenir" w:eastAsia="Avenir" w:hAnsi="Avenir" w:cs="Avenir"/>
                <w:b/>
                <w:color w:val="000000"/>
                <w:sz w:val="16"/>
                <w:szCs w:val="16"/>
              </w:rPr>
            </w:pPr>
            <w:r w:rsidRPr="00E11FFB">
              <w:rPr>
                <w:sz w:val="16"/>
                <w:szCs w:val="16"/>
              </w:rPr>
              <w:t>100% des membres de la Task-Force ont été formés et équipés</w:t>
            </w:r>
          </w:p>
          <w:p w14:paraId="2CCF0AC6" w14:textId="3325742D" w:rsidR="00A22CF7" w:rsidRPr="00E11FFB" w:rsidRDefault="00A22CF7" w:rsidP="00A22CF7">
            <w:pPr>
              <w:rPr>
                <w:rFonts w:ascii="Avenir" w:eastAsia="Avenir" w:hAnsi="Avenir" w:cs="Avenir"/>
                <w:bCs/>
                <w:color w:val="000000"/>
                <w:sz w:val="16"/>
                <w:szCs w:val="16"/>
              </w:rPr>
            </w:pPr>
            <w:r w:rsidRPr="00E11FFB">
              <w:rPr>
                <w:bCs/>
                <w:color w:val="000000"/>
                <w:sz w:val="16"/>
                <w:szCs w:val="16"/>
              </w:rPr>
              <w:t>Fourniture de bureau et consommables</w:t>
            </w:r>
          </w:p>
          <w:p w14:paraId="1DDD065A" w14:textId="77777777" w:rsidR="00A22CF7" w:rsidRPr="00E11FFB" w:rsidRDefault="00A22CF7" w:rsidP="00A22CF7">
            <w:pPr>
              <w:rPr>
                <w:rFonts w:ascii="Avenir" w:eastAsia="Avenir" w:hAnsi="Avenir" w:cs="Avenir"/>
                <w:b/>
                <w:color w:val="000000"/>
                <w:sz w:val="16"/>
                <w:szCs w:val="16"/>
              </w:rPr>
            </w:pPr>
            <w:r w:rsidRPr="00E11FFB">
              <w:rPr>
                <w:bCs/>
                <w:color w:val="000000"/>
                <w:sz w:val="16"/>
                <w:szCs w:val="16"/>
              </w:rPr>
              <w:t>1 véhicule</w:t>
            </w:r>
          </w:p>
        </w:tc>
        <w:tc>
          <w:tcPr>
            <w:tcW w:w="2340" w:type="dxa"/>
          </w:tcPr>
          <w:p w14:paraId="699AFDA6" w14:textId="77777777" w:rsidR="00A22CF7" w:rsidRPr="00E11FFB" w:rsidRDefault="00A22CF7" w:rsidP="00A22CF7">
            <w:pPr>
              <w:rPr>
                <w:rFonts w:ascii="Avenir" w:eastAsia="Avenir" w:hAnsi="Avenir" w:cs="Avenir"/>
                <w:b/>
                <w:color w:val="000000"/>
                <w:sz w:val="16"/>
                <w:szCs w:val="16"/>
              </w:rPr>
            </w:pPr>
            <w:r w:rsidRPr="00E11FFB">
              <w:rPr>
                <w:sz w:val="16"/>
                <w:szCs w:val="16"/>
              </w:rPr>
              <w:t>100% des membres de la Task-Force ont été formés et équipés</w:t>
            </w:r>
          </w:p>
          <w:p w14:paraId="43497BEB" w14:textId="77777777" w:rsidR="00A22CF7" w:rsidRPr="00E11FFB" w:rsidRDefault="00A22CF7" w:rsidP="00A22CF7">
            <w:pPr>
              <w:rPr>
                <w:rFonts w:ascii="Avenir" w:eastAsia="Avenir" w:hAnsi="Avenir" w:cs="Avenir"/>
                <w:bCs/>
                <w:color w:val="000000"/>
                <w:sz w:val="16"/>
                <w:szCs w:val="16"/>
              </w:rPr>
            </w:pPr>
          </w:p>
        </w:tc>
        <w:tc>
          <w:tcPr>
            <w:tcW w:w="1620" w:type="dxa"/>
          </w:tcPr>
          <w:p w14:paraId="7523BC50" w14:textId="2EB16ACD" w:rsidR="00A22CF7" w:rsidRPr="00E11FFB" w:rsidRDefault="00A22CF7" w:rsidP="00A22CF7">
            <w:pPr>
              <w:rPr>
                <w:color w:val="808080"/>
                <w:sz w:val="16"/>
                <w:szCs w:val="16"/>
              </w:rPr>
            </w:pPr>
            <w:r w:rsidRPr="00E11FFB">
              <w:rPr>
                <w:b/>
                <w:bCs/>
                <w:sz w:val="16"/>
                <w:szCs w:val="16"/>
              </w:rPr>
              <w:t>Atteint</w:t>
            </w:r>
          </w:p>
        </w:tc>
        <w:tc>
          <w:tcPr>
            <w:tcW w:w="3330" w:type="dxa"/>
          </w:tcPr>
          <w:p w14:paraId="76FC3003" w14:textId="1C7D6E6A" w:rsidR="00A22CF7" w:rsidRPr="00E11FFB" w:rsidRDefault="00A22CF7" w:rsidP="00A22CF7">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A22CF7" w:rsidRPr="00E11FFB" w14:paraId="05881748" w14:textId="77777777" w:rsidTr="005B3B85">
        <w:trPr>
          <w:jc w:val="center"/>
        </w:trPr>
        <w:tc>
          <w:tcPr>
            <w:tcW w:w="2520" w:type="dxa"/>
          </w:tcPr>
          <w:p w14:paraId="5711A1ED" w14:textId="208E5948" w:rsidR="00A22CF7" w:rsidRPr="00E11FFB" w:rsidRDefault="00A22CF7" w:rsidP="00A22CF7">
            <w:pPr>
              <w:rPr>
                <w:rFonts w:ascii="Avenir" w:eastAsia="Avenir" w:hAnsi="Avenir" w:cs="Avenir"/>
                <w:color w:val="000000"/>
                <w:sz w:val="16"/>
                <w:szCs w:val="16"/>
              </w:rPr>
            </w:pPr>
            <w:r w:rsidRPr="00E11FFB">
              <w:rPr>
                <w:sz w:val="16"/>
                <w:szCs w:val="16"/>
              </w:rPr>
              <w:t>2.7.3: Appuyer la Direction des nouvelles technologies de l'information et de la communication (DANTIC) du MINAGRI.</w:t>
            </w:r>
          </w:p>
        </w:tc>
        <w:tc>
          <w:tcPr>
            <w:tcW w:w="720" w:type="dxa"/>
            <w:vMerge/>
            <w:vAlign w:val="center"/>
          </w:tcPr>
          <w:p w14:paraId="5A7DE93F" w14:textId="77777777" w:rsidR="00A22CF7" w:rsidRPr="00E11FFB" w:rsidRDefault="00A22CF7" w:rsidP="00A22CF7">
            <w:pPr>
              <w:rPr>
                <w:rFonts w:ascii="Avenir" w:eastAsia="Avenir" w:hAnsi="Avenir" w:cs="Avenir"/>
                <w:color w:val="000000"/>
                <w:sz w:val="16"/>
                <w:szCs w:val="16"/>
              </w:rPr>
            </w:pPr>
          </w:p>
        </w:tc>
        <w:tc>
          <w:tcPr>
            <w:tcW w:w="1345" w:type="dxa"/>
            <w:vAlign w:val="center"/>
          </w:tcPr>
          <w:p w14:paraId="2B6A0229" w14:textId="2EE61077" w:rsidR="00A22CF7" w:rsidRPr="00E11FFB" w:rsidRDefault="00A22CF7" w:rsidP="00A22CF7">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885" w:type="dxa"/>
          </w:tcPr>
          <w:p w14:paraId="1CE1A46E" w14:textId="77777777" w:rsidR="00A22CF7" w:rsidRPr="00E11FFB" w:rsidRDefault="00A22CF7" w:rsidP="00A22CF7">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page d’accueil et le Site web du ministère mis a jour </w:t>
            </w:r>
          </w:p>
          <w:p w14:paraId="176DD905" w14:textId="37A27B70" w:rsidR="00A22CF7" w:rsidRPr="00E11FFB" w:rsidRDefault="00A22CF7" w:rsidP="00A22CF7">
            <w:pPr>
              <w:rPr>
                <w:rFonts w:ascii="Avenir" w:eastAsia="Avenir" w:hAnsi="Avenir" w:cs="Avenir"/>
                <w:b/>
                <w:color w:val="000000"/>
                <w:sz w:val="16"/>
                <w:szCs w:val="16"/>
              </w:rPr>
            </w:pPr>
            <w:r w:rsidRPr="00E11FFB">
              <w:rPr>
                <w:rFonts w:ascii="Avenir" w:eastAsia="Avenir" w:hAnsi="Avenir" w:cs="Avenir"/>
                <w:bCs/>
                <w:color w:val="000000"/>
                <w:sz w:val="16"/>
                <w:szCs w:val="16"/>
              </w:rPr>
              <w:t>1 Rapport d’activité</w:t>
            </w:r>
          </w:p>
        </w:tc>
        <w:tc>
          <w:tcPr>
            <w:tcW w:w="2340" w:type="dxa"/>
          </w:tcPr>
          <w:p w14:paraId="4F01F9B6" w14:textId="77777777" w:rsidR="00A22CF7" w:rsidRPr="00E11FFB" w:rsidRDefault="00A22CF7" w:rsidP="00A22CF7">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page d’accueil et le Site web du ministère mis a jour </w:t>
            </w:r>
          </w:p>
          <w:p w14:paraId="6C2B4C1C" w14:textId="19D589CB" w:rsidR="00A22CF7" w:rsidRPr="00E11FFB" w:rsidRDefault="00A22CF7" w:rsidP="00A22CF7">
            <w:pPr>
              <w:rPr>
                <w:rFonts w:ascii="Avenir" w:eastAsia="Avenir" w:hAnsi="Avenir" w:cs="Avenir"/>
                <w:bCs/>
                <w:color w:val="000000"/>
                <w:sz w:val="16"/>
                <w:szCs w:val="16"/>
              </w:rPr>
            </w:pPr>
            <w:r w:rsidRPr="00E11FFB">
              <w:rPr>
                <w:rFonts w:ascii="Avenir" w:eastAsia="Avenir" w:hAnsi="Avenir" w:cs="Avenir"/>
                <w:bCs/>
                <w:color w:val="000000"/>
                <w:sz w:val="16"/>
                <w:szCs w:val="16"/>
              </w:rPr>
              <w:t>1 Rapport d’activité</w:t>
            </w:r>
          </w:p>
        </w:tc>
        <w:tc>
          <w:tcPr>
            <w:tcW w:w="1620" w:type="dxa"/>
          </w:tcPr>
          <w:p w14:paraId="5413D052" w14:textId="2B18DEE4" w:rsidR="00A22CF7" w:rsidRPr="00E11FFB" w:rsidRDefault="00A22CF7" w:rsidP="00A22CF7">
            <w:pPr>
              <w:rPr>
                <w:color w:val="808080"/>
                <w:sz w:val="16"/>
                <w:szCs w:val="16"/>
              </w:rPr>
            </w:pPr>
            <w:r w:rsidRPr="00E11FFB">
              <w:rPr>
                <w:b/>
                <w:bCs/>
                <w:sz w:val="16"/>
                <w:szCs w:val="16"/>
              </w:rPr>
              <w:t>Atteint</w:t>
            </w:r>
          </w:p>
        </w:tc>
        <w:tc>
          <w:tcPr>
            <w:tcW w:w="3330" w:type="dxa"/>
          </w:tcPr>
          <w:p w14:paraId="172BC743" w14:textId="13019C2C" w:rsidR="00A22CF7" w:rsidRPr="00E11FFB" w:rsidRDefault="00A22CF7" w:rsidP="00A22CF7">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tbl>
    <w:p w14:paraId="79D1F68A" w14:textId="13F132BC" w:rsidR="00B669B6" w:rsidRPr="006D79E9" w:rsidRDefault="00E82414" w:rsidP="006D79E9">
      <w:pPr>
        <w:spacing w:before="240" w:after="5" w:line="276" w:lineRule="auto"/>
        <w:ind w:left="20" w:right="28" w:hanging="10"/>
        <w:jc w:val="both"/>
        <w:rPr>
          <w:rFonts w:ascii="Avenir" w:eastAsia="Avenir" w:hAnsi="Avenir" w:cs="Avenir"/>
          <w:color w:val="000000"/>
        </w:rPr>
      </w:pPr>
      <w:r>
        <w:rPr>
          <w:rFonts w:ascii="Avenir" w:eastAsia="Avenir" w:hAnsi="Avenir" w:cs="Avenir"/>
          <w:color w:val="000000"/>
        </w:rPr>
        <w:t xml:space="preserve">PTBA 2025- </w:t>
      </w:r>
      <w:r w:rsidR="00B669B6" w:rsidRPr="006D79E9">
        <w:rPr>
          <w:rFonts w:ascii="Avenir" w:eastAsia="Avenir" w:hAnsi="Avenir" w:cs="Avenir"/>
          <w:color w:val="000000"/>
        </w:rPr>
        <w:t xml:space="preserve"> Foret</w:t>
      </w:r>
    </w:p>
    <w:tbl>
      <w:tblPr>
        <w:tblW w:w="146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720"/>
        <w:gridCol w:w="1350"/>
        <w:gridCol w:w="2790"/>
        <w:gridCol w:w="2430"/>
        <w:gridCol w:w="1620"/>
        <w:gridCol w:w="3330"/>
      </w:tblGrid>
      <w:tr w:rsidR="00B669B6" w:rsidRPr="00E11FFB" w14:paraId="2A745FB0" w14:textId="77777777" w:rsidTr="00166C22">
        <w:trPr>
          <w:trHeight w:val="766"/>
          <w:tblHeader/>
          <w:jc w:val="center"/>
        </w:trPr>
        <w:tc>
          <w:tcPr>
            <w:tcW w:w="2425" w:type="dxa"/>
            <w:shd w:val="clear" w:color="auto" w:fill="A9D5E7"/>
          </w:tcPr>
          <w:p w14:paraId="06EC0B71"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720" w:type="dxa"/>
            <w:shd w:val="clear" w:color="auto" w:fill="A9D5E7"/>
          </w:tcPr>
          <w:p w14:paraId="287F928B"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25"/>
            </w:r>
            <w:r w:rsidRPr="00E11FFB">
              <w:rPr>
                <w:rFonts w:ascii="Avenir" w:eastAsia="Avenir" w:hAnsi="Avenir" w:cs="Avenir"/>
                <w:b/>
                <w:color w:val="000000"/>
                <w:sz w:val="16"/>
                <w:szCs w:val="16"/>
              </w:rPr>
              <w:t xml:space="preserve"> (ex. 1.1)</w:t>
            </w:r>
          </w:p>
        </w:tc>
        <w:tc>
          <w:tcPr>
            <w:tcW w:w="1350" w:type="dxa"/>
            <w:shd w:val="clear" w:color="auto" w:fill="A9D5E7"/>
          </w:tcPr>
          <w:p w14:paraId="4125A395"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26"/>
            </w:r>
          </w:p>
        </w:tc>
        <w:tc>
          <w:tcPr>
            <w:tcW w:w="2790" w:type="dxa"/>
            <w:shd w:val="clear" w:color="auto" w:fill="A9D5E7"/>
          </w:tcPr>
          <w:p w14:paraId="5C0150BC"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2430" w:type="dxa"/>
            <w:shd w:val="clear" w:color="auto" w:fill="A9D5E7"/>
          </w:tcPr>
          <w:p w14:paraId="398332AF"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1620" w:type="dxa"/>
            <w:shd w:val="clear" w:color="auto" w:fill="A9D5E7"/>
          </w:tcPr>
          <w:p w14:paraId="793C3D1C"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3330" w:type="dxa"/>
            <w:shd w:val="clear" w:color="auto" w:fill="A9D5E7"/>
          </w:tcPr>
          <w:p w14:paraId="17015DB3"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1716D9" w:rsidRPr="00E11FFB" w14:paraId="45156904" w14:textId="77777777" w:rsidTr="00166C22">
        <w:trPr>
          <w:jc w:val="center"/>
        </w:trPr>
        <w:tc>
          <w:tcPr>
            <w:tcW w:w="2425" w:type="dxa"/>
            <w:vAlign w:val="center"/>
          </w:tcPr>
          <w:p w14:paraId="4D87BD9A" w14:textId="1F40BF5E" w:rsidR="001716D9" w:rsidRPr="00E11FFB" w:rsidRDefault="001716D9" w:rsidP="005B3B85">
            <w:pPr>
              <w:rPr>
                <w:rFonts w:ascii="Avenir" w:eastAsia="Avenir" w:hAnsi="Avenir" w:cs="Avenir"/>
                <w:color w:val="000000"/>
                <w:sz w:val="16"/>
                <w:szCs w:val="16"/>
              </w:rPr>
            </w:pPr>
            <w:r w:rsidRPr="00E11FFB">
              <w:rPr>
                <w:color w:val="000000"/>
                <w:sz w:val="16"/>
                <w:szCs w:val="16"/>
              </w:rPr>
              <w:t>3.1.1 :  Définir (définition technique) les concepts de forêts de grande valeur et tourbières.</w:t>
            </w:r>
          </w:p>
        </w:tc>
        <w:tc>
          <w:tcPr>
            <w:tcW w:w="720" w:type="dxa"/>
            <w:vMerge w:val="restart"/>
          </w:tcPr>
          <w:p w14:paraId="6B818E8A" w14:textId="77777777" w:rsidR="001716D9" w:rsidRPr="00E11FFB" w:rsidRDefault="001716D9" w:rsidP="001716D9">
            <w:pPr>
              <w:jc w:val="center"/>
              <w:rPr>
                <w:rFonts w:ascii="Avenir" w:eastAsia="Avenir" w:hAnsi="Avenir" w:cs="Avenir"/>
                <w:color w:val="000000"/>
                <w:sz w:val="16"/>
                <w:szCs w:val="16"/>
              </w:rPr>
            </w:pPr>
          </w:p>
          <w:p w14:paraId="64463CEA" w14:textId="77777777" w:rsidR="001716D9" w:rsidRPr="00E11FFB" w:rsidRDefault="001716D9" w:rsidP="001716D9">
            <w:pPr>
              <w:jc w:val="center"/>
              <w:rPr>
                <w:rFonts w:ascii="Avenir" w:eastAsia="Avenir" w:hAnsi="Avenir" w:cs="Avenir"/>
                <w:color w:val="000000"/>
                <w:sz w:val="16"/>
                <w:szCs w:val="16"/>
              </w:rPr>
            </w:pPr>
          </w:p>
          <w:p w14:paraId="759BD5B7" w14:textId="77777777" w:rsidR="001716D9" w:rsidRPr="00E11FFB" w:rsidRDefault="001716D9" w:rsidP="001716D9">
            <w:pPr>
              <w:jc w:val="center"/>
              <w:rPr>
                <w:rFonts w:ascii="Avenir" w:eastAsia="Avenir" w:hAnsi="Avenir" w:cs="Avenir"/>
                <w:color w:val="000000"/>
                <w:sz w:val="16"/>
                <w:szCs w:val="16"/>
              </w:rPr>
            </w:pPr>
          </w:p>
          <w:p w14:paraId="7662BF38" w14:textId="77777777" w:rsidR="001716D9" w:rsidRPr="00E11FFB" w:rsidRDefault="001716D9" w:rsidP="001716D9">
            <w:pPr>
              <w:jc w:val="center"/>
              <w:rPr>
                <w:rFonts w:ascii="Avenir" w:eastAsia="Avenir" w:hAnsi="Avenir" w:cs="Avenir"/>
                <w:color w:val="000000"/>
                <w:sz w:val="16"/>
                <w:szCs w:val="16"/>
              </w:rPr>
            </w:pPr>
          </w:p>
          <w:p w14:paraId="454EBD5B" w14:textId="77777777" w:rsidR="001716D9" w:rsidRPr="00E11FFB" w:rsidRDefault="001716D9" w:rsidP="001716D9">
            <w:pPr>
              <w:jc w:val="center"/>
              <w:rPr>
                <w:rFonts w:ascii="Avenir" w:eastAsia="Avenir" w:hAnsi="Avenir" w:cs="Avenir"/>
                <w:color w:val="000000"/>
                <w:sz w:val="16"/>
                <w:szCs w:val="16"/>
              </w:rPr>
            </w:pPr>
          </w:p>
          <w:p w14:paraId="78C32931" w14:textId="77777777" w:rsidR="001716D9" w:rsidRPr="00E11FFB" w:rsidRDefault="001716D9" w:rsidP="001716D9">
            <w:pPr>
              <w:jc w:val="center"/>
              <w:rPr>
                <w:rFonts w:ascii="Avenir" w:eastAsia="Avenir" w:hAnsi="Avenir" w:cs="Avenir"/>
                <w:color w:val="000000"/>
                <w:sz w:val="16"/>
                <w:szCs w:val="16"/>
              </w:rPr>
            </w:pPr>
          </w:p>
          <w:p w14:paraId="72103489" w14:textId="77777777" w:rsidR="001716D9" w:rsidRPr="00E11FFB" w:rsidRDefault="001716D9" w:rsidP="001716D9">
            <w:pPr>
              <w:jc w:val="center"/>
              <w:rPr>
                <w:rFonts w:ascii="Avenir" w:eastAsia="Avenir" w:hAnsi="Avenir" w:cs="Avenir"/>
                <w:color w:val="000000"/>
                <w:sz w:val="16"/>
                <w:szCs w:val="16"/>
              </w:rPr>
            </w:pPr>
            <w:r w:rsidRPr="00E11FFB">
              <w:rPr>
                <w:rFonts w:ascii="Avenir" w:eastAsia="Avenir" w:hAnsi="Avenir" w:cs="Avenir"/>
                <w:color w:val="000000"/>
                <w:sz w:val="16"/>
                <w:szCs w:val="16"/>
              </w:rPr>
              <w:t>3.1</w:t>
            </w:r>
          </w:p>
        </w:tc>
        <w:tc>
          <w:tcPr>
            <w:tcW w:w="1350" w:type="dxa"/>
            <w:vAlign w:val="center"/>
          </w:tcPr>
          <w:p w14:paraId="72BC4FCC" w14:textId="068BD6A3" w:rsidR="001716D9" w:rsidRPr="00E11FFB" w:rsidRDefault="001716D9" w:rsidP="001716D9">
            <w:pPr>
              <w:rPr>
                <w:rFonts w:ascii="Avenir" w:eastAsia="Avenir" w:hAnsi="Avenir" w:cs="Avenir"/>
                <w:color w:val="000000"/>
                <w:sz w:val="16"/>
                <w:szCs w:val="16"/>
              </w:rPr>
            </w:pPr>
            <w:r w:rsidRPr="00E11FFB">
              <w:rPr>
                <w:rFonts w:ascii="Avenir" w:eastAsia="Avenir" w:hAnsi="Avenir" w:cs="Avenir"/>
                <w:b/>
                <w:color w:val="000000"/>
                <w:sz w:val="16"/>
                <w:szCs w:val="16"/>
              </w:rPr>
              <w:t>Du 01/04/2025 au 30/06/2025</w:t>
            </w:r>
          </w:p>
        </w:tc>
        <w:tc>
          <w:tcPr>
            <w:tcW w:w="2790" w:type="dxa"/>
            <w:vAlign w:val="center"/>
          </w:tcPr>
          <w:p w14:paraId="3D4E31D5" w14:textId="77777777" w:rsidR="001716D9" w:rsidRPr="00E11FFB" w:rsidRDefault="001716D9" w:rsidP="005B7D8B">
            <w:pPr>
              <w:rPr>
                <w:rFonts w:ascii="Avenir" w:eastAsia="Avenir" w:hAnsi="Avenir" w:cs="Avenir"/>
                <w:color w:val="000000"/>
                <w:sz w:val="16"/>
                <w:szCs w:val="16"/>
              </w:rPr>
            </w:pPr>
            <w:r w:rsidRPr="00E11FFB">
              <w:rPr>
                <w:rFonts w:ascii="Avenir" w:eastAsia="Avenir" w:hAnsi="Avenir" w:cs="Avenir"/>
                <w:color w:val="000000"/>
                <w:sz w:val="16"/>
                <w:szCs w:val="16"/>
              </w:rPr>
              <w:t xml:space="preserve">1 </w:t>
            </w:r>
            <w:r w:rsidRPr="00E11FFB">
              <w:rPr>
                <w:color w:val="000000"/>
                <w:sz w:val="16"/>
                <w:szCs w:val="16"/>
              </w:rPr>
              <w:t>Rapport de définition nationale du concept de « forêts de grande valeur » et de « tourbières »</w:t>
            </w:r>
          </w:p>
        </w:tc>
        <w:tc>
          <w:tcPr>
            <w:tcW w:w="2430" w:type="dxa"/>
          </w:tcPr>
          <w:p w14:paraId="7BDA816E" w14:textId="599AAB23" w:rsidR="001716D9" w:rsidRPr="00E11FFB" w:rsidRDefault="006C0409" w:rsidP="001716D9">
            <w:pPr>
              <w:rPr>
                <w:rFonts w:ascii="Avenir" w:eastAsia="Avenir" w:hAnsi="Avenir" w:cs="Avenir"/>
                <w:color w:val="000000"/>
                <w:sz w:val="16"/>
                <w:szCs w:val="16"/>
              </w:rPr>
            </w:pPr>
            <w:r w:rsidRPr="00E11FFB">
              <w:rPr>
                <w:rFonts w:ascii="Avenir" w:eastAsia="Avenir" w:hAnsi="Avenir" w:cs="Avenir"/>
                <w:color w:val="000000"/>
                <w:sz w:val="16"/>
                <w:szCs w:val="16"/>
              </w:rPr>
              <w:t xml:space="preserve">1 rapport de définition nationale des concepts, les consultations en province. </w:t>
            </w:r>
          </w:p>
        </w:tc>
        <w:tc>
          <w:tcPr>
            <w:tcW w:w="1620" w:type="dxa"/>
          </w:tcPr>
          <w:p w14:paraId="08A45CFD" w14:textId="3BAED7B0" w:rsidR="001716D9" w:rsidRPr="00E11FFB" w:rsidRDefault="005B7D8B" w:rsidP="001716D9">
            <w:pPr>
              <w:rPr>
                <w:rFonts w:ascii="Avenir" w:eastAsia="Avenir" w:hAnsi="Avenir" w:cs="Avenir"/>
                <w:b/>
                <w:bCs/>
                <w:color w:val="000000" w:themeColor="text1"/>
                <w:sz w:val="16"/>
                <w:szCs w:val="16"/>
              </w:rPr>
            </w:pPr>
            <w:r w:rsidRPr="00E11FFB">
              <w:rPr>
                <w:b/>
                <w:bCs/>
                <w:color w:val="000000" w:themeColor="text1"/>
                <w:sz w:val="16"/>
                <w:szCs w:val="16"/>
              </w:rPr>
              <w:t xml:space="preserve">Atteint </w:t>
            </w:r>
          </w:p>
        </w:tc>
        <w:tc>
          <w:tcPr>
            <w:tcW w:w="3330" w:type="dxa"/>
          </w:tcPr>
          <w:p w14:paraId="24900B7C" w14:textId="7D547C6A" w:rsidR="001716D9" w:rsidRPr="00E11FFB" w:rsidRDefault="00A22CF7" w:rsidP="001716D9">
            <w:pPr>
              <w:rPr>
                <w:rFonts w:ascii="Avenir" w:eastAsia="Avenir" w:hAnsi="Avenir" w:cs="Avenir"/>
                <w:color w:val="000000"/>
                <w:sz w:val="16"/>
                <w:szCs w:val="16"/>
              </w:rPr>
            </w:pPr>
            <w:r w:rsidRPr="00E11FFB">
              <w:rPr>
                <w:rFonts w:ascii="Avenir" w:eastAsia="Avenir" w:hAnsi="Avenir" w:cs="Avenir"/>
                <w:color w:val="000000"/>
                <w:sz w:val="16"/>
                <w:szCs w:val="16"/>
              </w:rPr>
              <w:t>Aucune action pour l’année suivante hormis la vulgarisation dans le cadre de la politique forestière</w:t>
            </w:r>
          </w:p>
        </w:tc>
      </w:tr>
      <w:tr w:rsidR="00B669B6" w:rsidRPr="00E11FFB" w14:paraId="64D78795" w14:textId="77777777" w:rsidTr="00166C22">
        <w:trPr>
          <w:jc w:val="center"/>
        </w:trPr>
        <w:tc>
          <w:tcPr>
            <w:tcW w:w="2425" w:type="dxa"/>
            <w:vAlign w:val="center"/>
          </w:tcPr>
          <w:p w14:paraId="616A978B" w14:textId="6DD1B579" w:rsidR="00B669B6" w:rsidRPr="00E11FFB" w:rsidRDefault="00B669B6" w:rsidP="005B3B85">
            <w:pPr>
              <w:rPr>
                <w:rFonts w:ascii="Avenir" w:eastAsia="Avenir" w:hAnsi="Avenir" w:cs="Avenir"/>
                <w:sz w:val="16"/>
                <w:szCs w:val="16"/>
              </w:rPr>
            </w:pPr>
            <w:r w:rsidRPr="00E11FFB">
              <w:rPr>
                <w:sz w:val="16"/>
                <w:szCs w:val="16"/>
              </w:rPr>
              <w:t>3.1.2 : Identifier les zones des forêts de grande valeur et des tourbières.</w:t>
            </w:r>
          </w:p>
        </w:tc>
        <w:tc>
          <w:tcPr>
            <w:tcW w:w="720" w:type="dxa"/>
            <w:vMerge/>
          </w:tcPr>
          <w:p w14:paraId="51448836" w14:textId="77777777" w:rsidR="00B669B6" w:rsidRPr="00E11FFB" w:rsidRDefault="00B669B6" w:rsidP="003A6DE1">
            <w:pPr>
              <w:rPr>
                <w:rFonts w:ascii="Avenir" w:eastAsia="Avenir" w:hAnsi="Avenir" w:cs="Avenir"/>
                <w:sz w:val="16"/>
                <w:szCs w:val="16"/>
              </w:rPr>
            </w:pPr>
          </w:p>
        </w:tc>
        <w:tc>
          <w:tcPr>
            <w:tcW w:w="1350" w:type="dxa"/>
            <w:vAlign w:val="center"/>
          </w:tcPr>
          <w:p w14:paraId="4D2A5BDA" w14:textId="74FF8D34" w:rsidR="00B669B6" w:rsidRPr="00E11FFB" w:rsidRDefault="00813AD0" w:rsidP="003A6DE1">
            <w:pPr>
              <w:rPr>
                <w:rFonts w:ascii="Avenir" w:eastAsia="Avenir" w:hAnsi="Avenir" w:cs="Avenir"/>
                <w:sz w:val="16"/>
                <w:szCs w:val="16"/>
              </w:rPr>
            </w:pPr>
            <w:r w:rsidRPr="00E11FFB">
              <w:rPr>
                <w:rFonts w:ascii="Avenir" w:eastAsia="Avenir" w:hAnsi="Avenir" w:cs="Avenir"/>
                <w:sz w:val="16"/>
                <w:szCs w:val="16"/>
              </w:rPr>
              <w:t>NA</w:t>
            </w:r>
          </w:p>
        </w:tc>
        <w:tc>
          <w:tcPr>
            <w:tcW w:w="2790" w:type="dxa"/>
            <w:vAlign w:val="center"/>
          </w:tcPr>
          <w:p w14:paraId="6D12AB09" w14:textId="77777777" w:rsidR="00B669B6" w:rsidRPr="00E11FFB" w:rsidRDefault="00B669B6" w:rsidP="005B3B85">
            <w:pPr>
              <w:rPr>
                <w:rFonts w:ascii="Avenir" w:eastAsia="Avenir" w:hAnsi="Avenir" w:cs="Avenir"/>
                <w:sz w:val="16"/>
                <w:szCs w:val="16"/>
                <w:highlight w:val="yellow"/>
              </w:rPr>
            </w:pPr>
            <w:r w:rsidRPr="00E11FFB">
              <w:rPr>
                <w:rFonts w:ascii="Avenir" w:eastAsia="Avenir" w:hAnsi="Avenir" w:cs="Avenir"/>
                <w:bCs/>
                <w:sz w:val="16"/>
                <w:szCs w:val="16"/>
              </w:rPr>
              <w:t xml:space="preserve">1 </w:t>
            </w:r>
            <w:r w:rsidRPr="00E11FFB">
              <w:rPr>
                <w:bCs/>
                <w:sz w:val="16"/>
                <w:szCs w:val="16"/>
              </w:rPr>
              <w:t>Cartographie des fo</w:t>
            </w:r>
            <w:r w:rsidRPr="00E11FFB">
              <w:rPr>
                <w:sz w:val="16"/>
                <w:szCs w:val="16"/>
              </w:rPr>
              <w:t>rêts de grande valeur et des tourbières</w:t>
            </w:r>
          </w:p>
        </w:tc>
        <w:tc>
          <w:tcPr>
            <w:tcW w:w="2430" w:type="dxa"/>
          </w:tcPr>
          <w:p w14:paraId="0038673E" w14:textId="1B8D0A11" w:rsidR="00B669B6" w:rsidRPr="00E11FFB" w:rsidRDefault="00B669B6" w:rsidP="003A6DE1">
            <w:pPr>
              <w:rPr>
                <w:rFonts w:ascii="Avenir" w:eastAsia="Avenir" w:hAnsi="Avenir" w:cs="Avenir"/>
                <w:color w:val="000000"/>
                <w:sz w:val="16"/>
                <w:szCs w:val="16"/>
              </w:rPr>
            </w:pPr>
          </w:p>
        </w:tc>
        <w:tc>
          <w:tcPr>
            <w:tcW w:w="1620" w:type="dxa"/>
          </w:tcPr>
          <w:p w14:paraId="0EDD6974" w14:textId="504B0F18" w:rsidR="00B669B6" w:rsidRPr="00E11FFB" w:rsidRDefault="00311177" w:rsidP="003A6DE1">
            <w:pPr>
              <w:rPr>
                <w:b/>
                <w:bCs/>
                <w:color w:val="000000" w:themeColor="text1"/>
                <w:sz w:val="16"/>
                <w:szCs w:val="16"/>
              </w:rPr>
            </w:pPr>
            <w:r w:rsidRPr="00E11FFB">
              <w:rPr>
                <w:b/>
                <w:bCs/>
                <w:color w:val="000000" w:themeColor="text1"/>
                <w:sz w:val="16"/>
                <w:szCs w:val="16"/>
              </w:rPr>
              <w:t xml:space="preserve">Non entamé </w:t>
            </w:r>
          </w:p>
        </w:tc>
        <w:tc>
          <w:tcPr>
            <w:tcW w:w="3330" w:type="dxa"/>
          </w:tcPr>
          <w:p w14:paraId="5F2335E5" w14:textId="6A651E22" w:rsidR="00B669B6" w:rsidRPr="00E11FFB" w:rsidRDefault="00311177" w:rsidP="003A6DE1">
            <w:pPr>
              <w:rPr>
                <w:rFonts w:ascii="Avenir" w:eastAsia="Avenir" w:hAnsi="Avenir" w:cs="Avenir"/>
                <w:color w:val="000000"/>
                <w:sz w:val="16"/>
                <w:szCs w:val="16"/>
              </w:rPr>
            </w:pPr>
            <w:r w:rsidRPr="00E11FFB">
              <w:rPr>
                <w:rFonts w:ascii="Avenir" w:eastAsia="Avenir" w:hAnsi="Avenir" w:cs="Avenir"/>
                <w:color w:val="000000"/>
                <w:sz w:val="16"/>
                <w:szCs w:val="16"/>
              </w:rPr>
              <w:t>.</w:t>
            </w:r>
            <w:r w:rsidR="006B24AA" w:rsidRPr="00E11FFB">
              <w:rPr>
                <w:rFonts w:ascii="Avenir" w:eastAsia="Avenir" w:hAnsi="Avenir" w:cs="Avenir"/>
                <w:color w:val="000000"/>
                <w:sz w:val="16"/>
                <w:szCs w:val="16"/>
              </w:rPr>
              <w:t xml:space="preserve"> Activité non budgétée dans le cadre de PAAJ.</w:t>
            </w:r>
          </w:p>
        </w:tc>
      </w:tr>
      <w:tr w:rsidR="00DB56CA" w:rsidRPr="00E11FFB" w14:paraId="55AB7CD6" w14:textId="77777777" w:rsidTr="00166C22">
        <w:trPr>
          <w:jc w:val="center"/>
        </w:trPr>
        <w:tc>
          <w:tcPr>
            <w:tcW w:w="2425" w:type="dxa"/>
            <w:vAlign w:val="center"/>
          </w:tcPr>
          <w:p w14:paraId="3B79590A" w14:textId="1484C4AB" w:rsidR="00DB56CA" w:rsidRPr="00E11FFB" w:rsidRDefault="00DB56CA" w:rsidP="00DB56CA">
            <w:pPr>
              <w:rPr>
                <w:rFonts w:ascii="Avenir" w:eastAsia="Avenir" w:hAnsi="Avenir" w:cs="Avenir"/>
                <w:color w:val="000000"/>
                <w:sz w:val="16"/>
                <w:szCs w:val="16"/>
              </w:rPr>
            </w:pPr>
            <w:r w:rsidRPr="00E11FFB">
              <w:rPr>
                <w:color w:val="000000"/>
                <w:sz w:val="16"/>
                <w:szCs w:val="16"/>
              </w:rPr>
              <w:t>3.1.3 : Définir de règles de gestion et octroi de statut légal</w:t>
            </w:r>
          </w:p>
        </w:tc>
        <w:tc>
          <w:tcPr>
            <w:tcW w:w="720" w:type="dxa"/>
            <w:vMerge/>
          </w:tcPr>
          <w:p w14:paraId="39599C6A" w14:textId="77777777" w:rsidR="00DB56CA" w:rsidRPr="00E11FFB" w:rsidRDefault="00DB56CA" w:rsidP="00DB56CA">
            <w:pPr>
              <w:rPr>
                <w:rFonts w:ascii="Avenir" w:eastAsia="Avenir" w:hAnsi="Avenir" w:cs="Avenir"/>
                <w:color w:val="000000"/>
                <w:sz w:val="16"/>
                <w:szCs w:val="16"/>
              </w:rPr>
            </w:pPr>
          </w:p>
        </w:tc>
        <w:tc>
          <w:tcPr>
            <w:tcW w:w="1350" w:type="dxa"/>
            <w:vAlign w:val="center"/>
          </w:tcPr>
          <w:p w14:paraId="3DD268CC" w14:textId="66BAA0C6" w:rsidR="00DB56CA" w:rsidRPr="00E11FFB" w:rsidRDefault="00DB56CA" w:rsidP="00DB56CA">
            <w:pPr>
              <w:rPr>
                <w:rFonts w:ascii="Avenir" w:eastAsia="Avenir" w:hAnsi="Avenir" w:cs="Avenir"/>
                <w:color w:val="000000"/>
                <w:sz w:val="16"/>
                <w:szCs w:val="16"/>
              </w:rPr>
            </w:pPr>
            <w:r w:rsidRPr="00E11FFB">
              <w:rPr>
                <w:rFonts w:ascii="Avenir" w:eastAsia="Avenir" w:hAnsi="Avenir" w:cs="Avenir"/>
                <w:b/>
                <w:color w:val="000000"/>
                <w:sz w:val="16"/>
                <w:szCs w:val="16"/>
              </w:rPr>
              <w:t>Du 01/04/2025 au 30/06/2025</w:t>
            </w:r>
          </w:p>
        </w:tc>
        <w:tc>
          <w:tcPr>
            <w:tcW w:w="2790" w:type="dxa"/>
            <w:vAlign w:val="center"/>
          </w:tcPr>
          <w:p w14:paraId="4C0B2F3A" w14:textId="68C2BFD9" w:rsidR="00DB56CA" w:rsidRPr="00E11FFB" w:rsidRDefault="00DB56CA" w:rsidP="00DB56CA">
            <w:pPr>
              <w:rPr>
                <w:rFonts w:ascii="Avenir" w:eastAsia="Avenir" w:hAnsi="Avenir" w:cs="Avenir"/>
                <w:color w:val="000000"/>
                <w:sz w:val="16"/>
                <w:szCs w:val="16"/>
              </w:rPr>
            </w:pPr>
            <w:r w:rsidRPr="00E11FFB">
              <w:rPr>
                <w:rFonts w:ascii="Avenir" w:eastAsia="Avenir" w:hAnsi="Avenir" w:cs="Avenir"/>
                <w:color w:val="000000"/>
                <w:sz w:val="16"/>
                <w:szCs w:val="16"/>
              </w:rPr>
              <w:t xml:space="preserve">1 </w:t>
            </w:r>
            <w:r w:rsidR="00E16214" w:rsidRPr="00E11FFB">
              <w:rPr>
                <w:rFonts w:ascii="Avenir" w:eastAsia="Avenir" w:hAnsi="Avenir" w:cs="Avenir"/>
                <w:color w:val="000000"/>
                <w:sz w:val="16"/>
                <w:szCs w:val="16"/>
              </w:rPr>
              <w:t>décision</w:t>
            </w:r>
            <w:r w:rsidRPr="00E11FFB">
              <w:rPr>
                <w:rFonts w:ascii="Avenir" w:eastAsia="Avenir" w:hAnsi="Avenir" w:cs="Avenir"/>
                <w:color w:val="000000"/>
                <w:sz w:val="16"/>
                <w:szCs w:val="16"/>
              </w:rPr>
              <w:t xml:space="preserve"> </w:t>
            </w:r>
          </w:p>
        </w:tc>
        <w:tc>
          <w:tcPr>
            <w:tcW w:w="2430" w:type="dxa"/>
          </w:tcPr>
          <w:p w14:paraId="641FAB18" w14:textId="434A0EFB" w:rsidR="00DB56CA" w:rsidRPr="00E11FFB" w:rsidRDefault="00311177" w:rsidP="00DB56CA">
            <w:pPr>
              <w:rPr>
                <w:rFonts w:ascii="Avenir" w:eastAsia="Avenir" w:hAnsi="Avenir" w:cs="Avenir"/>
                <w:color w:val="000000"/>
                <w:sz w:val="16"/>
                <w:szCs w:val="16"/>
                <w:highlight w:val="yellow"/>
              </w:rPr>
            </w:pPr>
            <w:r w:rsidRPr="00E11FFB">
              <w:rPr>
                <w:rFonts w:ascii="Avenir" w:eastAsia="Avenir" w:hAnsi="Avenir" w:cs="Avenir"/>
                <w:color w:val="000000"/>
                <w:sz w:val="16"/>
                <w:szCs w:val="16"/>
              </w:rPr>
              <w:t>0 décision</w:t>
            </w:r>
            <w:r w:rsidR="006A4BCD" w:rsidRPr="00E11FFB">
              <w:rPr>
                <w:rFonts w:ascii="Avenir" w:eastAsia="Avenir" w:hAnsi="Avenir" w:cs="Avenir"/>
                <w:color w:val="000000"/>
                <w:sz w:val="16"/>
                <w:szCs w:val="16"/>
              </w:rPr>
              <w:t xml:space="preserve">. Début des </w:t>
            </w:r>
            <w:r w:rsidR="004F158D" w:rsidRPr="00E11FFB">
              <w:rPr>
                <w:rFonts w:ascii="Avenir" w:eastAsia="Avenir" w:hAnsi="Avenir" w:cs="Avenir"/>
                <w:color w:val="000000"/>
                <w:sz w:val="16"/>
                <w:szCs w:val="16"/>
              </w:rPr>
              <w:t>c</w:t>
            </w:r>
            <w:r w:rsidR="006A4BCD" w:rsidRPr="00E11FFB">
              <w:rPr>
                <w:rFonts w:ascii="Avenir" w:eastAsia="Avenir" w:hAnsi="Avenir" w:cs="Avenir"/>
                <w:color w:val="000000"/>
                <w:sz w:val="16"/>
                <w:szCs w:val="16"/>
              </w:rPr>
              <w:t xml:space="preserve">onsultations sur les règles de gestion. </w:t>
            </w:r>
          </w:p>
        </w:tc>
        <w:tc>
          <w:tcPr>
            <w:tcW w:w="1620" w:type="dxa"/>
          </w:tcPr>
          <w:p w14:paraId="2DF3AE8E" w14:textId="46038413" w:rsidR="00DB56CA" w:rsidRPr="00E11FFB" w:rsidRDefault="004F158D" w:rsidP="00DB56CA">
            <w:pPr>
              <w:rPr>
                <w:b/>
                <w:bCs/>
                <w:color w:val="000000" w:themeColor="text1"/>
                <w:sz w:val="16"/>
                <w:szCs w:val="16"/>
              </w:rPr>
            </w:pPr>
            <w:r w:rsidRPr="00E11FFB">
              <w:rPr>
                <w:b/>
                <w:bCs/>
                <w:color w:val="000000" w:themeColor="text1"/>
                <w:sz w:val="16"/>
                <w:szCs w:val="16"/>
              </w:rPr>
              <w:t>En cours</w:t>
            </w:r>
            <w:r w:rsidR="00DB56CA" w:rsidRPr="00E11FFB">
              <w:rPr>
                <w:b/>
                <w:bCs/>
                <w:color w:val="000000" w:themeColor="text1"/>
                <w:sz w:val="16"/>
                <w:szCs w:val="16"/>
              </w:rPr>
              <w:t>.</w:t>
            </w:r>
          </w:p>
        </w:tc>
        <w:tc>
          <w:tcPr>
            <w:tcW w:w="3330" w:type="dxa"/>
          </w:tcPr>
          <w:p w14:paraId="787C5A92" w14:textId="2E4F95F5" w:rsidR="00DB56CA" w:rsidRPr="00E11FFB" w:rsidRDefault="00311177" w:rsidP="00DB56CA">
            <w:pPr>
              <w:rPr>
                <w:rFonts w:ascii="Avenir" w:eastAsia="Avenir" w:hAnsi="Avenir" w:cs="Avenir"/>
                <w:color w:val="000000"/>
                <w:sz w:val="16"/>
                <w:szCs w:val="16"/>
              </w:rPr>
            </w:pPr>
            <w:r w:rsidRPr="00E11FFB">
              <w:rPr>
                <w:rFonts w:ascii="Avenir" w:eastAsia="Avenir" w:hAnsi="Avenir" w:cs="Avenir"/>
                <w:color w:val="000000"/>
                <w:sz w:val="16"/>
                <w:szCs w:val="16"/>
              </w:rPr>
              <w:t>Finalisation des consultations sur les règles de gestion</w:t>
            </w:r>
            <w:r w:rsidR="006657F7" w:rsidRPr="00E11FFB">
              <w:rPr>
                <w:rFonts w:ascii="Avenir" w:eastAsia="Avenir" w:hAnsi="Avenir" w:cs="Avenir"/>
                <w:color w:val="000000"/>
                <w:sz w:val="16"/>
                <w:szCs w:val="16"/>
              </w:rPr>
              <w:t>, atelier de validation des règles</w:t>
            </w:r>
            <w:r w:rsidRPr="00E11FFB">
              <w:rPr>
                <w:rFonts w:ascii="Avenir" w:eastAsia="Avenir" w:hAnsi="Avenir" w:cs="Avenir"/>
                <w:color w:val="000000"/>
                <w:sz w:val="16"/>
                <w:szCs w:val="16"/>
              </w:rPr>
              <w:t xml:space="preserve"> et prise d’un acte juridique.</w:t>
            </w:r>
          </w:p>
        </w:tc>
      </w:tr>
      <w:tr w:rsidR="006B24AA" w:rsidRPr="00E11FFB" w14:paraId="549F22E9" w14:textId="77777777" w:rsidTr="00166C22">
        <w:trPr>
          <w:jc w:val="center"/>
        </w:trPr>
        <w:tc>
          <w:tcPr>
            <w:tcW w:w="2425" w:type="dxa"/>
            <w:vAlign w:val="center"/>
          </w:tcPr>
          <w:p w14:paraId="2EE109DD" w14:textId="60A04A9D" w:rsidR="006B24AA" w:rsidRPr="00E11FFB" w:rsidRDefault="006B24AA" w:rsidP="006B24AA">
            <w:pPr>
              <w:rPr>
                <w:rFonts w:ascii="Avenir" w:eastAsia="Avenir" w:hAnsi="Avenir" w:cs="Avenir"/>
                <w:color w:val="000000"/>
                <w:sz w:val="16"/>
                <w:szCs w:val="16"/>
              </w:rPr>
            </w:pPr>
            <w:r w:rsidRPr="00E11FFB">
              <w:rPr>
                <w:color w:val="000000"/>
                <w:sz w:val="16"/>
                <w:szCs w:val="16"/>
              </w:rPr>
              <w:t>3.2.1 : Répertorier et publier les concessions forestières de conservation attribuées.</w:t>
            </w:r>
          </w:p>
        </w:tc>
        <w:tc>
          <w:tcPr>
            <w:tcW w:w="720" w:type="dxa"/>
            <w:vMerge w:val="restart"/>
          </w:tcPr>
          <w:p w14:paraId="0A444140"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    </w:t>
            </w:r>
          </w:p>
          <w:p w14:paraId="7787DF2E" w14:textId="77777777" w:rsidR="006B24AA" w:rsidRPr="00E11FFB" w:rsidRDefault="006B24AA" w:rsidP="006B24AA">
            <w:pPr>
              <w:rPr>
                <w:rFonts w:ascii="Avenir" w:eastAsia="Avenir" w:hAnsi="Avenir" w:cs="Avenir"/>
                <w:color w:val="000000"/>
                <w:sz w:val="16"/>
                <w:szCs w:val="16"/>
              </w:rPr>
            </w:pPr>
          </w:p>
          <w:p w14:paraId="3289EAFD" w14:textId="77777777" w:rsidR="006B24AA" w:rsidRPr="00E11FFB" w:rsidRDefault="006B24AA" w:rsidP="006B24AA">
            <w:pPr>
              <w:rPr>
                <w:rFonts w:ascii="Avenir" w:eastAsia="Avenir" w:hAnsi="Avenir" w:cs="Avenir"/>
                <w:color w:val="000000"/>
                <w:sz w:val="16"/>
                <w:szCs w:val="16"/>
              </w:rPr>
            </w:pPr>
          </w:p>
          <w:p w14:paraId="7008A860" w14:textId="77777777" w:rsidR="006B24AA" w:rsidRPr="00E11FFB" w:rsidRDefault="006B24AA" w:rsidP="006B24AA">
            <w:pPr>
              <w:rPr>
                <w:rFonts w:ascii="Avenir" w:eastAsia="Avenir" w:hAnsi="Avenir" w:cs="Avenir"/>
                <w:color w:val="000000"/>
                <w:sz w:val="16"/>
                <w:szCs w:val="16"/>
              </w:rPr>
            </w:pPr>
          </w:p>
          <w:p w14:paraId="17305B1F" w14:textId="77777777" w:rsidR="006B24AA" w:rsidRPr="00E11FFB" w:rsidRDefault="006B24AA" w:rsidP="006B24AA">
            <w:pPr>
              <w:rPr>
                <w:rFonts w:ascii="Avenir" w:eastAsia="Avenir" w:hAnsi="Avenir" w:cs="Avenir"/>
                <w:color w:val="000000"/>
                <w:sz w:val="16"/>
                <w:szCs w:val="16"/>
              </w:rPr>
            </w:pPr>
          </w:p>
          <w:p w14:paraId="35246BA2" w14:textId="77777777" w:rsidR="006B24AA" w:rsidRPr="00E11FFB" w:rsidRDefault="006B24AA" w:rsidP="006B24AA">
            <w:pPr>
              <w:rPr>
                <w:rFonts w:ascii="Avenir" w:eastAsia="Avenir" w:hAnsi="Avenir" w:cs="Avenir"/>
                <w:color w:val="000000"/>
                <w:sz w:val="16"/>
                <w:szCs w:val="16"/>
              </w:rPr>
            </w:pPr>
          </w:p>
          <w:p w14:paraId="5142089B"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 3.2</w:t>
            </w:r>
          </w:p>
        </w:tc>
        <w:tc>
          <w:tcPr>
            <w:tcW w:w="1350" w:type="dxa"/>
            <w:vAlign w:val="center"/>
          </w:tcPr>
          <w:p w14:paraId="6D510B95" w14:textId="107408B0" w:rsidR="006B24AA" w:rsidRPr="00E11FFB" w:rsidRDefault="006B24AA" w:rsidP="006B24AA">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593634D6"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Au moins 20 concessions forestières de conservation légales publiées et 20 résiliées</w:t>
            </w:r>
          </w:p>
        </w:tc>
        <w:tc>
          <w:tcPr>
            <w:tcW w:w="2430" w:type="dxa"/>
          </w:tcPr>
          <w:p w14:paraId="0F95CA31" w14:textId="276E7581"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Liste provisoire de 48 concessions forestières résiliées et celles publiées. </w:t>
            </w:r>
          </w:p>
        </w:tc>
        <w:tc>
          <w:tcPr>
            <w:tcW w:w="1620" w:type="dxa"/>
          </w:tcPr>
          <w:p w14:paraId="007A621E" w14:textId="7DE60DB6" w:rsidR="006B24AA" w:rsidRPr="00E11FFB" w:rsidRDefault="006B24AA" w:rsidP="006B24AA">
            <w:pPr>
              <w:rPr>
                <w:b/>
                <w:bCs/>
                <w:color w:val="000000" w:themeColor="text1"/>
                <w:sz w:val="16"/>
                <w:szCs w:val="16"/>
              </w:rPr>
            </w:pPr>
            <w:r w:rsidRPr="00E11FFB">
              <w:rPr>
                <w:b/>
                <w:bCs/>
                <w:color w:val="000000" w:themeColor="text1"/>
                <w:sz w:val="16"/>
                <w:szCs w:val="16"/>
              </w:rPr>
              <w:t>En cours</w:t>
            </w:r>
          </w:p>
        </w:tc>
        <w:tc>
          <w:tcPr>
            <w:tcW w:w="3330" w:type="dxa"/>
          </w:tcPr>
          <w:p w14:paraId="7212C1BB" w14:textId="3CB85A3F"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Revue légale des concessions de conservation, publication du rapport de la revue, </w:t>
            </w:r>
          </w:p>
        </w:tc>
      </w:tr>
      <w:tr w:rsidR="006B24AA" w:rsidRPr="00E11FFB" w14:paraId="3E47BA47" w14:textId="77777777" w:rsidTr="00311177">
        <w:trPr>
          <w:trHeight w:val="1336"/>
          <w:jc w:val="center"/>
        </w:trPr>
        <w:tc>
          <w:tcPr>
            <w:tcW w:w="2425" w:type="dxa"/>
            <w:vAlign w:val="center"/>
          </w:tcPr>
          <w:p w14:paraId="780B334F" w14:textId="7ACB0B9D" w:rsidR="006B24AA" w:rsidRPr="00E11FFB" w:rsidRDefault="006B24AA" w:rsidP="006B24AA">
            <w:pPr>
              <w:ind w:left="10"/>
              <w:rPr>
                <w:rFonts w:ascii="Avenir" w:eastAsia="Avenir" w:hAnsi="Avenir" w:cs="Avenir"/>
                <w:color w:val="000000"/>
                <w:sz w:val="16"/>
                <w:szCs w:val="16"/>
              </w:rPr>
            </w:pPr>
            <w:r w:rsidRPr="00E11FFB">
              <w:rPr>
                <w:color w:val="000000"/>
                <w:sz w:val="16"/>
                <w:szCs w:val="16"/>
              </w:rPr>
              <w:t>3</w:t>
            </w:r>
            <w:r w:rsidRPr="00E11FFB">
              <w:rPr>
                <w:color w:val="000000"/>
                <w:sz w:val="14"/>
                <w:szCs w:val="14"/>
              </w:rPr>
              <w:t>.2.2 : Réaliser la revue légale des concessions de conservations (en prenant en compte notamment les accords sur les clauses sociales, les plans de gestion et la fiscalité, en concertation avec les diverses parties prenantes dont la société civile) et publier le rapport de la revue.</w:t>
            </w:r>
          </w:p>
        </w:tc>
        <w:tc>
          <w:tcPr>
            <w:tcW w:w="720" w:type="dxa"/>
            <w:vMerge/>
          </w:tcPr>
          <w:p w14:paraId="60BC68C4"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370C05D7" w14:textId="36832015" w:rsidR="006B24AA" w:rsidRPr="00E11FFB" w:rsidRDefault="006B24AA" w:rsidP="006B24AA">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790" w:type="dxa"/>
            <w:vAlign w:val="center"/>
          </w:tcPr>
          <w:p w14:paraId="6348CC64" w14:textId="77777777"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Cs/>
                <w:color w:val="000000"/>
                <w:sz w:val="16"/>
                <w:szCs w:val="16"/>
              </w:rPr>
              <w:t xml:space="preserve">1 </w:t>
            </w:r>
            <w:r w:rsidRPr="00E11FFB">
              <w:rPr>
                <w:bCs/>
                <w:color w:val="000000"/>
                <w:sz w:val="16"/>
                <w:szCs w:val="16"/>
              </w:rPr>
              <w:t>Revue légale des titres de</w:t>
            </w:r>
            <w:r w:rsidRPr="00E11FFB">
              <w:rPr>
                <w:color w:val="000000"/>
                <w:sz w:val="16"/>
                <w:szCs w:val="16"/>
              </w:rPr>
              <w:t xml:space="preserve"> concessions forestières de conservation</w:t>
            </w:r>
          </w:p>
        </w:tc>
        <w:tc>
          <w:tcPr>
            <w:tcW w:w="2430" w:type="dxa"/>
          </w:tcPr>
          <w:p w14:paraId="1CBCA217" w14:textId="77777777" w:rsidR="006B24AA" w:rsidRPr="00E11FFB" w:rsidRDefault="006B24AA" w:rsidP="006B24AA">
            <w:pPr>
              <w:rPr>
                <w:rFonts w:ascii="Avenir" w:eastAsia="Avenir" w:hAnsi="Avenir" w:cs="Avenir"/>
                <w:b/>
                <w:color w:val="000000"/>
                <w:sz w:val="16"/>
                <w:szCs w:val="16"/>
              </w:rPr>
            </w:pPr>
          </w:p>
          <w:p w14:paraId="797B2E1D" w14:textId="77777777" w:rsidR="006B24AA" w:rsidRPr="00E11FFB" w:rsidRDefault="006B24AA" w:rsidP="006B24AA">
            <w:pPr>
              <w:rPr>
                <w:rFonts w:ascii="Avenir" w:eastAsia="Avenir" w:hAnsi="Avenir" w:cs="Avenir"/>
                <w:sz w:val="16"/>
                <w:szCs w:val="16"/>
              </w:rPr>
            </w:pPr>
          </w:p>
          <w:p w14:paraId="7AD5F682" w14:textId="0C9AF914" w:rsidR="006B24AA" w:rsidRPr="00E11FFB" w:rsidRDefault="006B24AA" w:rsidP="006B24AA">
            <w:pPr>
              <w:rPr>
                <w:rFonts w:ascii="Avenir" w:eastAsia="Avenir" w:hAnsi="Avenir" w:cs="Avenir"/>
                <w:bCs/>
                <w:sz w:val="16"/>
                <w:szCs w:val="16"/>
              </w:rPr>
            </w:pPr>
            <w:r w:rsidRPr="00E11FFB">
              <w:rPr>
                <w:rFonts w:ascii="Avenir" w:eastAsia="Avenir" w:hAnsi="Avenir" w:cs="Avenir"/>
                <w:bCs/>
                <w:color w:val="000000"/>
                <w:sz w:val="16"/>
                <w:szCs w:val="16"/>
              </w:rPr>
              <w:t>Activité budgétée pour phase 2 du projet PAAJ</w:t>
            </w:r>
            <w:r w:rsidR="00FC2A97">
              <w:rPr>
                <w:rFonts w:ascii="Avenir" w:eastAsia="Avenir" w:hAnsi="Avenir" w:cs="Avenir"/>
                <w:bCs/>
                <w:color w:val="000000"/>
                <w:sz w:val="16"/>
                <w:szCs w:val="16"/>
              </w:rPr>
              <w:t> ; Une feuille de route de la revue légale</w:t>
            </w:r>
          </w:p>
        </w:tc>
        <w:tc>
          <w:tcPr>
            <w:tcW w:w="1620" w:type="dxa"/>
          </w:tcPr>
          <w:p w14:paraId="7D5EE5CA" w14:textId="2F6BA1C8" w:rsidR="006B24AA" w:rsidRPr="00E11FFB" w:rsidRDefault="006B24AA" w:rsidP="006B24AA">
            <w:pPr>
              <w:rPr>
                <w:b/>
                <w:bCs/>
                <w:color w:val="000000" w:themeColor="text1"/>
                <w:sz w:val="16"/>
                <w:szCs w:val="16"/>
              </w:rPr>
            </w:pPr>
            <w:r w:rsidRPr="00E11FFB">
              <w:rPr>
                <w:b/>
                <w:bCs/>
                <w:color w:val="000000" w:themeColor="text1"/>
                <w:sz w:val="16"/>
                <w:szCs w:val="16"/>
              </w:rPr>
              <w:t>Non entamé</w:t>
            </w:r>
          </w:p>
        </w:tc>
        <w:tc>
          <w:tcPr>
            <w:tcW w:w="3330" w:type="dxa"/>
          </w:tcPr>
          <w:p w14:paraId="3CA26D4B" w14:textId="25BDE8D6"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Revue légale des concessions de conservation, publication du rapport de la revue, </w:t>
            </w:r>
          </w:p>
        </w:tc>
      </w:tr>
      <w:tr w:rsidR="006B24AA" w:rsidRPr="00E11FFB" w14:paraId="5A45E0DB" w14:textId="77777777" w:rsidTr="00166C22">
        <w:trPr>
          <w:jc w:val="center"/>
        </w:trPr>
        <w:tc>
          <w:tcPr>
            <w:tcW w:w="2425" w:type="dxa"/>
            <w:vAlign w:val="center"/>
          </w:tcPr>
          <w:p w14:paraId="60C1FC13" w14:textId="715075E4" w:rsidR="006B24AA" w:rsidRPr="00E11FFB" w:rsidRDefault="006B24AA" w:rsidP="006B24AA">
            <w:pPr>
              <w:rPr>
                <w:rFonts w:ascii="Avenir" w:eastAsia="Avenir" w:hAnsi="Avenir" w:cs="Avenir"/>
                <w:sz w:val="16"/>
                <w:szCs w:val="16"/>
              </w:rPr>
            </w:pPr>
            <w:r w:rsidRPr="00E11FFB">
              <w:rPr>
                <w:sz w:val="16"/>
                <w:szCs w:val="16"/>
              </w:rPr>
              <w:t>3.2.3 : Résilier les concessions de conservation jugées illégales.</w:t>
            </w:r>
          </w:p>
        </w:tc>
        <w:tc>
          <w:tcPr>
            <w:tcW w:w="720" w:type="dxa"/>
            <w:vMerge/>
          </w:tcPr>
          <w:p w14:paraId="0CF04D48" w14:textId="77777777" w:rsidR="006B24AA" w:rsidRPr="00E11FFB" w:rsidRDefault="006B24AA" w:rsidP="006B24AA">
            <w:pPr>
              <w:rPr>
                <w:rFonts w:ascii="Avenir" w:eastAsia="Avenir" w:hAnsi="Avenir" w:cs="Avenir"/>
                <w:sz w:val="16"/>
                <w:szCs w:val="16"/>
              </w:rPr>
            </w:pPr>
          </w:p>
        </w:tc>
        <w:tc>
          <w:tcPr>
            <w:tcW w:w="1350" w:type="dxa"/>
            <w:vAlign w:val="center"/>
          </w:tcPr>
          <w:p w14:paraId="79D1779A" w14:textId="20C432D5" w:rsidR="006B24AA" w:rsidRPr="00E11FFB" w:rsidRDefault="006B24AA" w:rsidP="006B24AA">
            <w:pPr>
              <w:rPr>
                <w:rFonts w:ascii="Avenir" w:eastAsia="Avenir" w:hAnsi="Avenir" w:cs="Avenir"/>
                <w:sz w:val="16"/>
                <w:szCs w:val="16"/>
              </w:rPr>
            </w:pPr>
            <w:r w:rsidRPr="00E11FFB">
              <w:rPr>
                <w:rFonts w:ascii="Avenir" w:eastAsia="Avenir" w:hAnsi="Avenir" w:cs="Avenir"/>
                <w:b/>
                <w:sz w:val="16"/>
                <w:szCs w:val="16"/>
              </w:rPr>
              <w:t>Du 01/04/2025 au 31/12/2025</w:t>
            </w:r>
          </w:p>
        </w:tc>
        <w:tc>
          <w:tcPr>
            <w:tcW w:w="2790" w:type="dxa"/>
            <w:vAlign w:val="center"/>
          </w:tcPr>
          <w:p w14:paraId="73E654D7" w14:textId="77777777" w:rsidR="006B24AA" w:rsidRPr="00E11FFB" w:rsidRDefault="006B24AA" w:rsidP="006B24AA">
            <w:pPr>
              <w:rPr>
                <w:rFonts w:ascii="Avenir" w:eastAsia="Avenir" w:hAnsi="Avenir" w:cs="Avenir"/>
                <w:b/>
                <w:sz w:val="16"/>
                <w:szCs w:val="16"/>
              </w:rPr>
            </w:pPr>
            <w:r w:rsidRPr="00E11FFB">
              <w:rPr>
                <w:sz w:val="16"/>
                <w:szCs w:val="16"/>
              </w:rPr>
              <w:t>10 concessions de conservation jugées illégales résiliées</w:t>
            </w:r>
          </w:p>
        </w:tc>
        <w:tc>
          <w:tcPr>
            <w:tcW w:w="2430" w:type="dxa"/>
          </w:tcPr>
          <w:p w14:paraId="038FD396" w14:textId="77777777" w:rsidR="006B24AA" w:rsidRPr="00E11FFB" w:rsidRDefault="006B24AA" w:rsidP="006B24AA">
            <w:pPr>
              <w:rPr>
                <w:rFonts w:ascii="Avenir" w:eastAsia="Avenir" w:hAnsi="Avenir" w:cs="Avenir"/>
                <w:b/>
                <w:color w:val="000000"/>
                <w:sz w:val="16"/>
                <w:szCs w:val="16"/>
              </w:rPr>
            </w:pPr>
          </w:p>
          <w:p w14:paraId="6651ACB8" w14:textId="45F7146C"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Cs/>
                <w:color w:val="000000"/>
                <w:sz w:val="16"/>
                <w:szCs w:val="16"/>
              </w:rPr>
              <w:t xml:space="preserve">Activité budgétée pour phase 2 du projet PAAJ. Cependant une liste de 8 concessions résiliées disponibles. </w:t>
            </w:r>
          </w:p>
        </w:tc>
        <w:tc>
          <w:tcPr>
            <w:tcW w:w="1620" w:type="dxa"/>
          </w:tcPr>
          <w:p w14:paraId="665C0F58" w14:textId="63918820" w:rsidR="006B24AA" w:rsidRPr="00E11FFB" w:rsidRDefault="006B24AA" w:rsidP="006B24AA">
            <w:pPr>
              <w:rPr>
                <w:b/>
                <w:bCs/>
                <w:color w:val="000000" w:themeColor="text1"/>
                <w:sz w:val="16"/>
                <w:szCs w:val="16"/>
              </w:rPr>
            </w:pPr>
            <w:r w:rsidRPr="00E11FFB">
              <w:rPr>
                <w:b/>
                <w:bCs/>
                <w:color w:val="000000" w:themeColor="text1"/>
                <w:sz w:val="16"/>
                <w:szCs w:val="16"/>
              </w:rPr>
              <w:t xml:space="preserve">Non entamé </w:t>
            </w:r>
          </w:p>
        </w:tc>
        <w:tc>
          <w:tcPr>
            <w:tcW w:w="3330" w:type="dxa"/>
          </w:tcPr>
          <w:p w14:paraId="74C59083" w14:textId="5E8815EC"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Publication des concessions résiliées, prise d’acte juridique et suivi d’exécution sur terrain. </w:t>
            </w:r>
          </w:p>
        </w:tc>
      </w:tr>
      <w:tr w:rsidR="006B24AA" w:rsidRPr="00E11FFB" w14:paraId="25AAEBB5" w14:textId="77777777" w:rsidTr="00166C22">
        <w:trPr>
          <w:jc w:val="center"/>
        </w:trPr>
        <w:tc>
          <w:tcPr>
            <w:tcW w:w="2425" w:type="dxa"/>
            <w:vAlign w:val="center"/>
          </w:tcPr>
          <w:p w14:paraId="45D027B8" w14:textId="7D903F98" w:rsidR="006B24AA" w:rsidRPr="00E11FFB" w:rsidRDefault="006B24AA" w:rsidP="006B24AA">
            <w:pPr>
              <w:rPr>
                <w:rFonts w:ascii="Avenir" w:eastAsia="Avenir" w:hAnsi="Avenir" w:cs="Avenir"/>
                <w:color w:val="000000"/>
                <w:sz w:val="16"/>
                <w:szCs w:val="16"/>
              </w:rPr>
            </w:pPr>
            <w:r w:rsidRPr="00E11FFB">
              <w:rPr>
                <w:color w:val="000000"/>
                <w:sz w:val="16"/>
                <w:szCs w:val="16"/>
              </w:rPr>
              <w:t>3.3.1 : Définir le concept des forêts dégradées.</w:t>
            </w:r>
          </w:p>
        </w:tc>
        <w:tc>
          <w:tcPr>
            <w:tcW w:w="720" w:type="dxa"/>
            <w:vMerge w:val="restart"/>
          </w:tcPr>
          <w:p w14:paraId="5D90A8D7"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3.3</w:t>
            </w:r>
          </w:p>
        </w:tc>
        <w:tc>
          <w:tcPr>
            <w:tcW w:w="1350" w:type="dxa"/>
            <w:vAlign w:val="center"/>
          </w:tcPr>
          <w:p w14:paraId="11AA28A2" w14:textId="43900ABE" w:rsidR="006B24AA" w:rsidRPr="00E11FFB" w:rsidRDefault="006B24AA" w:rsidP="006B24AA">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790" w:type="dxa"/>
            <w:vAlign w:val="center"/>
          </w:tcPr>
          <w:p w14:paraId="47E5913D" w14:textId="1A136050"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Cs/>
                <w:color w:val="000000"/>
                <w:sz w:val="16"/>
                <w:szCs w:val="16"/>
              </w:rPr>
              <w:t>1 concept défini</w:t>
            </w:r>
          </w:p>
        </w:tc>
        <w:tc>
          <w:tcPr>
            <w:tcW w:w="2430" w:type="dxa"/>
          </w:tcPr>
          <w:p w14:paraId="4D01A873" w14:textId="7FC430FB"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Le concept de forêt dégradée défini, les consultations organisées dans les 26 provinces et Un atelier de validation national </w:t>
            </w:r>
          </w:p>
        </w:tc>
        <w:tc>
          <w:tcPr>
            <w:tcW w:w="1620" w:type="dxa"/>
          </w:tcPr>
          <w:p w14:paraId="53A83511" w14:textId="4CDD14E7" w:rsidR="006B24AA" w:rsidRPr="00E11FFB" w:rsidRDefault="006B24AA" w:rsidP="006B24AA">
            <w:pPr>
              <w:rPr>
                <w:b/>
                <w:bCs/>
                <w:color w:val="000000" w:themeColor="text1"/>
                <w:sz w:val="16"/>
                <w:szCs w:val="16"/>
              </w:rPr>
            </w:pPr>
            <w:r w:rsidRPr="00E11FFB">
              <w:rPr>
                <w:b/>
                <w:bCs/>
                <w:color w:val="000000" w:themeColor="text1"/>
                <w:sz w:val="16"/>
                <w:szCs w:val="16"/>
              </w:rPr>
              <w:t>Atteint</w:t>
            </w:r>
          </w:p>
        </w:tc>
        <w:tc>
          <w:tcPr>
            <w:tcW w:w="3330" w:type="dxa"/>
          </w:tcPr>
          <w:p w14:paraId="7708BF97" w14:textId="2DE35DA6"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Aucune action pour l’année suivante hormis la vulgarisation dans le cadre de la politique forestière</w:t>
            </w:r>
          </w:p>
        </w:tc>
      </w:tr>
      <w:tr w:rsidR="006B24AA" w:rsidRPr="00E11FFB" w14:paraId="530C6EC7" w14:textId="77777777" w:rsidTr="00166C22">
        <w:trPr>
          <w:jc w:val="center"/>
        </w:trPr>
        <w:tc>
          <w:tcPr>
            <w:tcW w:w="2425" w:type="dxa"/>
            <w:vAlign w:val="center"/>
          </w:tcPr>
          <w:p w14:paraId="29214F4E" w14:textId="7B14CDBF" w:rsidR="006B24AA" w:rsidRPr="00E11FFB" w:rsidRDefault="006B24AA" w:rsidP="006B24AA">
            <w:pPr>
              <w:rPr>
                <w:rFonts w:ascii="Avenir" w:eastAsia="Avenir" w:hAnsi="Avenir" w:cs="Avenir"/>
                <w:color w:val="000000"/>
                <w:sz w:val="16"/>
                <w:szCs w:val="16"/>
              </w:rPr>
            </w:pPr>
            <w:r w:rsidRPr="00E11FFB">
              <w:rPr>
                <w:color w:val="000000"/>
                <w:sz w:val="16"/>
                <w:szCs w:val="16"/>
              </w:rPr>
              <w:t>3.3.2 : Identifier et cartographier les forêts dégradées</w:t>
            </w:r>
          </w:p>
        </w:tc>
        <w:tc>
          <w:tcPr>
            <w:tcW w:w="720" w:type="dxa"/>
            <w:vMerge/>
          </w:tcPr>
          <w:p w14:paraId="7DEC20EC"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66B809C6" w14:textId="068B540A" w:rsidR="006B24AA" w:rsidRPr="00E11FFB" w:rsidRDefault="006B24AA" w:rsidP="006B24AA">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790" w:type="dxa"/>
            <w:vAlign w:val="center"/>
          </w:tcPr>
          <w:p w14:paraId="3D5BDD80" w14:textId="77777777"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Cs/>
                <w:color w:val="000000"/>
                <w:sz w:val="16"/>
                <w:szCs w:val="16"/>
              </w:rPr>
              <w:t xml:space="preserve">Au moins 50 </w:t>
            </w:r>
            <w:r w:rsidRPr="00E11FFB">
              <w:rPr>
                <w:bCs/>
                <w:color w:val="000000"/>
                <w:sz w:val="16"/>
                <w:szCs w:val="16"/>
              </w:rPr>
              <w:t>Cartographie des forêts</w:t>
            </w:r>
            <w:r w:rsidRPr="00E11FFB">
              <w:rPr>
                <w:color w:val="000000"/>
                <w:sz w:val="16"/>
                <w:szCs w:val="16"/>
              </w:rPr>
              <w:t xml:space="preserve"> dégradées et données SIG</w:t>
            </w:r>
          </w:p>
        </w:tc>
        <w:tc>
          <w:tcPr>
            <w:tcW w:w="2430" w:type="dxa"/>
          </w:tcPr>
          <w:p w14:paraId="084D58E9" w14:textId="4B187F26"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Début de production de carte de forêt dégradée </w:t>
            </w:r>
          </w:p>
        </w:tc>
        <w:tc>
          <w:tcPr>
            <w:tcW w:w="1620" w:type="dxa"/>
          </w:tcPr>
          <w:p w14:paraId="1A589B38" w14:textId="6DA09FBA" w:rsidR="006B24AA" w:rsidRPr="00E11FFB" w:rsidRDefault="006B24AA" w:rsidP="006B24AA">
            <w:pPr>
              <w:rPr>
                <w:b/>
                <w:bCs/>
                <w:color w:val="000000" w:themeColor="text1"/>
                <w:sz w:val="16"/>
                <w:szCs w:val="16"/>
              </w:rPr>
            </w:pPr>
            <w:r w:rsidRPr="00E11FFB">
              <w:rPr>
                <w:b/>
                <w:bCs/>
                <w:color w:val="000000" w:themeColor="text1"/>
                <w:sz w:val="16"/>
                <w:szCs w:val="16"/>
              </w:rPr>
              <w:t>En cours</w:t>
            </w:r>
          </w:p>
        </w:tc>
        <w:tc>
          <w:tcPr>
            <w:tcW w:w="3330" w:type="dxa"/>
          </w:tcPr>
          <w:p w14:paraId="54476C23" w14:textId="7C5EB0AD"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Identification et cartographie des forêts dégradées par type de forêt, organisation de l’atelier national de validation du rapport</w:t>
            </w:r>
          </w:p>
        </w:tc>
      </w:tr>
      <w:tr w:rsidR="006B24AA" w:rsidRPr="00E11FFB" w14:paraId="79D03F2B" w14:textId="77777777" w:rsidTr="00166C22">
        <w:trPr>
          <w:jc w:val="center"/>
        </w:trPr>
        <w:tc>
          <w:tcPr>
            <w:tcW w:w="2425" w:type="dxa"/>
          </w:tcPr>
          <w:p w14:paraId="1F02AFFF" w14:textId="3F7E755B" w:rsidR="006B24AA" w:rsidRPr="00E11FFB" w:rsidRDefault="006B24AA" w:rsidP="006B24AA">
            <w:pPr>
              <w:rPr>
                <w:rFonts w:ascii="Avenir" w:eastAsia="Avenir" w:hAnsi="Avenir" w:cs="Avenir"/>
                <w:color w:val="000000"/>
                <w:sz w:val="16"/>
                <w:szCs w:val="16"/>
              </w:rPr>
            </w:pPr>
            <w:r w:rsidRPr="00E11FFB">
              <w:rPr>
                <w:color w:val="FF0000"/>
                <w:sz w:val="16"/>
                <w:szCs w:val="16"/>
              </w:rPr>
              <w:t>3.4.1 : Evaluer l'efficacité du contrôle forestier.</w:t>
            </w:r>
          </w:p>
        </w:tc>
        <w:tc>
          <w:tcPr>
            <w:tcW w:w="720" w:type="dxa"/>
            <w:vMerge w:val="restart"/>
            <w:vAlign w:val="center"/>
          </w:tcPr>
          <w:p w14:paraId="45268C19"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3.4</w:t>
            </w:r>
          </w:p>
        </w:tc>
        <w:tc>
          <w:tcPr>
            <w:tcW w:w="1350" w:type="dxa"/>
            <w:vAlign w:val="center"/>
          </w:tcPr>
          <w:p w14:paraId="72D97957" w14:textId="1C7771CF"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2790" w:type="dxa"/>
            <w:vAlign w:val="center"/>
          </w:tcPr>
          <w:p w14:paraId="1C10EBC7" w14:textId="77777777" w:rsidR="006B24AA" w:rsidRPr="00E11FFB" w:rsidRDefault="006B24AA" w:rsidP="006B24AA">
            <w:pPr>
              <w:rPr>
                <w:rFonts w:ascii="Avenir" w:eastAsia="Avenir" w:hAnsi="Avenir" w:cs="Avenir"/>
                <w:b/>
                <w:color w:val="000000"/>
                <w:sz w:val="16"/>
                <w:szCs w:val="16"/>
              </w:rPr>
            </w:pPr>
            <w:r w:rsidRPr="00E11FFB">
              <w:rPr>
                <w:color w:val="FF0000"/>
                <w:sz w:val="16"/>
                <w:szCs w:val="16"/>
              </w:rPr>
              <w:t>Stratégies efficaces de contrôle forestier mises en place.</w:t>
            </w:r>
          </w:p>
        </w:tc>
        <w:tc>
          <w:tcPr>
            <w:tcW w:w="2430" w:type="dxa"/>
          </w:tcPr>
          <w:p w14:paraId="5031FDCB" w14:textId="1DD4FEB6"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Activité alignée sous le projet PGDF</w:t>
            </w:r>
          </w:p>
        </w:tc>
        <w:tc>
          <w:tcPr>
            <w:tcW w:w="1620" w:type="dxa"/>
          </w:tcPr>
          <w:p w14:paraId="28E2400C" w14:textId="2B1492FA" w:rsidR="006B24AA" w:rsidRPr="00E11FFB" w:rsidRDefault="006B24AA" w:rsidP="006B24AA">
            <w:pPr>
              <w:rPr>
                <w:b/>
                <w:bCs/>
                <w:color w:val="000000" w:themeColor="text1"/>
                <w:sz w:val="16"/>
                <w:szCs w:val="16"/>
              </w:rPr>
            </w:pPr>
            <w:r w:rsidRPr="00E11FFB">
              <w:rPr>
                <w:b/>
                <w:bCs/>
                <w:color w:val="000000" w:themeColor="text1"/>
                <w:sz w:val="16"/>
                <w:szCs w:val="16"/>
              </w:rPr>
              <w:t>Non entamé</w:t>
            </w:r>
          </w:p>
        </w:tc>
        <w:tc>
          <w:tcPr>
            <w:tcW w:w="3330" w:type="dxa"/>
          </w:tcPr>
          <w:p w14:paraId="0ABFC409" w14:textId="0E5B574F" w:rsidR="006B24AA" w:rsidRPr="00E11FFB" w:rsidRDefault="006B24AA" w:rsidP="006B24AA">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PTBA 2026 de PGDF</w:t>
            </w:r>
          </w:p>
        </w:tc>
      </w:tr>
      <w:tr w:rsidR="006B24AA" w:rsidRPr="00E11FFB" w14:paraId="62CDDB25" w14:textId="77777777" w:rsidTr="00166C22">
        <w:trPr>
          <w:jc w:val="center"/>
        </w:trPr>
        <w:tc>
          <w:tcPr>
            <w:tcW w:w="2425" w:type="dxa"/>
          </w:tcPr>
          <w:p w14:paraId="451453C6" w14:textId="515C73CB" w:rsidR="006B24AA" w:rsidRPr="00E11FFB" w:rsidRDefault="006B24AA" w:rsidP="006B24AA">
            <w:pPr>
              <w:rPr>
                <w:rFonts w:ascii="Avenir" w:eastAsia="Avenir" w:hAnsi="Avenir" w:cs="Avenir"/>
                <w:color w:val="000000"/>
                <w:sz w:val="16"/>
                <w:szCs w:val="16"/>
              </w:rPr>
            </w:pPr>
            <w:r w:rsidRPr="00E11FFB">
              <w:rPr>
                <w:color w:val="FF0000"/>
                <w:sz w:val="16"/>
                <w:szCs w:val="16"/>
              </w:rPr>
              <w:t>3.4.2 : Développer les stratégies de contrôle forestier (niveau national et provincial).</w:t>
            </w:r>
          </w:p>
        </w:tc>
        <w:tc>
          <w:tcPr>
            <w:tcW w:w="720" w:type="dxa"/>
            <w:vMerge/>
            <w:vAlign w:val="center"/>
          </w:tcPr>
          <w:p w14:paraId="37DEB636"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760102F1" w14:textId="5111328D"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2790" w:type="dxa"/>
            <w:vAlign w:val="center"/>
          </w:tcPr>
          <w:p w14:paraId="1FDAC2C7" w14:textId="77777777" w:rsidR="006B24AA" w:rsidRPr="00E11FFB" w:rsidRDefault="006B24AA" w:rsidP="006B24AA">
            <w:pPr>
              <w:rPr>
                <w:rFonts w:ascii="Avenir" w:eastAsia="Avenir" w:hAnsi="Avenir" w:cs="Avenir"/>
                <w:b/>
                <w:color w:val="000000"/>
                <w:sz w:val="16"/>
                <w:szCs w:val="16"/>
              </w:rPr>
            </w:pPr>
            <w:r w:rsidRPr="00E11FFB">
              <w:rPr>
                <w:color w:val="FF0000"/>
                <w:sz w:val="16"/>
                <w:szCs w:val="16"/>
              </w:rPr>
              <w:t>Stratégies efficaces de contrôle forestier mises en place.</w:t>
            </w:r>
          </w:p>
        </w:tc>
        <w:tc>
          <w:tcPr>
            <w:tcW w:w="2430" w:type="dxa"/>
          </w:tcPr>
          <w:p w14:paraId="266EFD13" w14:textId="3A618572"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Activité alignée sous le projet PGDF</w:t>
            </w:r>
          </w:p>
        </w:tc>
        <w:tc>
          <w:tcPr>
            <w:tcW w:w="1620" w:type="dxa"/>
          </w:tcPr>
          <w:p w14:paraId="0AEF7EE6" w14:textId="43407954" w:rsidR="006B24AA" w:rsidRPr="00E11FFB" w:rsidRDefault="006B24AA" w:rsidP="006B24AA">
            <w:pPr>
              <w:rPr>
                <w:b/>
                <w:bCs/>
                <w:color w:val="000000" w:themeColor="text1"/>
                <w:sz w:val="16"/>
                <w:szCs w:val="16"/>
              </w:rPr>
            </w:pPr>
            <w:r w:rsidRPr="00E11FFB">
              <w:rPr>
                <w:b/>
                <w:bCs/>
                <w:color w:val="000000" w:themeColor="text1"/>
                <w:sz w:val="16"/>
                <w:szCs w:val="16"/>
              </w:rPr>
              <w:t>Non entamé</w:t>
            </w:r>
          </w:p>
        </w:tc>
        <w:tc>
          <w:tcPr>
            <w:tcW w:w="3330" w:type="dxa"/>
          </w:tcPr>
          <w:p w14:paraId="20E3EB7D" w14:textId="67CD2015" w:rsidR="006B24AA" w:rsidRPr="00E11FFB" w:rsidRDefault="006B24AA" w:rsidP="006B24AA">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PTBA 2026 de PGDF</w:t>
            </w:r>
          </w:p>
        </w:tc>
      </w:tr>
      <w:tr w:rsidR="006B24AA" w:rsidRPr="00E11FFB" w14:paraId="2056AA7B" w14:textId="77777777" w:rsidTr="00BA5A2A">
        <w:trPr>
          <w:trHeight w:val="499"/>
          <w:jc w:val="center"/>
        </w:trPr>
        <w:tc>
          <w:tcPr>
            <w:tcW w:w="2425" w:type="dxa"/>
          </w:tcPr>
          <w:p w14:paraId="0E5D1840" w14:textId="4822641D" w:rsidR="006B24AA" w:rsidRPr="00E11FFB" w:rsidRDefault="006B24AA" w:rsidP="006B24AA">
            <w:pPr>
              <w:rPr>
                <w:rFonts w:ascii="Avenir" w:eastAsia="Avenir" w:hAnsi="Avenir" w:cs="Avenir"/>
                <w:color w:val="000000"/>
                <w:sz w:val="16"/>
                <w:szCs w:val="16"/>
              </w:rPr>
            </w:pPr>
            <w:r w:rsidRPr="00E11FFB">
              <w:rPr>
                <w:color w:val="FF0000"/>
                <w:sz w:val="16"/>
                <w:szCs w:val="16"/>
              </w:rPr>
              <w:t>3.4.3 : Réfléchir sur le rôle de l’observation indépendante mandatée et non-mandatée dans le cadre du CCNF et mettre en place un observatoire rénové.</w:t>
            </w:r>
          </w:p>
        </w:tc>
        <w:tc>
          <w:tcPr>
            <w:tcW w:w="720" w:type="dxa"/>
            <w:vMerge/>
            <w:vAlign w:val="center"/>
          </w:tcPr>
          <w:p w14:paraId="247801C1"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2AE80CED" w14:textId="27A66D67"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2790" w:type="dxa"/>
            <w:vAlign w:val="center"/>
          </w:tcPr>
          <w:p w14:paraId="2344A256" w14:textId="77777777" w:rsidR="006B24AA" w:rsidRPr="00E11FFB" w:rsidRDefault="006B24AA" w:rsidP="006B24AA">
            <w:pPr>
              <w:rPr>
                <w:rFonts w:ascii="Avenir" w:eastAsia="Avenir" w:hAnsi="Avenir" w:cs="Avenir"/>
                <w:b/>
                <w:color w:val="000000"/>
                <w:sz w:val="16"/>
                <w:szCs w:val="16"/>
              </w:rPr>
            </w:pPr>
            <w:r w:rsidRPr="00E11FFB">
              <w:rPr>
                <w:color w:val="FF0000"/>
                <w:sz w:val="16"/>
                <w:szCs w:val="16"/>
              </w:rPr>
              <w:t>1 observatoire rénové</w:t>
            </w:r>
          </w:p>
        </w:tc>
        <w:tc>
          <w:tcPr>
            <w:tcW w:w="2430" w:type="dxa"/>
          </w:tcPr>
          <w:p w14:paraId="1B148699" w14:textId="4A4930D1"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Activité alignée sous le projet PGDF</w:t>
            </w:r>
          </w:p>
        </w:tc>
        <w:tc>
          <w:tcPr>
            <w:tcW w:w="1620" w:type="dxa"/>
          </w:tcPr>
          <w:p w14:paraId="7D7C6EC0" w14:textId="722287BF" w:rsidR="006B24AA" w:rsidRPr="00E11FFB" w:rsidRDefault="006B24AA" w:rsidP="006B24AA">
            <w:pPr>
              <w:rPr>
                <w:b/>
                <w:bCs/>
                <w:color w:val="000000" w:themeColor="text1"/>
                <w:sz w:val="16"/>
                <w:szCs w:val="16"/>
              </w:rPr>
            </w:pPr>
            <w:r w:rsidRPr="00E11FFB">
              <w:rPr>
                <w:b/>
                <w:bCs/>
                <w:color w:val="000000" w:themeColor="text1"/>
                <w:sz w:val="16"/>
                <w:szCs w:val="16"/>
              </w:rPr>
              <w:t>Non entamé</w:t>
            </w:r>
          </w:p>
        </w:tc>
        <w:tc>
          <w:tcPr>
            <w:tcW w:w="3330" w:type="dxa"/>
          </w:tcPr>
          <w:p w14:paraId="29B1AD6B" w14:textId="20B2ED8D" w:rsidR="006B24AA" w:rsidRPr="00E11FFB" w:rsidRDefault="006B24AA" w:rsidP="006B24AA">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PTBA 2026 de PGDF</w:t>
            </w:r>
          </w:p>
        </w:tc>
      </w:tr>
      <w:tr w:rsidR="006B24AA" w:rsidRPr="00E11FFB" w14:paraId="1C54C3F7" w14:textId="77777777" w:rsidTr="00166C22">
        <w:trPr>
          <w:jc w:val="center"/>
        </w:trPr>
        <w:tc>
          <w:tcPr>
            <w:tcW w:w="2425" w:type="dxa"/>
          </w:tcPr>
          <w:p w14:paraId="37D6E489" w14:textId="54449544" w:rsidR="006B24AA" w:rsidRPr="00E11FFB" w:rsidRDefault="006B24AA" w:rsidP="006B24AA">
            <w:pPr>
              <w:rPr>
                <w:rFonts w:ascii="Avenir" w:eastAsia="Avenir" w:hAnsi="Avenir" w:cs="Avenir"/>
                <w:color w:val="000000"/>
                <w:sz w:val="16"/>
                <w:szCs w:val="16"/>
              </w:rPr>
            </w:pPr>
            <w:r w:rsidRPr="00E11FFB">
              <w:rPr>
                <w:color w:val="000000"/>
                <w:sz w:val="16"/>
                <w:szCs w:val="16"/>
              </w:rPr>
              <w:t>3.5.1 : Collecter et consolider les données, et publier les actes des états généraux.</w:t>
            </w:r>
          </w:p>
        </w:tc>
        <w:tc>
          <w:tcPr>
            <w:tcW w:w="720" w:type="dxa"/>
            <w:vMerge w:val="restart"/>
            <w:vAlign w:val="center"/>
          </w:tcPr>
          <w:p w14:paraId="4A0A29EB" w14:textId="77777777" w:rsidR="006B24AA" w:rsidRPr="00E11FFB" w:rsidRDefault="006B24AA" w:rsidP="006B24AA">
            <w:pPr>
              <w:rPr>
                <w:rFonts w:ascii="Avenir" w:eastAsia="Avenir" w:hAnsi="Avenir" w:cs="Avenir"/>
                <w:color w:val="000000"/>
                <w:sz w:val="16"/>
                <w:szCs w:val="16"/>
              </w:rPr>
            </w:pPr>
          </w:p>
          <w:p w14:paraId="02F70786" w14:textId="77777777" w:rsidR="006B24AA" w:rsidRPr="00E11FFB" w:rsidRDefault="006B24AA" w:rsidP="006B24AA">
            <w:pPr>
              <w:rPr>
                <w:rFonts w:ascii="Avenir" w:eastAsia="Avenir" w:hAnsi="Avenir" w:cs="Avenir"/>
                <w:color w:val="000000"/>
                <w:sz w:val="16"/>
                <w:szCs w:val="16"/>
              </w:rPr>
            </w:pPr>
          </w:p>
          <w:p w14:paraId="59E8496A" w14:textId="77777777" w:rsidR="006B24AA" w:rsidRPr="00E11FFB" w:rsidRDefault="006B24AA" w:rsidP="006B24AA">
            <w:pPr>
              <w:rPr>
                <w:rFonts w:ascii="Avenir" w:eastAsia="Avenir" w:hAnsi="Avenir" w:cs="Avenir"/>
                <w:color w:val="000000"/>
                <w:sz w:val="16"/>
                <w:szCs w:val="16"/>
              </w:rPr>
            </w:pPr>
          </w:p>
          <w:p w14:paraId="3F554805"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3.5</w:t>
            </w:r>
          </w:p>
        </w:tc>
        <w:tc>
          <w:tcPr>
            <w:tcW w:w="1350" w:type="dxa"/>
            <w:vAlign w:val="center"/>
          </w:tcPr>
          <w:p w14:paraId="45B8B07F" w14:textId="043A88E9"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5957D951"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1 actes des états généraux des forêts publiés</w:t>
            </w:r>
          </w:p>
        </w:tc>
        <w:tc>
          <w:tcPr>
            <w:tcW w:w="2430" w:type="dxa"/>
          </w:tcPr>
          <w:p w14:paraId="1A38E8D2" w14:textId="487AB564"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acte des états généraux sont publiés. </w:t>
            </w:r>
          </w:p>
        </w:tc>
        <w:tc>
          <w:tcPr>
            <w:tcW w:w="1620" w:type="dxa"/>
          </w:tcPr>
          <w:p w14:paraId="14488573" w14:textId="18ED3C09" w:rsidR="006B24AA" w:rsidRPr="00E11FFB" w:rsidRDefault="006B24AA" w:rsidP="006B24AA">
            <w:pPr>
              <w:rPr>
                <w:b/>
                <w:bCs/>
                <w:color w:val="000000" w:themeColor="text1"/>
                <w:sz w:val="16"/>
                <w:szCs w:val="16"/>
              </w:rPr>
            </w:pPr>
            <w:r w:rsidRPr="00E11FFB">
              <w:rPr>
                <w:b/>
                <w:bCs/>
                <w:color w:val="000000" w:themeColor="text1"/>
                <w:sz w:val="16"/>
                <w:szCs w:val="16"/>
              </w:rPr>
              <w:t xml:space="preserve">Atteint </w:t>
            </w:r>
          </w:p>
        </w:tc>
        <w:tc>
          <w:tcPr>
            <w:tcW w:w="3330" w:type="dxa"/>
          </w:tcPr>
          <w:p w14:paraId="3D34595B" w14:textId="2AC7E9F3"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Publication des actes des états généraux (y compris sur le site web du MEDD) </w:t>
            </w:r>
          </w:p>
        </w:tc>
      </w:tr>
      <w:tr w:rsidR="006B24AA" w:rsidRPr="00E11FFB" w14:paraId="385A2295" w14:textId="77777777" w:rsidTr="00166C22">
        <w:trPr>
          <w:jc w:val="center"/>
        </w:trPr>
        <w:tc>
          <w:tcPr>
            <w:tcW w:w="2425" w:type="dxa"/>
          </w:tcPr>
          <w:p w14:paraId="7AEE8E47" w14:textId="2D98D5FE" w:rsidR="006B24AA" w:rsidRPr="00E11FFB" w:rsidRDefault="006B24AA" w:rsidP="006B24AA">
            <w:pPr>
              <w:rPr>
                <w:rFonts w:ascii="Avenir" w:eastAsia="Avenir" w:hAnsi="Avenir" w:cs="Avenir"/>
                <w:color w:val="000000"/>
                <w:sz w:val="16"/>
                <w:szCs w:val="16"/>
              </w:rPr>
            </w:pPr>
            <w:r w:rsidRPr="00E11FFB">
              <w:rPr>
                <w:color w:val="000000"/>
                <w:sz w:val="16"/>
                <w:szCs w:val="16"/>
              </w:rPr>
              <w:t>3.5.2 : Appuyer l'élaboration du document de la Politique forestière (cfr PGDF).</w:t>
            </w:r>
          </w:p>
        </w:tc>
        <w:tc>
          <w:tcPr>
            <w:tcW w:w="720" w:type="dxa"/>
            <w:vMerge/>
            <w:vAlign w:val="center"/>
          </w:tcPr>
          <w:p w14:paraId="2CD538CC"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0AF0BF75" w14:textId="7266999F"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50ED9AB5"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Document de politique forestière nationale élaborée</w:t>
            </w:r>
          </w:p>
        </w:tc>
        <w:tc>
          <w:tcPr>
            <w:tcW w:w="2430" w:type="dxa"/>
          </w:tcPr>
          <w:p w14:paraId="4654FC3A" w14:textId="26D41796" w:rsidR="006B24AA" w:rsidRPr="00E11FFB" w:rsidRDefault="003B58DC" w:rsidP="006B24AA">
            <w:pPr>
              <w:rPr>
                <w:rFonts w:ascii="Avenir" w:eastAsia="Avenir" w:hAnsi="Avenir" w:cs="Avenir"/>
                <w:bCs/>
                <w:color w:val="000000"/>
                <w:sz w:val="16"/>
                <w:szCs w:val="16"/>
                <w:highlight w:val="yellow"/>
              </w:rPr>
            </w:pPr>
            <w:r w:rsidRPr="00E11FFB">
              <w:rPr>
                <w:rFonts w:ascii="Avenir" w:eastAsia="Avenir" w:hAnsi="Avenir" w:cs="Avenir"/>
                <w:bCs/>
                <w:color w:val="000000"/>
                <w:sz w:val="16"/>
                <w:szCs w:val="16"/>
              </w:rPr>
              <w:t xml:space="preserve">Consultations dans 26 provinces, </w:t>
            </w:r>
            <w:r w:rsidR="006B24AA" w:rsidRPr="00E11FFB">
              <w:rPr>
                <w:rFonts w:ascii="Avenir" w:eastAsia="Avenir" w:hAnsi="Avenir" w:cs="Avenir"/>
                <w:bCs/>
                <w:color w:val="000000"/>
                <w:sz w:val="16"/>
                <w:szCs w:val="16"/>
              </w:rPr>
              <w:t>Draft V</w:t>
            </w:r>
            <w:r w:rsidRPr="00E11FFB">
              <w:rPr>
                <w:rFonts w:ascii="Avenir" w:eastAsia="Avenir" w:hAnsi="Avenir" w:cs="Avenir"/>
                <w:bCs/>
                <w:color w:val="000000"/>
                <w:sz w:val="16"/>
                <w:szCs w:val="16"/>
              </w:rPr>
              <w:t>2</w:t>
            </w:r>
            <w:r w:rsidR="006B24AA" w:rsidRPr="00E11FFB">
              <w:rPr>
                <w:rFonts w:ascii="Avenir" w:eastAsia="Avenir" w:hAnsi="Avenir" w:cs="Avenir"/>
                <w:bCs/>
                <w:color w:val="000000"/>
                <w:sz w:val="16"/>
                <w:szCs w:val="16"/>
              </w:rPr>
              <w:t xml:space="preserve"> de la politique finalisée et TDRs de l’atelier de validation technique planifiée. Contrat de consultance sur l’EES </w:t>
            </w:r>
          </w:p>
        </w:tc>
        <w:tc>
          <w:tcPr>
            <w:tcW w:w="1620" w:type="dxa"/>
          </w:tcPr>
          <w:p w14:paraId="455D1B2E" w14:textId="66F92A17" w:rsidR="006B24AA" w:rsidRPr="00E11FFB" w:rsidRDefault="004E1D2E" w:rsidP="006B24AA">
            <w:pPr>
              <w:rPr>
                <w:b/>
                <w:bCs/>
                <w:color w:val="000000" w:themeColor="text1"/>
                <w:sz w:val="16"/>
                <w:szCs w:val="16"/>
              </w:rPr>
            </w:pPr>
            <w:r w:rsidRPr="00E11FFB">
              <w:rPr>
                <w:b/>
                <w:bCs/>
                <w:color w:val="000000" w:themeColor="text1"/>
                <w:sz w:val="16"/>
                <w:szCs w:val="16"/>
              </w:rPr>
              <w:t xml:space="preserve">Atteint </w:t>
            </w:r>
          </w:p>
        </w:tc>
        <w:tc>
          <w:tcPr>
            <w:tcW w:w="3330" w:type="dxa"/>
          </w:tcPr>
          <w:p w14:paraId="1FE892F2" w14:textId="39481199"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Adoption de la politique par le gouvernement de la République. Vulgarisation de la politique forestière. </w:t>
            </w:r>
          </w:p>
        </w:tc>
      </w:tr>
      <w:tr w:rsidR="003B58DC" w:rsidRPr="00E11FFB" w14:paraId="1057ACC2" w14:textId="77777777" w:rsidTr="00166C22">
        <w:trPr>
          <w:jc w:val="center"/>
        </w:trPr>
        <w:tc>
          <w:tcPr>
            <w:tcW w:w="2425" w:type="dxa"/>
          </w:tcPr>
          <w:p w14:paraId="74ED91B5" w14:textId="115B91B8" w:rsidR="003B58DC" w:rsidRPr="00E11FFB" w:rsidRDefault="003B58DC" w:rsidP="003B58DC">
            <w:pPr>
              <w:rPr>
                <w:rFonts w:ascii="Avenir" w:eastAsia="Avenir" w:hAnsi="Avenir" w:cs="Avenir"/>
                <w:color w:val="000000"/>
                <w:sz w:val="16"/>
                <w:szCs w:val="16"/>
              </w:rPr>
            </w:pPr>
            <w:r w:rsidRPr="00E11FFB">
              <w:rPr>
                <w:color w:val="000000"/>
                <w:sz w:val="16"/>
                <w:szCs w:val="16"/>
              </w:rPr>
              <w:t>3.6.1 : Réviser et publier le nouveau Code Forestier de la RDC.</w:t>
            </w:r>
          </w:p>
        </w:tc>
        <w:tc>
          <w:tcPr>
            <w:tcW w:w="720" w:type="dxa"/>
            <w:vAlign w:val="center"/>
          </w:tcPr>
          <w:p w14:paraId="58FBB5F4" w14:textId="77777777" w:rsidR="003B58DC" w:rsidRPr="00E11FFB" w:rsidRDefault="003B58DC" w:rsidP="003B58DC">
            <w:pPr>
              <w:rPr>
                <w:rFonts w:ascii="Avenir" w:eastAsia="Avenir" w:hAnsi="Avenir" w:cs="Avenir"/>
                <w:color w:val="000000"/>
                <w:sz w:val="16"/>
                <w:szCs w:val="16"/>
              </w:rPr>
            </w:pPr>
            <w:r w:rsidRPr="00E11FFB">
              <w:rPr>
                <w:rFonts w:ascii="Avenir" w:eastAsia="Avenir" w:hAnsi="Avenir" w:cs="Avenir"/>
                <w:color w:val="000000"/>
                <w:sz w:val="16"/>
                <w:szCs w:val="16"/>
              </w:rPr>
              <w:t>3.6</w:t>
            </w:r>
          </w:p>
        </w:tc>
        <w:tc>
          <w:tcPr>
            <w:tcW w:w="1350" w:type="dxa"/>
            <w:vAlign w:val="center"/>
          </w:tcPr>
          <w:p w14:paraId="4B802C61" w14:textId="2C54D3F7" w:rsidR="003B58DC" w:rsidRPr="00E11FFB" w:rsidRDefault="003B58DC" w:rsidP="003B58DC">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0F335DCF" w14:textId="77777777" w:rsidR="003B58DC" w:rsidRPr="00E11FFB" w:rsidRDefault="003B58DC" w:rsidP="003B58DC">
            <w:pPr>
              <w:rPr>
                <w:rFonts w:ascii="Avenir" w:eastAsia="Avenir" w:hAnsi="Avenir" w:cs="Avenir"/>
                <w:b/>
                <w:color w:val="000000"/>
                <w:sz w:val="16"/>
                <w:szCs w:val="16"/>
              </w:rPr>
            </w:pPr>
            <w:r w:rsidRPr="00E11FFB">
              <w:rPr>
                <w:color w:val="000000"/>
                <w:sz w:val="16"/>
                <w:szCs w:val="16"/>
              </w:rPr>
              <w:t>1 draft du code forestier validé en Conseil des Ministres, transmis au Parlement</w:t>
            </w:r>
          </w:p>
        </w:tc>
        <w:tc>
          <w:tcPr>
            <w:tcW w:w="2430" w:type="dxa"/>
          </w:tcPr>
          <w:p w14:paraId="4BE58F62" w14:textId="77777777" w:rsidR="003B58DC" w:rsidRPr="00E11FFB" w:rsidRDefault="003B58DC" w:rsidP="003B58DC">
            <w:pPr>
              <w:rPr>
                <w:rFonts w:ascii="Avenir" w:eastAsia="Avenir" w:hAnsi="Avenir" w:cs="Avenir"/>
                <w:bCs/>
                <w:color w:val="000000"/>
                <w:sz w:val="16"/>
                <w:szCs w:val="16"/>
              </w:rPr>
            </w:pPr>
            <w:r w:rsidRPr="00E11FFB">
              <w:rPr>
                <w:rFonts w:ascii="Avenir" w:eastAsia="Avenir" w:hAnsi="Avenir" w:cs="Avenir"/>
                <w:bCs/>
                <w:color w:val="000000"/>
                <w:sz w:val="16"/>
                <w:szCs w:val="16"/>
              </w:rPr>
              <w:t>Un CCNF tenu pour valider la feuille de route élaborée.  Désignation d’équipe d’expert sur le code forestier</w:t>
            </w:r>
          </w:p>
          <w:p w14:paraId="40A27623" w14:textId="40BA9026" w:rsidR="003B58DC" w:rsidRPr="00E11FFB" w:rsidRDefault="003B58DC" w:rsidP="003B58DC">
            <w:pPr>
              <w:rPr>
                <w:rFonts w:ascii="Avenir" w:eastAsia="Avenir" w:hAnsi="Avenir" w:cs="Avenir"/>
                <w:bCs/>
                <w:color w:val="000000"/>
                <w:sz w:val="16"/>
                <w:szCs w:val="16"/>
              </w:rPr>
            </w:pPr>
            <w:r w:rsidRPr="00E11FFB">
              <w:rPr>
                <w:rFonts w:ascii="Avenir" w:eastAsia="Avenir" w:hAnsi="Avenir" w:cs="Avenir"/>
                <w:bCs/>
                <w:color w:val="000000"/>
                <w:sz w:val="16"/>
                <w:szCs w:val="16"/>
              </w:rPr>
              <w:t>Atelier de consultations sur l’élaboration du code par les directions de l’administration MEDD</w:t>
            </w:r>
          </w:p>
        </w:tc>
        <w:tc>
          <w:tcPr>
            <w:tcW w:w="1620" w:type="dxa"/>
          </w:tcPr>
          <w:p w14:paraId="339AEF70" w14:textId="7D79F946" w:rsidR="003B58DC" w:rsidRPr="00E11FFB" w:rsidRDefault="003B58DC" w:rsidP="003B58DC">
            <w:pPr>
              <w:rPr>
                <w:b/>
                <w:bCs/>
                <w:color w:val="000000" w:themeColor="text1"/>
                <w:sz w:val="16"/>
                <w:szCs w:val="16"/>
              </w:rPr>
            </w:pPr>
            <w:r w:rsidRPr="00E11FFB">
              <w:rPr>
                <w:b/>
                <w:bCs/>
                <w:color w:val="000000" w:themeColor="text1"/>
                <w:sz w:val="16"/>
                <w:szCs w:val="16"/>
              </w:rPr>
              <w:t>En cours</w:t>
            </w:r>
          </w:p>
        </w:tc>
        <w:tc>
          <w:tcPr>
            <w:tcW w:w="3330" w:type="dxa"/>
          </w:tcPr>
          <w:p w14:paraId="59E0638B" w14:textId="61886F11" w:rsidR="003B58DC" w:rsidRPr="00E11FFB" w:rsidRDefault="003B58DC" w:rsidP="003B58DC">
            <w:pPr>
              <w:rPr>
                <w:rFonts w:ascii="Avenir" w:eastAsia="Avenir" w:hAnsi="Avenir" w:cs="Avenir"/>
                <w:color w:val="000000"/>
                <w:sz w:val="16"/>
                <w:szCs w:val="16"/>
              </w:rPr>
            </w:pPr>
            <w:r w:rsidRPr="00E11FFB">
              <w:rPr>
                <w:rFonts w:ascii="Avenir" w:eastAsia="Avenir" w:hAnsi="Avenir" w:cs="Avenir"/>
                <w:color w:val="000000"/>
                <w:sz w:val="16"/>
                <w:szCs w:val="16"/>
              </w:rPr>
              <w:t xml:space="preserve">Production du code forestier et sa promulgation </w:t>
            </w:r>
          </w:p>
        </w:tc>
      </w:tr>
      <w:tr w:rsidR="006B24AA" w:rsidRPr="00E11FFB" w14:paraId="797D2D7E" w14:textId="77777777" w:rsidTr="00166C22">
        <w:trPr>
          <w:jc w:val="center"/>
        </w:trPr>
        <w:tc>
          <w:tcPr>
            <w:tcW w:w="2425" w:type="dxa"/>
          </w:tcPr>
          <w:p w14:paraId="0E8B391D" w14:textId="04E912C6" w:rsidR="006B24AA" w:rsidRPr="00E11FFB" w:rsidRDefault="006B24AA" w:rsidP="006B24AA">
            <w:pPr>
              <w:rPr>
                <w:color w:val="000000"/>
                <w:sz w:val="16"/>
                <w:szCs w:val="16"/>
              </w:rPr>
            </w:pPr>
            <w:r w:rsidRPr="00E11FFB">
              <w:rPr>
                <w:color w:val="FF0000"/>
                <w:sz w:val="16"/>
                <w:szCs w:val="16"/>
              </w:rPr>
              <w:t>3.7.1 : Garantir la transparence dans le respect de l'exécution des standards et procédures prévues par le Code forestier.</w:t>
            </w:r>
          </w:p>
        </w:tc>
        <w:tc>
          <w:tcPr>
            <w:tcW w:w="720" w:type="dxa"/>
            <w:vAlign w:val="center"/>
          </w:tcPr>
          <w:p w14:paraId="0E1ACE94"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3.7</w:t>
            </w:r>
          </w:p>
        </w:tc>
        <w:tc>
          <w:tcPr>
            <w:tcW w:w="1350" w:type="dxa"/>
            <w:vAlign w:val="center"/>
          </w:tcPr>
          <w:p w14:paraId="3573AA5B" w14:textId="1F2EC918"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2790" w:type="dxa"/>
            <w:vAlign w:val="center"/>
          </w:tcPr>
          <w:p w14:paraId="315B2D71" w14:textId="77777777" w:rsidR="006B24AA" w:rsidRPr="00E11FFB" w:rsidRDefault="006B24AA" w:rsidP="006B24AA">
            <w:pPr>
              <w:rPr>
                <w:rFonts w:ascii="Avenir" w:eastAsia="Avenir" w:hAnsi="Avenir" w:cs="Avenir"/>
                <w:b/>
                <w:color w:val="000000"/>
                <w:sz w:val="16"/>
                <w:szCs w:val="16"/>
              </w:rPr>
            </w:pPr>
            <w:r w:rsidRPr="00E11FFB">
              <w:rPr>
                <w:color w:val="FF0000"/>
                <w:sz w:val="16"/>
                <w:szCs w:val="16"/>
              </w:rPr>
              <w:t>2 Rapport annuel de suivi des mesures validé</w:t>
            </w:r>
          </w:p>
        </w:tc>
        <w:tc>
          <w:tcPr>
            <w:tcW w:w="2430" w:type="dxa"/>
          </w:tcPr>
          <w:p w14:paraId="11EB0D5D" w14:textId="79305C13"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color w:val="000000"/>
                <w:sz w:val="16"/>
                <w:szCs w:val="16"/>
              </w:rPr>
              <w:t>Site opérationnel et attractif du MEDD publie toutes les informations requises par le jalon</w:t>
            </w:r>
          </w:p>
        </w:tc>
        <w:tc>
          <w:tcPr>
            <w:tcW w:w="1620" w:type="dxa"/>
          </w:tcPr>
          <w:p w14:paraId="016C5CF0" w14:textId="58E4D6CD" w:rsidR="006B24AA" w:rsidRPr="00E11FFB" w:rsidRDefault="006B24AA" w:rsidP="006B24AA">
            <w:pPr>
              <w:rPr>
                <w:b/>
                <w:bCs/>
                <w:color w:val="000000" w:themeColor="text1"/>
                <w:sz w:val="16"/>
                <w:szCs w:val="16"/>
              </w:rPr>
            </w:pPr>
            <w:r w:rsidRPr="00E11FFB">
              <w:rPr>
                <w:b/>
                <w:bCs/>
                <w:color w:val="000000" w:themeColor="text1"/>
                <w:sz w:val="16"/>
                <w:szCs w:val="16"/>
              </w:rPr>
              <w:t xml:space="preserve">En cours  </w:t>
            </w:r>
          </w:p>
        </w:tc>
        <w:tc>
          <w:tcPr>
            <w:tcW w:w="3330" w:type="dxa"/>
          </w:tcPr>
          <w:p w14:paraId="353626D9" w14:textId="39584DC1"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Déclinaison de l'étude sur le capital forestier dans les provinces forestières (deux provinces pilotes propices), Constitution des dossiers d'adjudication des sites</w:t>
            </w:r>
          </w:p>
        </w:tc>
      </w:tr>
      <w:tr w:rsidR="006B24AA" w:rsidRPr="00E11FFB" w14:paraId="61E45B3D" w14:textId="77777777" w:rsidTr="00166C22">
        <w:trPr>
          <w:jc w:val="center"/>
        </w:trPr>
        <w:tc>
          <w:tcPr>
            <w:tcW w:w="2425" w:type="dxa"/>
          </w:tcPr>
          <w:p w14:paraId="52473E3C" w14:textId="6BFDC076" w:rsidR="006B24AA" w:rsidRPr="00E11FFB" w:rsidRDefault="006B24AA" w:rsidP="006B24AA">
            <w:pPr>
              <w:rPr>
                <w:color w:val="000000"/>
                <w:sz w:val="16"/>
                <w:szCs w:val="16"/>
              </w:rPr>
            </w:pPr>
            <w:r w:rsidRPr="00E11FFB">
              <w:rPr>
                <w:color w:val="000000"/>
                <w:sz w:val="16"/>
                <w:szCs w:val="16"/>
              </w:rPr>
              <w:t xml:space="preserve">3.8.1 : Appuyer l'adoption du Décret formalisant la levée du moratoire. </w:t>
            </w:r>
          </w:p>
        </w:tc>
        <w:tc>
          <w:tcPr>
            <w:tcW w:w="720" w:type="dxa"/>
            <w:vAlign w:val="center"/>
          </w:tcPr>
          <w:p w14:paraId="122B64FB"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3.8</w:t>
            </w:r>
          </w:p>
          <w:p w14:paraId="25CDBB37"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6093F223" w14:textId="7D379FEA"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26BD1BA8"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1 Décret de levée du moratoire publié</w:t>
            </w:r>
          </w:p>
        </w:tc>
        <w:tc>
          <w:tcPr>
            <w:tcW w:w="2430" w:type="dxa"/>
          </w:tcPr>
          <w:p w14:paraId="3FDAC7EF" w14:textId="30F63165"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Draft du décret </w:t>
            </w:r>
            <w:r w:rsidR="00B37D7E" w:rsidRPr="00E11FFB">
              <w:rPr>
                <w:rFonts w:ascii="Avenir" w:eastAsia="Avenir" w:hAnsi="Avenir" w:cs="Avenir"/>
                <w:bCs/>
                <w:color w:val="000000"/>
                <w:sz w:val="16"/>
                <w:szCs w:val="16"/>
              </w:rPr>
              <w:t>disponible en attente du CCNF pour validation</w:t>
            </w:r>
          </w:p>
        </w:tc>
        <w:tc>
          <w:tcPr>
            <w:tcW w:w="1620" w:type="dxa"/>
          </w:tcPr>
          <w:p w14:paraId="4734F5BD" w14:textId="6D606F61" w:rsidR="006B24AA" w:rsidRPr="00E11FFB" w:rsidRDefault="006B24AA" w:rsidP="006B24AA">
            <w:pPr>
              <w:rPr>
                <w:b/>
                <w:bCs/>
                <w:color w:val="000000" w:themeColor="text1"/>
                <w:sz w:val="16"/>
                <w:szCs w:val="16"/>
              </w:rPr>
            </w:pPr>
            <w:r w:rsidRPr="00E11FFB">
              <w:rPr>
                <w:b/>
                <w:bCs/>
                <w:color w:val="000000" w:themeColor="text1"/>
                <w:sz w:val="16"/>
                <w:szCs w:val="16"/>
              </w:rPr>
              <w:t>En cours</w:t>
            </w:r>
          </w:p>
        </w:tc>
        <w:tc>
          <w:tcPr>
            <w:tcW w:w="3330" w:type="dxa"/>
          </w:tcPr>
          <w:p w14:paraId="55C42C4D" w14:textId="7E40C430"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Promulgation du décret et suivi de sa mise en œuvre </w:t>
            </w:r>
          </w:p>
        </w:tc>
      </w:tr>
      <w:tr w:rsidR="006B24AA" w:rsidRPr="00E11FFB" w14:paraId="60AFC4A4" w14:textId="77777777" w:rsidTr="00166C22">
        <w:trPr>
          <w:jc w:val="center"/>
        </w:trPr>
        <w:tc>
          <w:tcPr>
            <w:tcW w:w="2425" w:type="dxa"/>
          </w:tcPr>
          <w:p w14:paraId="108D2820" w14:textId="2ABD18DB" w:rsidR="006B24AA" w:rsidRPr="00E11FFB" w:rsidRDefault="006B24AA" w:rsidP="006B24AA">
            <w:pPr>
              <w:rPr>
                <w:color w:val="000000"/>
                <w:sz w:val="16"/>
                <w:szCs w:val="16"/>
              </w:rPr>
            </w:pPr>
            <w:r w:rsidRPr="00E11FFB">
              <w:rPr>
                <w:color w:val="000000"/>
                <w:sz w:val="16"/>
                <w:szCs w:val="16"/>
              </w:rPr>
              <w:t>3.9.1 : Elaborer un Plan de protection des aires protégées.</w:t>
            </w:r>
          </w:p>
        </w:tc>
        <w:tc>
          <w:tcPr>
            <w:tcW w:w="720" w:type="dxa"/>
            <w:vMerge w:val="restart"/>
            <w:vAlign w:val="center"/>
          </w:tcPr>
          <w:p w14:paraId="12491BDC"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3.9</w:t>
            </w:r>
          </w:p>
        </w:tc>
        <w:tc>
          <w:tcPr>
            <w:tcW w:w="1350" w:type="dxa"/>
            <w:vAlign w:val="center"/>
          </w:tcPr>
          <w:p w14:paraId="19BE7E4C" w14:textId="1AB47667"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01/07/2025 au 30/12/2025</w:t>
            </w:r>
          </w:p>
        </w:tc>
        <w:tc>
          <w:tcPr>
            <w:tcW w:w="2790" w:type="dxa"/>
            <w:vAlign w:val="center"/>
          </w:tcPr>
          <w:p w14:paraId="3BFFE601"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1 plan de protection et extension des aires protégées validées en conseil des Ministres</w:t>
            </w:r>
          </w:p>
        </w:tc>
        <w:tc>
          <w:tcPr>
            <w:tcW w:w="2430" w:type="dxa"/>
          </w:tcPr>
          <w:p w14:paraId="63277746" w14:textId="74863DAD"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Plan de diagnostic des aires protégées ; Elaboration de la stratégie et plan d’action nationaux pour la biodiversité 2025 2023 pour la RDC ; </w:t>
            </w:r>
          </w:p>
        </w:tc>
        <w:tc>
          <w:tcPr>
            <w:tcW w:w="1620" w:type="dxa"/>
          </w:tcPr>
          <w:p w14:paraId="7C179A22" w14:textId="54F43EE7" w:rsidR="006B24AA" w:rsidRPr="00E11FFB" w:rsidRDefault="006B24AA" w:rsidP="006B24AA">
            <w:pPr>
              <w:rPr>
                <w:b/>
                <w:bCs/>
                <w:color w:val="000000" w:themeColor="text1"/>
                <w:sz w:val="16"/>
                <w:szCs w:val="16"/>
              </w:rPr>
            </w:pPr>
            <w:r w:rsidRPr="00E11FFB">
              <w:rPr>
                <w:b/>
                <w:bCs/>
                <w:color w:val="000000" w:themeColor="text1"/>
                <w:sz w:val="16"/>
                <w:szCs w:val="16"/>
              </w:rPr>
              <w:t xml:space="preserve">Atteint </w:t>
            </w:r>
          </w:p>
        </w:tc>
        <w:tc>
          <w:tcPr>
            <w:tcW w:w="3330" w:type="dxa"/>
          </w:tcPr>
          <w:p w14:paraId="30810529" w14:textId="0DE910F8"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Sensibilisation et plaidoyer pour la mise en œuvre du SPANB 2025 2030 et valorisation du couloir vert</w:t>
            </w:r>
          </w:p>
        </w:tc>
      </w:tr>
      <w:tr w:rsidR="006B24AA" w:rsidRPr="00E11FFB" w14:paraId="5717035C" w14:textId="77777777" w:rsidTr="00166C22">
        <w:trPr>
          <w:jc w:val="center"/>
        </w:trPr>
        <w:tc>
          <w:tcPr>
            <w:tcW w:w="2425" w:type="dxa"/>
          </w:tcPr>
          <w:p w14:paraId="5217C41C" w14:textId="1FCF9E0B" w:rsidR="006B24AA" w:rsidRPr="00E11FFB" w:rsidRDefault="006B24AA" w:rsidP="006B24AA">
            <w:pPr>
              <w:rPr>
                <w:color w:val="000000"/>
                <w:sz w:val="16"/>
                <w:szCs w:val="16"/>
              </w:rPr>
            </w:pPr>
            <w:r w:rsidRPr="00E11FFB">
              <w:rPr>
                <w:color w:val="000000"/>
                <w:sz w:val="16"/>
                <w:szCs w:val="16"/>
              </w:rPr>
              <w:t>3.9.2 : Etendre les espaces sous statut de protection.</w:t>
            </w:r>
          </w:p>
        </w:tc>
        <w:tc>
          <w:tcPr>
            <w:tcW w:w="720" w:type="dxa"/>
            <w:vMerge/>
            <w:vAlign w:val="center"/>
          </w:tcPr>
          <w:p w14:paraId="74CB3BAA"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33BCCC43" w14:textId="5FC939BC"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01/10/2025 au 30/12/2025</w:t>
            </w:r>
          </w:p>
        </w:tc>
        <w:tc>
          <w:tcPr>
            <w:tcW w:w="2790" w:type="dxa"/>
            <w:vAlign w:val="center"/>
          </w:tcPr>
          <w:p w14:paraId="6CF50892"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Plan d’extension des espaces sous statut de protection à 30%, au minimum du territoire national d’ici à 2030</w:t>
            </w:r>
          </w:p>
        </w:tc>
        <w:tc>
          <w:tcPr>
            <w:tcW w:w="2430" w:type="dxa"/>
          </w:tcPr>
          <w:p w14:paraId="0F56A7E7" w14:textId="35BA4668"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Création du couloir vert</w:t>
            </w:r>
            <w:r w:rsidR="00497AFB" w:rsidRPr="00E11FFB">
              <w:rPr>
                <w:rFonts w:ascii="Avenir" w:eastAsia="Avenir" w:hAnsi="Avenir" w:cs="Avenir"/>
                <w:bCs/>
                <w:color w:val="000000"/>
                <w:sz w:val="16"/>
                <w:szCs w:val="16"/>
              </w:rPr>
              <w:t> ; Elaboration de la stratégie et plan d’action nationaux pour la biodiversité 2025 2023 pour la RDC pour définit l’objectif de 30% </w:t>
            </w:r>
          </w:p>
        </w:tc>
        <w:tc>
          <w:tcPr>
            <w:tcW w:w="1620" w:type="dxa"/>
          </w:tcPr>
          <w:p w14:paraId="0A73FAE6" w14:textId="3A976608" w:rsidR="006B24AA" w:rsidRPr="00E11FFB" w:rsidRDefault="006B24AA" w:rsidP="006B24AA">
            <w:pPr>
              <w:rPr>
                <w:b/>
                <w:bCs/>
                <w:color w:val="000000" w:themeColor="text1"/>
                <w:sz w:val="16"/>
                <w:szCs w:val="16"/>
              </w:rPr>
            </w:pPr>
            <w:r w:rsidRPr="00E11FFB">
              <w:rPr>
                <w:b/>
                <w:bCs/>
                <w:color w:val="000000" w:themeColor="text1"/>
                <w:sz w:val="16"/>
                <w:szCs w:val="16"/>
              </w:rPr>
              <w:t xml:space="preserve">Atteint </w:t>
            </w:r>
          </w:p>
        </w:tc>
        <w:tc>
          <w:tcPr>
            <w:tcW w:w="3330" w:type="dxa"/>
          </w:tcPr>
          <w:p w14:paraId="1E6D02F4" w14:textId="58302FD9"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Sensibilisation et plaidoyer pour la mise en œuvre du SPANB 2025 2030</w:t>
            </w:r>
          </w:p>
        </w:tc>
      </w:tr>
      <w:tr w:rsidR="006B24AA" w:rsidRPr="00E11FFB" w14:paraId="3DBED238" w14:textId="77777777" w:rsidTr="00BA5A2A">
        <w:trPr>
          <w:trHeight w:val="391"/>
          <w:jc w:val="center"/>
        </w:trPr>
        <w:tc>
          <w:tcPr>
            <w:tcW w:w="2425" w:type="dxa"/>
          </w:tcPr>
          <w:p w14:paraId="28E8CD85" w14:textId="62B719A1" w:rsidR="006B24AA" w:rsidRPr="00E11FFB" w:rsidRDefault="006B24AA" w:rsidP="006B24AA">
            <w:pPr>
              <w:rPr>
                <w:color w:val="000000"/>
                <w:sz w:val="16"/>
                <w:szCs w:val="16"/>
              </w:rPr>
            </w:pPr>
            <w:r w:rsidRPr="00E11FFB">
              <w:rPr>
                <w:color w:val="FF0000"/>
                <w:sz w:val="16"/>
                <w:szCs w:val="16"/>
              </w:rPr>
              <w:t>3.10.1 : Elaborer et adopter un guide de bonne pratique de foresterie communautaire (Jalon 4t de la LOI2 pris en charge totalement par le PGDF, pour mémoire).</w:t>
            </w:r>
          </w:p>
        </w:tc>
        <w:tc>
          <w:tcPr>
            <w:tcW w:w="720" w:type="dxa"/>
            <w:vAlign w:val="center"/>
          </w:tcPr>
          <w:p w14:paraId="06212CC7"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3.10</w:t>
            </w:r>
          </w:p>
        </w:tc>
        <w:tc>
          <w:tcPr>
            <w:tcW w:w="1350" w:type="dxa"/>
            <w:vAlign w:val="center"/>
          </w:tcPr>
          <w:p w14:paraId="41BF9061" w14:textId="0A37DB71"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2790" w:type="dxa"/>
            <w:vAlign w:val="center"/>
          </w:tcPr>
          <w:p w14:paraId="6D12BB04" w14:textId="77777777" w:rsidR="006B24AA" w:rsidRPr="00E11FFB" w:rsidRDefault="006B24AA" w:rsidP="006B24AA">
            <w:pPr>
              <w:rPr>
                <w:rFonts w:ascii="Avenir" w:eastAsia="Avenir" w:hAnsi="Avenir" w:cs="Avenir"/>
                <w:b/>
                <w:color w:val="000000"/>
                <w:sz w:val="16"/>
                <w:szCs w:val="16"/>
              </w:rPr>
            </w:pPr>
            <w:r w:rsidRPr="00E11FFB">
              <w:rPr>
                <w:color w:val="FF0000"/>
                <w:sz w:val="16"/>
                <w:szCs w:val="16"/>
              </w:rPr>
              <w:t>1 guide de bonnes pratiques validé par le MEDD et publié</w:t>
            </w:r>
          </w:p>
        </w:tc>
        <w:tc>
          <w:tcPr>
            <w:tcW w:w="2430" w:type="dxa"/>
          </w:tcPr>
          <w:p w14:paraId="029D8A3C" w14:textId="7FA850AA"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Activité alignée sous le projet PGDF</w:t>
            </w:r>
          </w:p>
        </w:tc>
        <w:tc>
          <w:tcPr>
            <w:tcW w:w="1620" w:type="dxa"/>
          </w:tcPr>
          <w:p w14:paraId="70CCC3FC" w14:textId="772B9472" w:rsidR="006B24AA" w:rsidRPr="00E11FFB" w:rsidRDefault="006B24AA" w:rsidP="006B24AA">
            <w:pPr>
              <w:rPr>
                <w:b/>
                <w:bCs/>
                <w:color w:val="000000" w:themeColor="text1"/>
                <w:sz w:val="16"/>
                <w:szCs w:val="16"/>
              </w:rPr>
            </w:pPr>
            <w:r w:rsidRPr="00E11FFB">
              <w:rPr>
                <w:b/>
                <w:bCs/>
                <w:color w:val="000000" w:themeColor="text1"/>
                <w:sz w:val="16"/>
                <w:szCs w:val="16"/>
              </w:rPr>
              <w:t>Non entamé</w:t>
            </w:r>
          </w:p>
        </w:tc>
        <w:tc>
          <w:tcPr>
            <w:tcW w:w="3330" w:type="dxa"/>
          </w:tcPr>
          <w:p w14:paraId="7A87907C" w14:textId="16ED45AA" w:rsidR="006B24AA" w:rsidRPr="00E11FFB" w:rsidRDefault="006B24AA" w:rsidP="006B24AA">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PTBA 2026 de PGDF</w:t>
            </w:r>
          </w:p>
        </w:tc>
      </w:tr>
      <w:tr w:rsidR="006B24AA" w:rsidRPr="00E11FFB" w14:paraId="66AA9DF2" w14:textId="77777777" w:rsidTr="00166C22">
        <w:trPr>
          <w:jc w:val="center"/>
        </w:trPr>
        <w:tc>
          <w:tcPr>
            <w:tcW w:w="2425" w:type="dxa"/>
          </w:tcPr>
          <w:p w14:paraId="5C937AD8" w14:textId="6D1D27C2" w:rsidR="006B24AA" w:rsidRPr="00E11FFB" w:rsidRDefault="006B24AA" w:rsidP="006B24AA">
            <w:pPr>
              <w:rPr>
                <w:color w:val="FF0000"/>
                <w:sz w:val="16"/>
                <w:szCs w:val="16"/>
              </w:rPr>
            </w:pPr>
            <w:r w:rsidRPr="00E11FFB">
              <w:rPr>
                <w:color w:val="000000"/>
                <w:sz w:val="16"/>
                <w:szCs w:val="16"/>
              </w:rPr>
              <w:t>3.11.1 : Evaluer et publier des données de déforestation et de dégradation des forêts.</w:t>
            </w:r>
          </w:p>
        </w:tc>
        <w:tc>
          <w:tcPr>
            <w:tcW w:w="720" w:type="dxa"/>
            <w:vMerge w:val="restart"/>
            <w:vAlign w:val="center"/>
          </w:tcPr>
          <w:p w14:paraId="20DC9BC5"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3.11</w:t>
            </w:r>
          </w:p>
        </w:tc>
        <w:tc>
          <w:tcPr>
            <w:tcW w:w="1350" w:type="dxa"/>
            <w:vAlign w:val="center"/>
          </w:tcPr>
          <w:p w14:paraId="4A508C3D" w14:textId="74D20150"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0F20D86E" w14:textId="77777777"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Cs/>
                <w:color w:val="000000"/>
                <w:sz w:val="16"/>
                <w:szCs w:val="16"/>
              </w:rPr>
              <w:t>1 publication</w:t>
            </w:r>
            <w:r w:rsidRPr="00E11FFB">
              <w:rPr>
                <w:rFonts w:ascii="Avenir" w:eastAsia="Avenir" w:hAnsi="Avenir" w:cs="Avenir"/>
                <w:b/>
                <w:color w:val="000000"/>
                <w:sz w:val="16"/>
                <w:szCs w:val="16"/>
              </w:rPr>
              <w:t xml:space="preserve"> </w:t>
            </w:r>
            <w:r w:rsidRPr="00E11FFB">
              <w:rPr>
                <w:color w:val="000000"/>
                <w:sz w:val="16"/>
                <w:szCs w:val="16"/>
              </w:rPr>
              <w:t>Données provinciales des EMD actualisées</w:t>
            </w:r>
          </w:p>
        </w:tc>
        <w:tc>
          <w:tcPr>
            <w:tcW w:w="2430" w:type="dxa"/>
          </w:tcPr>
          <w:p w14:paraId="7A1BA662" w14:textId="17D6ED12" w:rsidR="006B24AA" w:rsidRPr="002142A2" w:rsidRDefault="006B24AA" w:rsidP="006B24AA">
            <w:pPr>
              <w:rPr>
                <w:rFonts w:ascii="Avenir" w:eastAsia="Avenir" w:hAnsi="Avenir" w:cs="Avenir"/>
                <w:bCs/>
                <w:color w:val="000000"/>
                <w:sz w:val="16"/>
                <w:szCs w:val="16"/>
              </w:rPr>
            </w:pPr>
            <w:r w:rsidRPr="00E7609D">
              <w:rPr>
                <w:rFonts w:ascii="Avenir" w:eastAsia="Avenir" w:hAnsi="Avenir" w:cs="Avenir"/>
                <w:bCs/>
                <w:color w:val="000000"/>
                <w:sz w:val="16"/>
                <w:szCs w:val="16"/>
              </w:rPr>
              <w:t>Retraite de conversion des données de déforestation 2000-2020 publiées sur le portail SNSF</w:t>
            </w:r>
          </w:p>
        </w:tc>
        <w:tc>
          <w:tcPr>
            <w:tcW w:w="1620" w:type="dxa"/>
          </w:tcPr>
          <w:p w14:paraId="11CB072C" w14:textId="0C06899C" w:rsidR="006B24AA" w:rsidRPr="00E11FFB" w:rsidRDefault="006B24AA" w:rsidP="006B24AA">
            <w:pPr>
              <w:rPr>
                <w:b/>
                <w:bCs/>
                <w:color w:val="000000" w:themeColor="text1"/>
                <w:sz w:val="16"/>
                <w:szCs w:val="16"/>
              </w:rPr>
            </w:pPr>
            <w:r w:rsidRPr="00E11FFB">
              <w:rPr>
                <w:b/>
                <w:bCs/>
                <w:color w:val="000000" w:themeColor="text1"/>
                <w:sz w:val="16"/>
                <w:szCs w:val="16"/>
              </w:rPr>
              <w:t>En cours</w:t>
            </w:r>
          </w:p>
        </w:tc>
        <w:tc>
          <w:tcPr>
            <w:tcW w:w="3330" w:type="dxa"/>
          </w:tcPr>
          <w:p w14:paraId="34DEE958" w14:textId="38566540"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Elaboration du rapport d'état des lieux du couvert forestier de la RDC entre 2000-2020 ; Evaluation des données de déforestation et dégradation des forêts pour les années 2021 et 2022 conformément à l'arrêté ministériel 023 du 06 mai 2022 et leur publication. </w:t>
            </w:r>
          </w:p>
        </w:tc>
      </w:tr>
      <w:tr w:rsidR="006B24AA" w:rsidRPr="00E11FFB" w14:paraId="4FE0FA01" w14:textId="77777777" w:rsidTr="00166C22">
        <w:trPr>
          <w:jc w:val="center"/>
        </w:trPr>
        <w:tc>
          <w:tcPr>
            <w:tcW w:w="2425" w:type="dxa"/>
          </w:tcPr>
          <w:p w14:paraId="3A7A49F8" w14:textId="774D6166" w:rsidR="006B24AA" w:rsidRPr="00E11FFB" w:rsidRDefault="006B24AA" w:rsidP="006B24AA">
            <w:pPr>
              <w:rPr>
                <w:color w:val="FF0000"/>
                <w:sz w:val="16"/>
                <w:szCs w:val="16"/>
              </w:rPr>
            </w:pPr>
            <w:r w:rsidRPr="00E11FFB">
              <w:rPr>
                <w:color w:val="000000"/>
                <w:sz w:val="16"/>
                <w:szCs w:val="16"/>
              </w:rPr>
              <w:t>3.11.2 : Mettre à jour des données d'inventaire forestier national.</w:t>
            </w:r>
          </w:p>
        </w:tc>
        <w:tc>
          <w:tcPr>
            <w:tcW w:w="720" w:type="dxa"/>
            <w:vMerge/>
            <w:vAlign w:val="center"/>
          </w:tcPr>
          <w:p w14:paraId="00748F02"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129EE006" w14:textId="150DDD28"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740504AB"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Rapport de l’IFN actualisé</w:t>
            </w:r>
          </w:p>
        </w:tc>
        <w:tc>
          <w:tcPr>
            <w:tcW w:w="2430" w:type="dxa"/>
          </w:tcPr>
          <w:p w14:paraId="7F910C31" w14:textId="73DDF00A" w:rsidR="006B24AA" w:rsidRPr="00E7609D" w:rsidRDefault="006B24AA" w:rsidP="006B24AA">
            <w:pPr>
              <w:rPr>
                <w:rFonts w:ascii="Avenir" w:eastAsia="Avenir" w:hAnsi="Avenir" w:cs="Avenir"/>
                <w:bCs/>
                <w:color w:val="000000"/>
                <w:sz w:val="16"/>
                <w:szCs w:val="16"/>
              </w:rPr>
            </w:pPr>
            <w:r w:rsidRPr="00E7609D">
              <w:rPr>
                <w:rFonts w:ascii="Avenir" w:eastAsia="Avenir" w:hAnsi="Avenir" w:cs="Avenir"/>
                <w:bCs/>
                <w:color w:val="000000"/>
                <w:sz w:val="16"/>
                <w:szCs w:val="16"/>
              </w:rPr>
              <w:t xml:space="preserve">Validation de l'identification botanique et la mise en place d'une base des données d'inventaire forestier national ; </w:t>
            </w:r>
          </w:p>
        </w:tc>
        <w:tc>
          <w:tcPr>
            <w:tcW w:w="1620" w:type="dxa"/>
          </w:tcPr>
          <w:p w14:paraId="7A8DA3F7" w14:textId="43B2C64C" w:rsidR="006B24AA" w:rsidRPr="00E11FFB" w:rsidRDefault="006B24AA" w:rsidP="006B24AA">
            <w:pPr>
              <w:rPr>
                <w:b/>
                <w:bCs/>
                <w:color w:val="000000" w:themeColor="text1"/>
                <w:sz w:val="16"/>
                <w:szCs w:val="16"/>
              </w:rPr>
            </w:pPr>
            <w:r w:rsidRPr="00E11FFB">
              <w:rPr>
                <w:b/>
                <w:bCs/>
                <w:color w:val="000000" w:themeColor="text1"/>
                <w:sz w:val="16"/>
                <w:szCs w:val="16"/>
              </w:rPr>
              <w:t xml:space="preserve">En cours </w:t>
            </w:r>
          </w:p>
        </w:tc>
        <w:tc>
          <w:tcPr>
            <w:tcW w:w="3330" w:type="dxa"/>
          </w:tcPr>
          <w:p w14:paraId="26D837CA" w14:textId="263B5FD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Validation nationale et la publication du rapport de l'IFN ; Etat de lieu de parcelles permanentes </w:t>
            </w:r>
          </w:p>
        </w:tc>
      </w:tr>
      <w:tr w:rsidR="006B24AA" w:rsidRPr="00E11FFB" w14:paraId="4D4AD30F" w14:textId="77777777" w:rsidTr="00166C22">
        <w:trPr>
          <w:jc w:val="center"/>
        </w:trPr>
        <w:tc>
          <w:tcPr>
            <w:tcW w:w="2425" w:type="dxa"/>
          </w:tcPr>
          <w:p w14:paraId="04E3C5FE" w14:textId="74CEF776" w:rsidR="006B24AA" w:rsidRPr="00E11FFB" w:rsidRDefault="006B24AA" w:rsidP="006B24AA">
            <w:pPr>
              <w:rPr>
                <w:color w:val="000000"/>
                <w:sz w:val="16"/>
                <w:szCs w:val="16"/>
              </w:rPr>
            </w:pPr>
            <w:r w:rsidRPr="00E11FFB">
              <w:rPr>
                <w:color w:val="000000"/>
                <w:sz w:val="16"/>
                <w:szCs w:val="16"/>
              </w:rPr>
              <w:t>3.12.1 : Actualiser et soumettre les rapports biennaux à la CCNUCC</w:t>
            </w:r>
          </w:p>
        </w:tc>
        <w:tc>
          <w:tcPr>
            <w:tcW w:w="720" w:type="dxa"/>
            <w:vAlign w:val="center"/>
          </w:tcPr>
          <w:p w14:paraId="312F5BA5"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3.12</w:t>
            </w:r>
          </w:p>
        </w:tc>
        <w:tc>
          <w:tcPr>
            <w:tcW w:w="1350" w:type="dxa"/>
            <w:vAlign w:val="center"/>
          </w:tcPr>
          <w:p w14:paraId="00DB8F87" w14:textId="14ABEAE1"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01/07/2025 au 30/12/2025</w:t>
            </w:r>
          </w:p>
        </w:tc>
        <w:tc>
          <w:tcPr>
            <w:tcW w:w="2790" w:type="dxa"/>
            <w:vAlign w:val="center"/>
          </w:tcPr>
          <w:p w14:paraId="021DE592" w14:textId="6868A881" w:rsidR="006B24AA" w:rsidRPr="00E11FFB" w:rsidRDefault="006B24AA" w:rsidP="006B24AA">
            <w:pPr>
              <w:rPr>
                <w:rFonts w:ascii="Avenir" w:eastAsia="Avenir" w:hAnsi="Avenir" w:cs="Avenir"/>
                <w:b/>
                <w:color w:val="000000"/>
                <w:sz w:val="16"/>
                <w:szCs w:val="16"/>
              </w:rPr>
            </w:pPr>
            <w:r w:rsidRPr="00E11FFB">
              <w:rPr>
                <w:color w:val="000000"/>
                <w:sz w:val="16"/>
                <w:szCs w:val="16"/>
              </w:rPr>
              <w:t>1 Rapport BUR actualisé et soumis à la CCNUC</w:t>
            </w:r>
          </w:p>
        </w:tc>
        <w:tc>
          <w:tcPr>
            <w:tcW w:w="2430" w:type="dxa"/>
          </w:tcPr>
          <w:p w14:paraId="4FFCB601" w14:textId="0C31DC87" w:rsidR="006B24AA" w:rsidRPr="00E7609D" w:rsidRDefault="006B24AA" w:rsidP="006B24AA">
            <w:pPr>
              <w:jc w:val="both"/>
              <w:rPr>
                <w:rFonts w:ascii="Avenir" w:eastAsia="Avenir" w:hAnsi="Avenir" w:cs="Avenir"/>
                <w:bCs/>
                <w:color w:val="000000"/>
                <w:sz w:val="16"/>
                <w:szCs w:val="16"/>
              </w:rPr>
            </w:pPr>
            <w:r w:rsidRPr="00E7609D">
              <w:rPr>
                <w:rFonts w:ascii="Avenir" w:eastAsia="Avenir" w:hAnsi="Avenir" w:cs="Avenir"/>
                <w:bCs/>
                <w:color w:val="000000"/>
                <w:sz w:val="16"/>
                <w:szCs w:val="16"/>
              </w:rPr>
              <w:t xml:space="preserve">Mise à jour des ressources matérielles et connexion internet, Réunion d'échange et travaux techniques, </w:t>
            </w:r>
          </w:p>
        </w:tc>
        <w:tc>
          <w:tcPr>
            <w:tcW w:w="1620" w:type="dxa"/>
          </w:tcPr>
          <w:p w14:paraId="2CDF30E5" w14:textId="76544775" w:rsidR="006B24AA" w:rsidRPr="00E11FFB" w:rsidRDefault="006B24AA" w:rsidP="006B24AA">
            <w:pPr>
              <w:rPr>
                <w:b/>
                <w:bCs/>
                <w:color w:val="000000" w:themeColor="text1"/>
                <w:sz w:val="16"/>
                <w:szCs w:val="16"/>
              </w:rPr>
            </w:pPr>
            <w:r w:rsidRPr="00E11FFB">
              <w:rPr>
                <w:b/>
                <w:bCs/>
                <w:color w:val="000000" w:themeColor="text1"/>
                <w:sz w:val="16"/>
                <w:szCs w:val="16"/>
              </w:rPr>
              <w:t xml:space="preserve">En cours </w:t>
            </w:r>
          </w:p>
        </w:tc>
        <w:tc>
          <w:tcPr>
            <w:tcW w:w="3330" w:type="dxa"/>
          </w:tcPr>
          <w:p w14:paraId="09639B55" w14:textId="241DA9BC"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Vérification et validation terrain, Réunion/Atelier de validation des résultats</w:t>
            </w:r>
          </w:p>
        </w:tc>
      </w:tr>
      <w:tr w:rsidR="006B24AA" w:rsidRPr="00E11FFB" w14:paraId="2E94F97C" w14:textId="77777777" w:rsidTr="00166C22">
        <w:trPr>
          <w:jc w:val="center"/>
        </w:trPr>
        <w:tc>
          <w:tcPr>
            <w:tcW w:w="2425" w:type="dxa"/>
          </w:tcPr>
          <w:p w14:paraId="4A8FD5B8" w14:textId="372C4337" w:rsidR="006B24AA" w:rsidRPr="00E11FFB" w:rsidRDefault="006B24AA" w:rsidP="006B24AA">
            <w:pPr>
              <w:rPr>
                <w:color w:val="000000"/>
                <w:sz w:val="16"/>
                <w:szCs w:val="16"/>
              </w:rPr>
            </w:pPr>
            <w:r w:rsidRPr="00E11FFB">
              <w:rPr>
                <w:color w:val="000000"/>
                <w:sz w:val="16"/>
                <w:szCs w:val="16"/>
              </w:rPr>
              <w:t>3.13.1 : Appuyer le CCNF.</w:t>
            </w:r>
          </w:p>
        </w:tc>
        <w:tc>
          <w:tcPr>
            <w:tcW w:w="720" w:type="dxa"/>
            <w:vMerge w:val="restart"/>
            <w:vAlign w:val="center"/>
          </w:tcPr>
          <w:p w14:paraId="0B06C392"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3.13</w:t>
            </w:r>
          </w:p>
        </w:tc>
        <w:tc>
          <w:tcPr>
            <w:tcW w:w="1350" w:type="dxa"/>
            <w:vAlign w:val="center"/>
          </w:tcPr>
          <w:p w14:paraId="1D8975B5" w14:textId="03C3033D"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3D75670A"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CCNF opérationnel</w:t>
            </w:r>
          </w:p>
        </w:tc>
        <w:tc>
          <w:tcPr>
            <w:tcW w:w="2430" w:type="dxa"/>
          </w:tcPr>
          <w:p w14:paraId="5BFEACA5" w14:textId="3FC87862"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Appui matériels et équipements au bureau / secrétariat du CCNF ; Tenue d’une session sur le code forestier</w:t>
            </w:r>
          </w:p>
        </w:tc>
        <w:tc>
          <w:tcPr>
            <w:tcW w:w="1620" w:type="dxa"/>
          </w:tcPr>
          <w:p w14:paraId="543210C1" w14:textId="42F15FB5" w:rsidR="006B24AA" w:rsidRPr="00E11FFB" w:rsidRDefault="006B24AA" w:rsidP="006B24AA">
            <w:pPr>
              <w:rPr>
                <w:b/>
                <w:bCs/>
                <w:color w:val="000000" w:themeColor="text1"/>
                <w:sz w:val="16"/>
                <w:szCs w:val="16"/>
              </w:rPr>
            </w:pPr>
            <w:r w:rsidRPr="00E11FFB">
              <w:rPr>
                <w:b/>
                <w:bCs/>
                <w:color w:val="000000" w:themeColor="text1"/>
                <w:sz w:val="16"/>
                <w:szCs w:val="16"/>
              </w:rPr>
              <w:t xml:space="preserve">Atteint </w:t>
            </w:r>
          </w:p>
        </w:tc>
        <w:tc>
          <w:tcPr>
            <w:tcW w:w="3330" w:type="dxa"/>
          </w:tcPr>
          <w:p w14:paraId="1FB99BA6" w14:textId="647DEDD4"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Tenues de sessions CCNF au niveau national et appui à la mise en place et opérationnalisation de CNPF en province (appui au PGDF)</w:t>
            </w:r>
          </w:p>
        </w:tc>
      </w:tr>
      <w:tr w:rsidR="006B24AA" w:rsidRPr="00E11FFB" w14:paraId="4525D843" w14:textId="77777777" w:rsidTr="00166C22">
        <w:trPr>
          <w:jc w:val="center"/>
        </w:trPr>
        <w:tc>
          <w:tcPr>
            <w:tcW w:w="2425" w:type="dxa"/>
          </w:tcPr>
          <w:p w14:paraId="2433DD25" w14:textId="34048A2E" w:rsidR="006B24AA" w:rsidRPr="00E11FFB" w:rsidRDefault="006B24AA" w:rsidP="006B24AA">
            <w:pPr>
              <w:rPr>
                <w:color w:val="000000"/>
                <w:sz w:val="16"/>
                <w:szCs w:val="16"/>
              </w:rPr>
            </w:pPr>
            <w:r w:rsidRPr="00E11FFB">
              <w:rPr>
                <w:color w:val="FF0000"/>
                <w:sz w:val="16"/>
                <w:szCs w:val="16"/>
              </w:rPr>
              <w:t>3.13.2 : Appuyer les CCPF des provinces PIREDD. Prise en charge par le PGDF dans sa zone d’activité</w:t>
            </w:r>
          </w:p>
        </w:tc>
        <w:tc>
          <w:tcPr>
            <w:tcW w:w="720" w:type="dxa"/>
            <w:vMerge/>
            <w:vAlign w:val="center"/>
          </w:tcPr>
          <w:p w14:paraId="74B798C6"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426CD6F2" w14:textId="4CA7683B"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2790" w:type="dxa"/>
            <w:vAlign w:val="center"/>
          </w:tcPr>
          <w:p w14:paraId="647ED4DC" w14:textId="77777777" w:rsidR="006B24AA" w:rsidRPr="00E11FFB" w:rsidRDefault="006B24AA" w:rsidP="006B24AA">
            <w:pPr>
              <w:rPr>
                <w:rFonts w:ascii="Avenir" w:eastAsia="Avenir" w:hAnsi="Avenir" w:cs="Avenir"/>
                <w:b/>
                <w:color w:val="000000"/>
                <w:sz w:val="16"/>
                <w:szCs w:val="16"/>
              </w:rPr>
            </w:pPr>
            <w:r w:rsidRPr="00E11FFB">
              <w:rPr>
                <w:color w:val="FF0000"/>
                <w:sz w:val="16"/>
                <w:szCs w:val="16"/>
              </w:rPr>
              <w:t>8 CCPF opérationnels</w:t>
            </w:r>
          </w:p>
        </w:tc>
        <w:tc>
          <w:tcPr>
            <w:tcW w:w="2430" w:type="dxa"/>
          </w:tcPr>
          <w:p w14:paraId="70B8D8AE" w14:textId="225B902B"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Activité alignée sous le projet PGDF</w:t>
            </w:r>
          </w:p>
        </w:tc>
        <w:tc>
          <w:tcPr>
            <w:tcW w:w="1620" w:type="dxa"/>
          </w:tcPr>
          <w:p w14:paraId="7E5D8677" w14:textId="2DB692E2" w:rsidR="006B24AA" w:rsidRPr="00E11FFB" w:rsidRDefault="006B24AA" w:rsidP="006B24AA">
            <w:pPr>
              <w:rPr>
                <w:b/>
                <w:bCs/>
                <w:color w:val="000000" w:themeColor="text1"/>
                <w:sz w:val="16"/>
                <w:szCs w:val="16"/>
              </w:rPr>
            </w:pPr>
            <w:r w:rsidRPr="00E11FFB">
              <w:rPr>
                <w:b/>
                <w:bCs/>
                <w:color w:val="000000" w:themeColor="text1"/>
                <w:sz w:val="16"/>
                <w:szCs w:val="16"/>
              </w:rPr>
              <w:t>Non entamé</w:t>
            </w:r>
          </w:p>
        </w:tc>
        <w:tc>
          <w:tcPr>
            <w:tcW w:w="3330" w:type="dxa"/>
          </w:tcPr>
          <w:p w14:paraId="64FC7BCA" w14:textId="03865E0C" w:rsidR="006B24AA" w:rsidRPr="00E11FFB" w:rsidRDefault="006B24AA" w:rsidP="006B24AA">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PTBA 2026 de PGDF</w:t>
            </w:r>
          </w:p>
        </w:tc>
      </w:tr>
      <w:tr w:rsidR="006B24AA" w:rsidRPr="00E11FFB" w14:paraId="2A42D72F" w14:textId="77777777" w:rsidTr="00166C22">
        <w:trPr>
          <w:jc w:val="center"/>
        </w:trPr>
        <w:tc>
          <w:tcPr>
            <w:tcW w:w="2425" w:type="dxa"/>
          </w:tcPr>
          <w:p w14:paraId="57E6610C" w14:textId="02D3C1B4" w:rsidR="006B24AA" w:rsidRPr="00E11FFB" w:rsidRDefault="006B24AA" w:rsidP="006B24AA">
            <w:pPr>
              <w:rPr>
                <w:color w:val="000000"/>
                <w:sz w:val="16"/>
                <w:szCs w:val="16"/>
              </w:rPr>
            </w:pPr>
            <w:r w:rsidRPr="00E11FFB">
              <w:rPr>
                <w:color w:val="000000"/>
                <w:sz w:val="16"/>
                <w:szCs w:val="16"/>
              </w:rPr>
              <w:t>3.14.1 : Mettre à jour le NERF de la RDC.</w:t>
            </w:r>
          </w:p>
        </w:tc>
        <w:tc>
          <w:tcPr>
            <w:tcW w:w="720" w:type="dxa"/>
            <w:vAlign w:val="center"/>
          </w:tcPr>
          <w:p w14:paraId="3C25F9FA"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3.14</w:t>
            </w:r>
          </w:p>
        </w:tc>
        <w:tc>
          <w:tcPr>
            <w:tcW w:w="1350" w:type="dxa"/>
            <w:vAlign w:val="center"/>
          </w:tcPr>
          <w:p w14:paraId="17F3C5E3" w14:textId="10A95A2D"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7DFB55AD" w14:textId="77777777" w:rsidR="006B24AA" w:rsidRPr="00E11FFB" w:rsidRDefault="006B24AA" w:rsidP="006B24AA">
            <w:pPr>
              <w:rPr>
                <w:rFonts w:ascii="Avenir" w:eastAsia="Avenir" w:hAnsi="Avenir" w:cs="Avenir"/>
                <w:b/>
                <w:color w:val="000000"/>
                <w:sz w:val="16"/>
                <w:szCs w:val="16"/>
              </w:rPr>
            </w:pPr>
            <w:r w:rsidRPr="00E11FFB">
              <w:rPr>
                <w:color w:val="000000"/>
                <w:sz w:val="16"/>
                <w:szCs w:val="16"/>
              </w:rPr>
              <w:t>1 NERF mis à jour soumis à la CNUCC</w:t>
            </w:r>
          </w:p>
        </w:tc>
        <w:tc>
          <w:tcPr>
            <w:tcW w:w="2430" w:type="dxa"/>
          </w:tcPr>
          <w:p w14:paraId="2E12C13D" w14:textId="305238FA" w:rsidR="006B24AA" w:rsidRPr="00E7609D" w:rsidRDefault="006B24AA" w:rsidP="006B24AA">
            <w:pPr>
              <w:rPr>
                <w:rFonts w:ascii="Avenir" w:eastAsia="Avenir" w:hAnsi="Avenir" w:cs="Avenir"/>
                <w:bCs/>
                <w:color w:val="000000"/>
                <w:sz w:val="16"/>
                <w:szCs w:val="16"/>
              </w:rPr>
            </w:pPr>
            <w:r w:rsidRPr="00E7609D">
              <w:rPr>
                <w:rFonts w:ascii="Avenir" w:eastAsia="Avenir" w:hAnsi="Avenir" w:cs="Avenir"/>
                <w:bCs/>
                <w:color w:val="000000"/>
                <w:sz w:val="16"/>
                <w:szCs w:val="16"/>
              </w:rPr>
              <w:t xml:space="preserve">Travaux </w:t>
            </w:r>
            <w:r w:rsidR="00FC2A97">
              <w:rPr>
                <w:rFonts w:ascii="Avenir" w:eastAsia="Avenir" w:hAnsi="Avenir" w:cs="Avenir"/>
                <w:bCs/>
                <w:color w:val="000000"/>
                <w:sz w:val="16"/>
                <w:szCs w:val="16"/>
              </w:rPr>
              <w:t>p</w:t>
            </w:r>
            <w:r w:rsidRPr="00E7609D">
              <w:rPr>
                <w:rFonts w:ascii="Avenir" w:eastAsia="Avenir" w:hAnsi="Avenir" w:cs="Avenir"/>
                <w:bCs/>
                <w:color w:val="000000"/>
                <w:sz w:val="16"/>
                <w:szCs w:val="16"/>
              </w:rPr>
              <w:t xml:space="preserve">réparatoires pour la révision du NERF impliquant les parties prenantes clés sous l'égide du Secrétaire Général appuyé par la DDD et la DIAF ; </w:t>
            </w:r>
          </w:p>
        </w:tc>
        <w:tc>
          <w:tcPr>
            <w:tcW w:w="1620" w:type="dxa"/>
          </w:tcPr>
          <w:p w14:paraId="208C1083" w14:textId="4D9533FA" w:rsidR="006B24AA" w:rsidRPr="00E11FFB" w:rsidRDefault="006B24AA" w:rsidP="006B24AA">
            <w:pPr>
              <w:rPr>
                <w:b/>
                <w:bCs/>
                <w:color w:val="000000" w:themeColor="text1"/>
                <w:sz w:val="16"/>
                <w:szCs w:val="16"/>
              </w:rPr>
            </w:pPr>
            <w:r w:rsidRPr="00E11FFB">
              <w:rPr>
                <w:b/>
                <w:bCs/>
                <w:color w:val="000000" w:themeColor="text1"/>
                <w:sz w:val="16"/>
                <w:szCs w:val="16"/>
              </w:rPr>
              <w:t xml:space="preserve">En cours </w:t>
            </w:r>
          </w:p>
        </w:tc>
        <w:tc>
          <w:tcPr>
            <w:tcW w:w="3330" w:type="dxa"/>
          </w:tcPr>
          <w:p w14:paraId="386232C7" w14:textId="4616F754" w:rsidR="006B24AA" w:rsidRPr="00E11FFB" w:rsidRDefault="0037609F" w:rsidP="006B24AA">
            <w:pPr>
              <w:rPr>
                <w:rFonts w:ascii="Avenir" w:eastAsia="Avenir" w:hAnsi="Avenir" w:cs="Avenir"/>
                <w:color w:val="000000"/>
                <w:sz w:val="16"/>
                <w:szCs w:val="16"/>
              </w:rPr>
            </w:pPr>
            <w:r w:rsidRPr="00E11FFB">
              <w:rPr>
                <w:rFonts w:ascii="Avenir" w:eastAsia="Avenir" w:hAnsi="Avenir" w:cs="Avenir"/>
                <w:color w:val="000000"/>
                <w:sz w:val="16"/>
                <w:szCs w:val="16"/>
              </w:rPr>
              <w:t>Production et c</w:t>
            </w:r>
            <w:r w:rsidR="006B24AA" w:rsidRPr="00E11FFB">
              <w:rPr>
                <w:rFonts w:ascii="Avenir" w:eastAsia="Avenir" w:hAnsi="Avenir" w:cs="Avenir"/>
                <w:color w:val="000000"/>
                <w:sz w:val="16"/>
                <w:szCs w:val="16"/>
              </w:rPr>
              <w:t xml:space="preserve">oncertations sur le draft 0 du NERF révisé, Validation du NERF. </w:t>
            </w:r>
          </w:p>
        </w:tc>
      </w:tr>
      <w:tr w:rsidR="006B24AA" w:rsidRPr="00E11FFB" w14:paraId="4BA6B0FA" w14:textId="77777777" w:rsidTr="00166C22">
        <w:trPr>
          <w:jc w:val="center"/>
        </w:trPr>
        <w:tc>
          <w:tcPr>
            <w:tcW w:w="2425" w:type="dxa"/>
          </w:tcPr>
          <w:p w14:paraId="6145E636" w14:textId="2BEC788E" w:rsidR="006B24AA" w:rsidRPr="00E11FFB" w:rsidRDefault="006B24AA" w:rsidP="006B24AA">
            <w:pPr>
              <w:rPr>
                <w:color w:val="000000"/>
                <w:sz w:val="16"/>
                <w:szCs w:val="16"/>
              </w:rPr>
            </w:pPr>
            <w:r w:rsidRPr="00E11FFB">
              <w:rPr>
                <w:color w:val="000000"/>
                <w:sz w:val="16"/>
                <w:szCs w:val="16"/>
              </w:rPr>
              <w:t>3.15.1 : Appuyer la Task-Force de pilotage de l'atteinte du processus de réalisation des jalons de LOI.</w:t>
            </w:r>
          </w:p>
        </w:tc>
        <w:tc>
          <w:tcPr>
            <w:tcW w:w="720" w:type="dxa"/>
            <w:vMerge w:val="restart"/>
            <w:vAlign w:val="center"/>
          </w:tcPr>
          <w:p w14:paraId="519D920A" w14:textId="77777777"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3.15</w:t>
            </w:r>
          </w:p>
        </w:tc>
        <w:tc>
          <w:tcPr>
            <w:tcW w:w="1350" w:type="dxa"/>
            <w:vAlign w:val="center"/>
          </w:tcPr>
          <w:p w14:paraId="24F85D1B" w14:textId="206ED396"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vAlign w:val="center"/>
          </w:tcPr>
          <w:p w14:paraId="6718959F" w14:textId="77777777"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Rapport d’activité </w:t>
            </w:r>
          </w:p>
        </w:tc>
        <w:tc>
          <w:tcPr>
            <w:tcW w:w="2430" w:type="dxa"/>
          </w:tcPr>
          <w:p w14:paraId="3530D32C" w14:textId="3F6AB347"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1620" w:type="dxa"/>
          </w:tcPr>
          <w:p w14:paraId="2D2213BB" w14:textId="7B6C774B" w:rsidR="006B24AA" w:rsidRPr="00E11FFB" w:rsidRDefault="006B24AA" w:rsidP="006B24AA">
            <w:pPr>
              <w:rPr>
                <w:b/>
                <w:bCs/>
                <w:color w:val="000000" w:themeColor="text1"/>
                <w:sz w:val="16"/>
                <w:szCs w:val="16"/>
              </w:rPr>
            </w:pPr>
            <w:r w:rsidRPr="00E11FFB">
              <w:rPr>
                <w:b/>
                <w:bCs/>
                <w:sz w:val="16"/>
                <w:szCs w:val="16"/>
              </w:rPr>
              <w:t>Atteint</w:t>
            </w:r>
          </w:p>
        </w:tc>
        <w:tc>
          <w:tcPr>
            <w:tcW w:w="3330" w:type="dxa"/>
          </w:tcPr>
          <w:p w14:paraId="0F5BB11F" w14:textId="0B29638C"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6B24AA" w:rsidRPr="00E11FFB" w14:paraId="0E9DD348" w14:textId="77777777" w:rsidTr="00166C22">
        <w:trPr>
          <w:jc w:val="center"/>
        </w:trPr>
        <w:tc>
          <w:tcPr>
            <w:tcW w:w="2425" w:type="dxa"/>
          </w:tcPr>
          <w:p w14:paraId="54E041EF" w14:textId="6E59DADE" w:rsidR="006B24AA" w:rsidRPr="00E11FFB" w:rsidRDefault="006B24AA" w:rsidP="006B24AA">
            <w:pPr>
              <w:rPr>
                <w:color w:val="000000"/>
                <w:sz w:val="16"/>
                <w:szCs w:val="16"/>
              </w:rPr>
            </w:pPr>
            <w:r w:rsidRPr="00E11FFB">
              <w:rPr>
                <w:color w:val="000000"/>
                <w:sz w:val="16"/>
                <w:szCs w:val="16"/>
              </w:rPr>
              <w:t>3.15.2 : Appuyer le fonctionnement et la logistique de la Task-Force d'appui à la réalisation des jalons du secteur agriculture</w:t>
            </w:r>
          </w:p>
        </w:tc>
        <w:tc>
          <w:tcPr>
            <w:tcW w:w="720" w:type="dxa"/>
            <w:vMerge/>
            <w:vAlign w:val="center"/>
          </w:tcPr>
          <w:p w14:paraId="3A4E42DE"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67681EB4" w14:textId="6EDD13F3"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tcPr>
          <w:p w14:paraId="206EDA5A" w14:textId="77777777" w:rsidR="006B24AA" w:rsidRPr="00E11FFB" w:rsidRDefault="006B24AA" w:rsidP="006B24AA">
            <w:pPr>
              <w:rPr>
                <w:rFonts w:ascii="Avenir" w:eastAsia="Avenir" w:hAnsi="Avenir" w:cs="Avenir"/>
                <w:b/>
                <w:color w:val="000000"/>
                <w:sz w:val="16"/>
                <w:szCs w:val="16"/>
              </w:rPr>
            </w:pPr>
            <w:r w:rsidRPr="00E11FFB">
              <w:rPr>
                <w:sz w:val="16"/>
                <w:szCs w:val="16"/>
              </w:rPr>
              <w:t>100% des membres de la Task-Force ont été formés et équipés</w:t>
            </w:r>
          </w:p>
          <w:p w14:paraId="57BB64F1" w14:textId="4E248E18" w:rsidR="006B24AA" w:rsidRPr="00E11FFB" w:rsidRDefault="006B24AA" w:rsidP="006B24AA">
            <w:pPr>
              <w:rPr>
                <w:rFonts w:ascii="Avenir" w:eastAsia="Avenir" w:hAnsi="Avenir" w:cs="Avenir"/>
                <w:bCs/>
                <w:color w:val="000000"/>
                <w:sz w:val="16"/>
                <w:szCs w:val="16"/>
              </w:rPr>
            </w:pPr>
            <w:r w:rsidRPr="00E11FFB">
              <w:rPr>
                <w:bCs/>
                <w:color w:val="000000"/>
                <w:sz w:val="16"/>
                <w:szCs w:val="16"/>
              </w:rPr>
              <w:t>Fourniture de bureau et consommables</w:t>
            </w:r>
          </w:p>
          <w:p w14:paraId="4B1C5EDF" w14:textId="77777777" w:rsidR="006B24AA" w:rsidRPr="00E11FFB" w:rsidRDefault="006B24AA" w:rsidP="006B24AA">
            <w:pPr>
              <w:rPr>
                <w:rFonts w:ascii="Avenir" w:eastAsia="Avenir" w:hAnsi="Avenir" w:cs="Avenir"/>
                <w:b/>
                <w:color w:val="000000"/>
                <w:sz w:val="16"/>
                <w:szCs w:val="16"/>
              </w:rPr>
            </w:pPr>
            <w:r w:rsidRPr="00E11FFB">
              <w:rPr>
                <w:bCs/>
                <w:color w:val="000000"/>
                <w:sz w:val="16"/>
                <w:szCs w:val="16"/>
              </w:rPr>
              <w:t>1 véhicule</w:t>
            </w:r>
          </w:p>
        </w:tc>
        <w:tc>
          <w:tcPr>
            <w:tcW w:w="2430" w:type="dxa"/>
          </w:tcPr>
          <w:p w14:paraId="1A706B61" w14:textId="75E4D0D4"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Membres de la taskforce équipé et formé</w:t>
            </w:r>
          </w:p>
        </w:tc>
        <w:tc>
          <w:tcPr>
            <w:tcW w:w="1620" w:type="dxa"/>
          </w:tcPr>
          <w:p w14:paraId="65D41DF6" w14:textId="2A0BAE77" w:rsidR="006B24AA" w:rsidRPr="00E11FFB" w:rsidRDefault="006B24AA" w:rsidP="006B24AA">
            <w:pPr>
              <w:rPr>
                <w:b/>
                <w:bCs/>
                <w:color w:val="000000" w:themeColor="text1"/>
                <w:sz w:val="16"/>
                <w:szCs w:val="16"/>
              </w:rPr>
            </w:pPr>
            <w:r w:rsidRPr="00E11FFB">
              <w:rPr>
                <w:b/>
                <w:bCs/>
                <w:color w:val="000000" w:themeColor="text1"/>
                <w:sz w:val="16"/>
                <w:szCs w:val="16"/>
              </w:rPr>
              <w:t>En cours</w:t>
            </w:r>
          </w:p>
        </w:tc>
        <w:tc>
          <w:tcPr>
            <w:tcW w:w="3330" w:type="dxa"/>
          </w:tcPr>
          <w:p w14:paraId="158E4947" w14:textId="6046C05B"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Suivi des activités des jalons de la task-force et production des rapports mensuels pour chaque membre.</w:t>
            </w:r>
          </w:p>
        </w:tc>
      </w:tr>
      <w:tr w:rsidR="006B24AA" w:rsidRPr="00E11FFB" w14:paraId="44AB0151" w14:textId="77777777" w:rsidTr="00166C22">
        <w:trPr>
          <w:jc w:val="center"/>
        </w:trPr>
        <w:tc>
          <w:tcPr>
            <w:tcW w:w="2425" w:type="dxa"/>
          </w:tcPr>
          <w:p w14:paraId="57BF2442" w14:textId="009821FA" w:rsidR="006B24AA" w:rsidRPr="00E11FFB" w:rsidRDefault="006B24AA" w:rsidP="006B24AA">
            <w:pPr>
              <w:rPr>
                <w:color w:val="000000"/>
                <w:sz w:val="16"/>
                <w:szCs w:val="16"/>
              </w:rPr>
            </w:pPr>
            <w:r w:rsidRPr="00E11FFB">
              <w:rPr>
                <w:color w:val="000000"/>
                <w:sz w:val="16"/>
                <w:szCs w:val="16"/>
              </w:rPr>
              <w:t>3.15.3 : Appuyer la Direction des nouvelles technologies de l'information et de la communication (DANTIC) du MEDD.</w:t>
            </w:r>
          </w:p>
        </w:tc>
        <w:tc>
          <w:tcPr>
            <w:tcW w:w="720" w:type="dxa"/>
            <w:vMerge/>
            <w:vAlign w:val="center"/>
          </w:tcPr>
          <w:p w14:paraId="5ADECD2B" w14:textId="77777777" w:rsidR="006B24AA" w:rsidRPr="00E11FFB" w:rsidRDefault="006B24AA" w:rsidP="006B24AA">
            <w:pPr>
              <w:rPr>
                <w:rFonts w:ascii="Avenir" w:eastAsia="Avenir" w:hAnsi="Avenir" w:cs="Avenir"/>
                <w:color w:val="000000"/>
                <w:sz w:val="16"/>
                <w:szCs w:val="16"/>
              </w:rPr>
            </w:pPr>
          </w:p>
        </w:tc>
        <w:tc>
          <w:tcPr>
            <w:tcW w:w="1350" w:type="dxa"/>
            <w:vAlign w:val="center"/>
          </w:tcPr>
          <w:p w14:paraId="3071D89E" w14:textId="0217CBE2"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790" w:type="dxa"/>
          </w:tcPr>
          <w:p w14:paraId="1A8FF1C1" w14:textId="7CB9CDEC"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Page d’accueil et le Site web du ministère mis à jour </w:t>
            </w:r>
          </w:p>
          <w:p w14:paraId="1F3A301D" w14:textId="77777777" w:rsidR="006B24AA" w:rsidRPr="00E11FFB" w:rsidRDefault="006B24AA" w:rsidP="006B24AA">
            <w:pPr>
              <w:rPr>
                <w:rFonts w:ascii="Avenir" w:eastAsia="Avenir" w:hAnsi="Avenir" w:cs="Avenir"/>
                <w:b/>
                <w:color w:val="000000"/>
                <w:sz w:val="16"/>
                <w:szCs w:val="16"/>
              </w:rPr>
            </w:pPr>
            <w:r w:rsidRPr="00E11FFB">
              <w:rPr>
                <w:rFonts w:ascii="Avenir" w:eastAsia="Avenir" w:hAnsi="Avenir" w:cs="Avenir"/>
                <w:bCs/>
                <w:color w:val="000000"/>
                <w:sz w:val="16"/>
                <w:szCs w:val="16"/>
              </w:rPr>
              <w:t>Rapport d’activité</w:t>
            </w:r>
          </w:p>
        </w:tc>
        <w:tc>
          <w:tcPr>
            <w:tcW w:w="2430" w:type="dxa"/>
          </w:tcPr>
          <w:p w14:paraId="16548874" w14:textId="14A7B811" w:rsidR="006B24AA" w:rsidRPr="00E11FFB" w:rsidRDefault="006B24AA" w:rsidP="006B24AA">
            <w:pPr>
              <w:rPr>
                <w:rFonts w:ascii="Avenir" w:eastAsia="Avenir" w:hAnsi="Avenir" w:cs="Avenir"/>
                <w:bCs/>
                <w:color w:val="000000"/>
                <w:sz w:val="16"/>
                <w:szCs w:val="16"/>
              </w:rPr>
            </w:pPr>
            <w:r w:rsidRPr="00E11FFB">
              <w:rPr>
                <w:rFonts w:ascii="Avenir" w:eastAsia="Avenir" w:hAnsi="Avenir" w:cs="Avenir"/>
                <w:bCs/>
                <w:color w:val="000000"/>
                <w:sz w:val="16"/>
                <w:szCs w:val="16"/>
              </w:rPr>
              <w:t>Site en cours de structuration</w:t>
            </w:r>
          </w:p>
        </w:tc>
        <w:tc>
          <w:tcPr>
            <w:tcW w:w="1620" w:type="dxa"/>
          </w:tcPr>
          <w:p w14:paraId="44037B4B" w14:textId="10AD0542" w:rsidR="006B24AA" w:rsidRPr="00E11FFB" w:rsidRDefault="006B24AA" w:rsidP="006B24AA">
            <w:pPr>
              <w:rPr>
                <w:b/>
                <w:bCs/>
                <w:color w:val="000000" w:themeColor="text1"/>
                <w:sz w:val="16"/>
                <w:szCs w:val="16"/>
              </w:rPr>
            </w:pPr>
            <w:r w:rsidRPr="00E11FFB">
              <w:rPr>
                <w:b/>
                <w:bCs/>
                <w:color w:val="000000" w:themeColor="text1"/>
                <w:sz w:val="16"/>
                <w:szCs w:val="16"/>
              </w:rPr>
              <w:t>En cours</w:t>
            </w:r>
          </w:p>
        </w:tc>
        <w:tc>
          <w:tcPr>
            <w:tcW w:w="3330" w:type="dxa"/>
          </w:tcPr>
          <w:p w14:paraId="549DCC14" w14:textId="3319FA85" w:rsidR="006B24AA" w:rsidRPr="00E11FFB" w:rsidRDefault="006B24AA" w:rsidP="006B24AA">
            <w:pPr>
              <w:rPr>
                <w:rFonts w:ascii="Avenir" w:eastAsia="Avenir" w:hAnsi="Avenir" w:cs="Avenir"/>
                <w:color w:val="000000"/>
                <w:sz w:val="16"/>
                <w:szCs w:val="16"/>
              </w:rPr>
            </w:pPr>
            <w:r w:rsidRPr="00E11FFB">
              <w:rPr>
                <w:rFonts w:ascii="Avenir" w:eastAsia="Avenir" w:hAnsi="Avenir" w:cs="Avenir"/>
                <w:color w:val="000000"/>
                <w:sz w:val="16"/>
                <w:szCs w:val="16"/>
              </w:rPr>
              <w:t xml:space="preserve">Finalisation de la structuration sur site et publication des résultats du projet. </w:t>
            </w:r>
          </w:p>
        </w:tc>
      </w:tr>
    </w:tbl>
    <w:p w14:paraId="6F5E6966" w14:textId="77777777" w:rsidR="00B669B6" w:rsidRPr="00E11FFB" w:rsidRDefault="00B669B6" w:rsidP="00B669B6">
      <w:pPr>
        <w:rPr>
          <w:rFonts w:ascii="Avenir" w:eastAsia="Avenir" w:hAnsi="Avenir" w:cs="Avenir"/>
          <w:color w:val="000000"/>
          <w:sz w:val="21"/>
          <w:szCs w:val="21"/>
        </w:rPr>
      </w:pPr>
    </w:p>
    <w:p w14:paraId="1FD92E2E" w14:textId="6D309574" w:rsidR="00B669B6" w:rsidRPr="006D79E9" w:rsidRDefault="00E82414" w:rsidP="006D79E9">
      <w:pPr>
        <w:spacing w:before="240" w:after="5" w:line="276" w:lineRule="auto"/>
        <w:ind w:left="20" w:right="28" w:hanging="10"/>
        <w:jc w:val="both"/>
        <w:rPr>
          <w:rFonts w:ascii="Avenir" w:eastAsia="Avenir" w:hAnsi="Avenir" w:cs="Avenir"/>
          <w:color w:val="000000"/>
        </w:rPr>
      </w:pPr>
      <w:r>
        <w:rPr>
          <w:rFonts w:ascii="Avenir" w:eastAsia="Avenir" w:hAnsi="Avenir" w:cs="Avenir"/>
          <w:color w:val="000000"/>
        </w:rPr>
        <w:t xml:space="preserve">PTBA 2025 </w:t>
      </w:r>
      <w:r w:rsidR="00B669B6" w:rsidRPr="006D79E9">
        <w:rPr>
          <w:rFonts w:ascii="Avenir" w:eastAsia="Avenir" w:hAnsi="Avenir" w:cs="Avenir"/>
          <w:color w:val="000000"/>
        </w:rPr>
        <w:t>Démographie</w:t>
      </w:r>
    </w:p>
    <w:tbl>
      <w:tblPr>
        <w:tblW w:w="14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3"/>
        <w:gridCol w:w="778"/>
        <w:gridCol w:w="1778"/>
        <w:gridCol w:w="2146"/>
        <w:gridCol w:w="1620"/>
        <w:gridCol w:w="2070"/>
        <w:gridCol w:w="2340"/>
      </w:tblGrid>
      <w:tr w:rsidR="00B669B6" w:rsidRPr="00E11FFB" w14:paraId="24FE6151" w14:textId="77777777" w:rsidTr="007D1D65">
        <w:trPr>
          <w:trHeight w:val="766"/>
          <w:tblHeader/>
          <w:jc w:val="center"/>
        </w:trPr>
        <w:tc>
          <w:tcPr>
            <w:tcW w:w="3393" w:type="dxa"/>
            <w:shd w:val="clear" w:color="auto" w:fill="A9D5E7"/>
          </w:tcPr>
          <w:p w14:paraId="69CD67E3"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778" w:type="dxa"/>
            <w:shd w:val="clear" w:color="auto" w:fill="A9D5E7"/>
          </w:tcPr>
          <w:p w14:paraId="08174CC1"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27"/>
            </w:r>
            <w:r w:rsidRPr="00E11FFB">
              <w:rPr>
                <w:rFonts w:ascii="Avenir" w:eastAsia="Avenir" w:hAnsi="Avenir" w:cs="Avenir"/>
                <w:b/>
                <w:color w:val="000000"/>
                <w:sz w:val="16"/>
                <w:szCs w:val="16"/>
              </w:rPr>
              <w:t xml:space="preserve"> (ex. 1.1)</w:t>
            </w:r>
          </w:p>
        </w:tc>
        <w:tc>
          <w:tcPr>
            <w:tcW w:w="1778" w:type="dxa"/>
            <w:shd w:val="clear" w:color="auto" w:fill="A9D5E7"/>
          </w:tcPr>
          <w:p w14:paraId="00E84110"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28"/>
            </w:r>
          </w:p>
        </w:tc>
        <w:tc>
          <w:tcPr>
            <w:tcW w:w="2146" w:type="dxa"/>
            <w:shd w:val="clear" w:color="auto" w:fill="A9D5E7"/>
          </w:tcPr>
          <w:p w14:paraId="6914B816"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1620" w:type="dxa"/>
            <w:shd w:val="clear" w:color="auto" w:fill="A9D5E7"/>
          </w:tcPr>
          <w:p w14:paraId="5AE70373"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2070" w:type="dxa"/>
            <w:shd w:val="clear" w:color="auto" w:fill="A9D5E7"/>
          </w:tcPr>
          <w:p w14:paraId="6B7C47D0"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2340" w:type="dxa"/>
            <w:shd w:val="clear" w:color="auto" w:fill="A9D5E7"/>
          </w:tcPr>
          <w:p w14:paraId="19DBEC21"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BB0FBC" w:rsidRPr="00E11FFB" w14:paraId="48DDBA92" w14:textId="77777777" w:rsidTr="007D1D65">
        <w:trPr>
          <w:jc w:val="center"/>
        </w:trPr>
        <w:tc>
          <w:tcPr>
            <w:tcW w:w="3393" w:type="dxa"/>
          </w:tcPr>
          <w:p w14:paraId="4DE82429" w14:textId="0D8B16A8" w:rsidR="00BB0FBC" w:rsidRPr="00E11FFB" w:rsidRDefault="00BB0FBC" w:rsidP="00BB0FBC">
            <w:pPr>
              <w:rPr>
                <w:rFonts w:ascii="Avenir" w:eastAsia="Avenir" w:hAnsi="Avenir" w:cs="Avenir"/>
                <w:color w:val="000000"/>
                <w:sz w:val="16"/>
                <w:szCs w:val="16"/>
              </w:rPr>
            </w:pPr>
            <w:r w:rsidRPr="00E11FFB">
              <w:rPr>
                <w:sz w:val="16"/>
                <w:szCs w:val="16"/>
              </w:rPr>
              <w:t>4.1.1 : Appuyer le Comité de Pilotage</w:t>
            </w:r>
          </w:p>
        </w:tc>
        <w:tc>
          <w:tcPr>
            <w:tcW w:w="778" w:type="dxa"/>
            <w:vMerge w:val="restart"/>
            <w:vAlign w:val="center"/>
          </w:tcPr>
          <w:p w14:paraId="5DC01A86" w14:textId="77777777"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 xml:space="preserve">4.1 </w:t>
            </w:r>
          </w:p>
        </w:tc>
        <w:tc>
          <w:tcPr>
            <w:tcW w:w="1778" w:type="dxa"/>
            <w:vAlign w:val="center"/>
          </w:tcPr>
          <w:p w14:paraId="3257131D" w14:textId="48201C9E" w:rsidR="00BB0FBC" w:rsidRPr="00E11FFB" w:rsidRDefault="00BB0FBC" w:rsidP="00BB0FBC">
            <w:pPr>
              <w:rPr>
                <w:rFonts w:ascii="Avenir" w:eastAsia="Avenir" w:hAnsi="Avenir" w:cs="Avenir"/>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51850E5C" w14:textId="77777777"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 xml:space="preserve">2 réunions </w:t>
            </w:r>
          </w:p>
        </w:tc>
        <w:tc>
          <w:tcPr>
            <w:tcW w:w="1620" w:type="dxa"/>
          </w:tcPr>
          <w:p w14:paraId="7884BC8E" w14:textId="38BF984B"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 xml:space="preserve">2 réunions </w:t>
            </w:r>
          </w:p>
        </w:tc>
        <w:tc>
          <w:tcPr>
            <w:tcW w:w="2070" w:type="dxa"/>
          </w:tcPr>
          <w:p w14:paraId="17428B53" w14:textId="33325850" w:rsidR="00BB0FBC" w:rsidRPr="00E11FFB" w:rsidRDefault="00BB0FBC" w:rsidP="00BB0FBC">
            <w:pPr>
              <w:rPr>
                <w:rFonts w:ascii="Avenir" w:eastAsia="Avenir" w:hAnsi="Avenir" w:cs="Avenir"/>
                <w:color w:val="000000"/>
                <w:sz w:val="16"/>
                <w:szCs w:val="16"/>
              </w:rPr>
            </w:pPr>
            <w:r w:rsidRPr="00E11FFB">
              <w:rPr>
                <w:b/>
                <w:bCs/>
                <w:sz w:val="16"/>
                <w:szCs w:val="16"/>
              </w:rPr>
              <w:t>Atteint</w:t>
            </w:r>
          </w:p>
        </w:tc>
        <w:tc>
          <w:tcPr>
            <w:tcW w:w="2340" w:type="dxa"/>
          </w:tcPr>
          <w:p w14:paraId="6EE7ACD1" w14:textId="0F0FB63A"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2 réunions de COPIL sur la validation et la vulgarisation de la PNP</w:t>
            </w:r>
          </w:p>
        </w:tc>
      </w:tr>
      <w:tr w:rsidR="00BB0FBC" w:rsidRPr="00E11FFB" w14:paraId="66BC7615" w14:textId="77777777" w:rsidTr="007D1D65">
        <w:trPr>
          <w:jc w:val="center"/>
        </w:trPr>
        <w:tc>
          <w:tcPr>
            <w:tcW w:w="3393" w:type="dxa"/>
          </w:tcPr>
          <w:p w14:paraId="7D4B5B90" w14:textId="221007A0" w:rsidR="00BB0FBC" w:rsidRPr="00E11FFB" w:rsidRDefault="00BB0FBC" w:rsidP="00BB0FBC">
            <w:pPr>
              <w:rPr>
                <w:rFonts w:ascii="Avenir" w:eastAsia="Avenir" w:hAnsi="Avenir" w:cs="Avenir"/>
                <w:color w:val="000000"/>
                <w:sz w:val="16"/>
                <w:szCs w:val="16"/>
              </w:rPr>
            </w:pPr>
            <w:r w:rsidRPr="00E11FFB">
              <w:rPr>
                <w:sz w:val="16"/>
                <w:szCs w:val="16"/>
              </w:rPr>
              <w:t>4.1.2 : Appuyer le Comité Technique Interministériel de Population</w:t>
            </w:r>
          </w:p>
        </w:tc>
        <w:tc>
          <w:tcPr>
            <w:tcW w:w="778" w:type="dxa"/>
            <w:vMerge/>
            <w:vAlign w:val="center"/>
          </w:tcPr>
          <w:p w14:paraId="4F048C10" w14:textId="77777777" w:rsidR="00BB0FBC" w:rsidRPr="00E11FFB" w:rsidRDefault="00BB0FBC" w:rsidP="00BB0FBC">
            <w:pPr>
              <w:rPr>
                <w:rFonts w:ascii="Avenir" w:eastAsia="Avenir" w:hAnsi="Avenir" w:cs="Avenir"/>
                <w:color w:val="000000"/>
                <w:sz w:val="16"/>
                <w:szCs w:val="16"/>
              </w:rPr>
            </w:pPr>
          </w:p>
        </w:tc>
        <w:tc>
          <w:tcPr>
            <w:tcW w:w="1778" w:type="dxa"/>
            <w:vAlign w:val="center"/>
          </w:tcPr>
          <w:p w14:paraId="7C7E1940" w14:textId="348D53D5" w:rsidR="00BB0FBC" w:rsidRPr="00E11FFB" w:rsidRDefault="00BB0FBC" w:rsidP="00BB0FBC">
            <w:pPr>
              <w:rPr>
                <w:rFonts w:ascii="Avenir" w:eastAsia="Avenir" w:hAnsi="Avenir" w:cs="Avenir"/>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0C9BAB7B" w14:textId="77777777"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 xml:space="preserve">4 réunions </w:t>
            </w:r>
          </w:p>
        </w:tc>
        <w:tc>
          <w:tcPr>
            <w:tcW w:w="1620" w:type="dxa"/>
          </w:tcPr>
          <w:p w14:paraId="4B0E51A5" w14:textId="2E706EFE"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3 réunions</w:t>
            </w:r>
          </w:p>
        </w:tc>
        <w:tc>
          <w:tcPr>
            <w:tcW w:w="2070" w:type="dxa"/>
          </w:tcPr>
          <w:p w14:paraId="7F5EF71C" w14:textId="1DB0B505" w:rsidR="00BB0FBC" w:rsidRPr="00E11FFB" w:rsidRDefault="00BB0FBC" w:rsidP="00BB0FBC">
            <w:pPr>
              <w:rPr>
                <w:b/>
                <w:bCs/>
                <w:sz w:val="16"/>
                <w:szCs w:val="16"/>
              </w:rPr>
            </w:pPr>
            <w:r w:rsidRPr="00E11FFB">
              <w:rPr>
                <w:b/>
                <w:bCs/>
                <w:sz w:val="16"/>
                <w:szCs w:val="16"/>
              </w:rPr>
              <w:t>En cours</w:t>
            </w:r>
          </w:p>
        </w:tc>
        <w:tc>
          <w:tcPr>
            <w:tcW w:w="2340" w:type="dxa"/>
          </w:tcPr>
          <w:p w14:paraId="793AFB02" w14:textId="0C884CB0" w:rsidR="00BB0FBC" w:rsidRPr="00E11FFB" w:rsidRDefault="00BB0FBC" w:rsidP="00BB0FBC">
            <w:pPr>
              <w:rPr>
                <w:rFonts w:ascii="Avenir" w:eastAsia="Avenir" w:hAnsi="Avenir" w:cs="Avenir"/>
                <w:color w:val="000000"/>
                <w:sz w:val="16"/>
                <w:szCs w:val="16"/>
              </w:rPr>
            </w:pPr>
            <w:r w:rsidRPr="00E11FFB">
              <w:rPr>
                <w:rFonts w:ascii="Avenir" w:eastAsia="Avenir" w:hAnsi="Avenir" w:cs="Avenir"/>
                <w:color w:val="000000"/>
                <w:sz w:val="16"/>
                <w:szCs w:val="16"/>
              </w:rPr>
              <w:t xml:space="preserve">3 réunions prévues pour 2026 car une réunion de 2025 non tenue faute de budget. </w:t>
            </w:r>
          </w:p>
        </w:tc>
      </w:tr>
      <w:tr w:rsidR="004635EF" w:rsidRPr="00E11FFB" w14:paraId="59A52DCC" w14:textId="77777777" w:rsidTr="007D1D65">
        <w:trPr>
          <w:jc w:val="center"/>
        </w:trPr>
        <w:tc>
          <w:tcPr>
            <w:tcW w:w="3393" w:type="dxa"/>
          </w:tcPr>
          <w:p w14:paraId="670AF54B" w14:textId="38BA046C" w:rsidR="004635EF" w:rsidRPr="00E11FFB" w:rsidRDefault="004635EF" w:rsidP="004635EF">
            <w:pPr>
              <w:rPr>
                <w:rFonts w:ascii="Avenir" w:eastAsia="Avenir" w:hAnsi="Avenir" w:cs="Avenir"/>
                <w:color w:val="000000"/>
                <w:sz w:val="16"/>
                <w:szCs w:val="16"/>
              </w:rPr>
            </w:pPr>
            <w:r w:rsidRPr="00E11FFB">
              <w:rPr>
                <w:sz w:val="16"/>
                <w:szCs w:val="16"/>
              </w:rPr>
              <w:t>4.1.3 : Appuyer le Secrétariat Permanent.</w:t>
            </w:r>
          </w:p>
        </w:tc>
        <w:tc>
          <w:tcPr>
            <w:tcW w:w="778" w:type="dxa"/>
            <w:vMerge/>
            <w:vAlign w:val="center"/>
          </w:tcPr>
          <w:p w14:paraId="2A712D24" w14:textId="77777777" w:rsidR="004635EF" w:rsidRPr="00E11FFB" w:rsidRDefault="004635EF" w:rsidP="004635EF">
            <w:pPr>
              <w:rPr>
                <w:rFonts w:ascii="Avenir" w:eastAsia="Avenir" w:hAnsi="Avenir" w:cs="Avenir"/>
                <w:color w:val="000000"/>
                <w:sz w:val="16"/>
                <w:szCs w:val="16"/>
              </w:rPr>
            </w:pPr>
          </w:p>
        </w:tc>
        <w:tc>
          <w:tcPr>
            <w:tcW w:w="1778" w:type="dxa"/>
            <w:vAlign w:val="center"/>
          </w:tcPr>
          <w:p w14:paraId="52DD9153" w14:textId="7CCFD5FA" w:rsidR="004635EF" w:rsidRPr="00E11FFB" w:rsidRDefault="004635EF" w:rsidP="004635EF">
            <w:pPr>
              <w:rPr>
                <w:rFonts w:ascii="Avenir" w:eastAsia="Avenir" w:hAnsi="Avenir" w:cs="Avenir"/>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191CEF6D" w14:textId="71C897AC" w:rsidR="004635EF" w:rsidRPr="00E11FFB" w:rsidRDefault="00905A9F" w:rsidP="004635EF">
            <w:pPr>
              <w:rPr>
                <w:rFonts w:ascii="Avenir" w:eastAsia="Avenir" w:hAnsi="Avenir" w:cs="Avenir"/>
                <w:color w:val="000000"/>
                <w:sz w:val="16"/>
                <w:szCs w:val="16"/>
              </w:rPr>
            </w:pPr>
            <w:r w:rsidRPr="00E11FFB">
              <w:rPr>
                <w:rFonts w:ascii="Avenir" w:eastAsia="Avenir" w:hAnsi="Avenir" w:cs="Avenir"/>
                <w:color w:val="000000"/>
                <w:sz w:val="16"/>
                <w:szCs w:val="16"/>
              </w:rPr>
              <w:t>9</w:t>
            </w:r>
            <w:r w:rsidR="004635EF" w:rsidRPr="00E11FFB">
              <w:rPr>
                <w:rFonts w:ascii="Avenir" w:eastAsia="Avenir" w:hAnsi="Avenir" w:cs="Avenir"/>
                <w:color w:val="000000"/>
                <w:sz w:val="16"/>
                <w:szCs w:val="16"/>
              </w:rPr>
              <w:t xml:space="preserve"> </w:t>
            </w:r>
            <w:r w:rsidR="006E18D7" w:rsidRPr="00E11FFB">
              <w:rPr>
                <w:rFonts w:ascii="Avenir" w:eastAsia="Avenir" w:hAnsi="Avenir" w:cs="Avenir"/>
                <w:color w:val="000000"/>
                <w:sz w:val="16"/>
                <w:szCs w:val="16"/>
              </w:rPr>
              <w:t>rapports de f</w:t>
            </w:r>
            <w:r w:rsidR="004635EF" w:rsidRPr="00E11FFB">
              <w:rPr>
                <w:sz w:val="16"/>
                <w:szCs w:val="16"/>
              </w:rPr>
              <w:t>onctionnement mensuel optimal</w:t>
            </w:r>
          </w:p>
        </w:tc>
        <w:tc>
          <w:tcPr>
            <w:tcW w:w="1620" w:type="dxa"/>
          </w:tcPr>
          <w:p w14:paraId="0619ED03" w14:textId="0EC8F532" w:rsidR="004635EF" w:rsidRPr="00E11FFB" w:rsidRDefault="00905A9F" w:rsidP="004635EF">
            <w:pPr>
              <w:rPr>
                <w:rFonts w:ascii="Avenir" w:eastAsia="Avenir" w:hAnsi="Avenir" w:cs="Avenir"/>
                <w:color w:val="000000"/>
                <w:sz w:val="16"/>
                <w:szCs w:val="16"/>
              </w:rPr>
            </w:pPr>
            <w:r w:rsidRPr="00E11FFB">
              <w:rPr>
                <w:rFonts w:ascii="Avenir" w:eastAsia="Avenir" w:hAnsi="Avenir" w:cs="Avenir"/>
                <w:color w:val="000000"/>
                <w:sz w:val="16"/>
                <w:szCs w:val="16"/>
              </w:rPr>
              <w:t>7 r</w:t>
            </w:r>
            <w:r w:rsidR="00BB0FBC" w:rsidRPr="00E11FFB">
              <w:rPr>
                <w:rFonts w:ascii="Avenir" w:eastAsia="Avenir" w:hAnsi="Avenir" w:cs="Avenir"/>
                <w:color w:val="000000"/>
                <w:sz w:val="16"/>
                <w:szCs w:val="16"/>
              </w:rPr>
              <w:t>apport</w:t>
            </w:r>
            <w:r w:rsidRPr="00E11FFB">
              <w:rPr>
                <w:rFonts w:ascii="Avenir" w:eastAsia="Avenir" w:hAnsi="Avenir" w:cs="Avenir"/>
                <w:color w:val="000000"/>
                <w:sz w:val="16"/>
                <w:szCs w:val="16"/>
              </w:rPr>
              <w:t>s</w:t>
            </w:r>
            <w:r w:rsidR="00BB0FBC" w:rsidRPr="00E11FFB">
              <w:rPr>
                <w:rFonts w:ascii="Avenir" w:eastAsia="Avenir" w:hAnsi="Avenir" w:cs="Avenir"/>
                <w:color w:val="000000"/>
                <w:sz w:val="16"/>
                <w:szCs w:val="16"/>
              </w:rPr>
              <w:t xml:space="preserve"> mensuel</w:t>
            </w:r>
            <w:r w:rsidRPr="00E11FFB">
              <w:rPr>
                <w:rFonts w:ascii="Avenir" w:eastAsia="Avenir" w:hAnsi="Avenir" w:cs="Avenir"/>
                <w:color w:val="000000"/>
                <w:sz w:val="16"/>
                <w:szCs w:val="16"/>
              </w:rPr>
              <w:t>s</w:t>
            </w:r>
            <w:r w:rsidR="00BB0FBC" w:rsidRPr="00E11FFB">
              <w:rPr>
                <w:rFonts w:ascii="Avenir" w:eastAsia="Avenir" w:hAnsi="Avenir" w:cs="Avenir"/>
                <w:color w:val="000000"/>
                <w:sz w:val="16"/>
                <w:szCs w:val="16"/>
              </w:rPr>
              <w:t xml:space="preserve"> d’activité</w:t>
            </w:r>
            <w:r w:rsidRPr="00E11FFB">
              <w:rPr>
                <w:rFonts w:ascii="Avenir" w:eastAsia="Avenir" w:hAnsi="Avenir" w:cs="Avenir"/>
                <w:color w:val="000000"/>
                <w:sz w:val="16"/>
                <w:szCs w:val="16"/>
              </w:rPr>
              <w:t xml:space="preserve"> sur la durée du projet</w:t>
            </w:r>
            <w:r w:rsidR="00BB0FBC" w:rsidRPr="00E11FFB">
              <w:rPr>
                <w:rFonts w:ascii="Avenir" w:eastAsia="Avenir" w:hAnsi="Avenir" w:cs="Avenir"/>
                <w:color w:val="000000"/>
                <w:sz w:val="16"/>
                <w:szCs w:val="16"/>
              </w:rPr>
              <w:t xml:space="preserve">, équipement du secrétariat permanent </w:t>
            </w:r>
          </w:p>
        </w:tc>
        <w:tc>
          <w:tcPr>
            <w:tcW w:w="2070" w:type="dxa"/>
          </w:tcPr>
          <w:p w14:paraId="2BA63959" w14:textId="572103CB" w:rsidR="004635EF" w:rsidRPr="00E11FFB" w:rsidRDefault="00BB0FBC" w:rsidP="004635EF">
            <w:pPr>
              <w:rPr>
                <w:b/>
                <w:bCs/>
                <w:sz w:val="16"/>
                <w:szCs w:val="16"/>
              </w:rPr>
            </w:pPr>
            <w:r w:rsidRPr="00E11FFB">
              <w:rPr>
                <w:b/>
                <w:bCs/>
                <w:sz w:val="16"/>
                <w:szCs w:val="16"/>
              </w:rPr>
              <w:t>Atteint</w:t>
            </w:r>
          </w:p>
        </w:tc>
        <w:tc>
          <w:tcPr>
            <w:tcW w:w="2340" w:type="dxa"/>
          </w:tcPr>
          <w:p w14:paraId="22F2DA15" w14:textId="3D8A0E0E" w:rsidR="004635EF" w:rsidRPr="00E11FFB" w:rsidRDefault="0023284C" w:rsidP="004635EF">
            <w:pPr>
              <w:rPr>
                <w:rFonts w:ascii="Avenir" w:eastAsia="Avenir" w:hAnsi="Avenir" w:cs="Avenir"/>
                <w:color w:val="000000"/>
                <w:sz w:val="16"/>
                <w:szCs w:val="16"/>
              </w:rPr>
            </w:pPr>
            <w:r w:rsidRPr="00E11FFB">
              <w:rPr>
                <w:rFonts w:ascii="Avenir" w:eastAsia="Avenir" w:hAnsi="Avenir" w:cs="Avenir"/>
                <w:color w:val="000000"/>
                <w:sz w:val="16"/>
                <w:szCs w:val="16"/>
              </w:rPr>
              <w:t>Appui au fonctionnement</w:t>
            </w:r>
            <w:r w:rsidR="00BB0FBC" w:rsidRPr="00E11FFB">
              <w:rPr>
                <w:rFonts w:ascii="Avenir" w:eastAsia="Avenir" w:hAnsi="Avenir" w:cs="Avenir"/>
                <w:color w:val="000000"/>
                <w:sz w:val="16"/>
                <w:szCs w:val="16"/>
              </w:rPr>
              <w:t xml:space="preserve"> et production des rapports d’activité </w:t>
            </w:r>
          </w:p>
        </w:tc>
      </w:tr>
      <w:tr w:rsidR="004635EF" w:rsidRPr="00E11FFB" w14:paraId="419C24CD" w14:textId="77777777" w:rsidTr="007D1D65">
        <w:trPr>
          <w:jc w:val="center"/>
        </w:trPr>
        <w:tc>
          <w:tcPr>
            <w:tcW w:w="3393" w:type="dxa"/>
          </w:tcPr>
          <w:p w14:paraId="30DAC09B" w14:textId="54E789AD" w:rsidR="004635EF" w:rsidRPr="00E11FFB" w:rsidRDefault="004635EF" w:rsidP="004635EF">
            <w:pPr>
              <w:rPr>
                <w:rFonts w:ascii="Avenir" w:eastAsia="Avenir" w:hAnsi="Avenir" w:cs="Avenir"/>
                <w:color w:val="000000"/>
                <w:sz w:val="16"/>
                <w:szCs w:val="16"/>
              </w:rPr>
            </w:pPr>
            <w:r w:rsidRPr="00E11FFB">
              <w:rPr>
                <w:sz w:val="16"/>
                <w:szCs w:val="16"/>
              </w:rPr>
              <w:t>4.1.4 : Appuyer le CONAPO au niveau provincial (CPPO).</w:t>
            </w:r>
          </w:p>
        </w:tc>
        <w:tc>
          <w:tcPr>
            <w:tcW w:w="778" w:type="dxa"/>
            <w:vMerge/>
            <w:vAlign w:val="center"/>
          </w:tcPr>
          <w:p w14:paraId="531BB773" w14:textId="77777777" w:rsidR="004635EF" w:rsidRPr="00E11FFB" w:rsidRDefault="004635EF" w:rsidP="004635EF">
            <w:pPr>
              <w:rPr>
                <w:rFonts w:ascii="Avenir" w:eastAsia="Avenir" w:hAnsi="Avenir" w:cs="Avenir"/>
                <w:color w:val="000000"/>
                <w:sz w:val="16"/>
                <w:szCs w:val="16"/>
              </w:rPr>
            </w:pPr>
          </w:p>
        </w:tc>
        <w:tc>
          <w:tcPr>
            <w:tcW w:w="1778" w:type="dxa"/>
            <w:vAlign w:val="center"/>
          </w:tcPr>
          <w:p w14:paraId="69599902" w14:textId="203D3EEC" w:rsidR="004635EF" w:rsidRPr="00E11FFB" w:rsidRDefault="004635EF" w:rsidP="004635EF">
            <w:pPr>
              <w:rPr>
                <w:rFonts w:ascii="Avenir" w:eastAsia="Avenir" w:hAnsi="Avenir" w:cs="Avenir"/>
                <w:color w:val="000000"/>
                <w:sz w:val="16"/>
                <w:szCs w:val="16"/>
              </w:rPr>
            </w:pPr>
            <w:r w:rsidRPr="00E11FFB">
              <w:rPr>
                <w:rFonts w:ascii="Avenir" w:eastAsia="Avenir" w:hAnsi="Avenir" w:cs="Avenir"/>
                <w:b/>
                <w:color w:val="000000"/>
                <w:sz w:val="16"/>
                <w:szCs w:val="16"/>
              </w:rPr>
              <w:t>Du 01/07/2025 au 30/12/2025</w:t>
            </w:r>
          </w:p>
        </w:tc>
        <w:tc>
          <w:tcPr>
            <w:tcW w:w="2146" w:type="dxa"/>
            <w:vAlign w:val="center"/>
          </w:tcPr>
          <w:p w14:paraId="2D4FC096" w14:textId="77777777" w:rsidR="004635EF" w:rsidRPr="00E11FFB" w:rsidRDefault="004635EF" w:rsidP="004635EF">
            <w:pPr>
              <w:rPr>
                <w:rFonts w:ascii="Avenir" w:eastAsia="Avenir" w:hAnsi="Avenir" w:cs="Avenir"/>
                <w:b/>
                <w:color w:val="000000"/>
                <w:sz w:val="16"/>
                <w:szCs w:val="16"/>
              </w:rPr>
            </w:pPr>
            <w:r w:rsidRPr="00E11FFB">
              <w:rPr>
                <w:sz w:val="16"/>
                <w:szCs w:val="16"/>
              </w:rPr>
              <w:t>5 provinces dotées de Comités Provinciaux de Population fonctionnels</w:t>
            </w:r>
          </w:p>
        </w:tc>
        <w:tc>
          <w:tcPr>
            <w:tcW w:w="1620" w:type="dxa"/>
          </w:tcPr>
          <w:p w14:paraId="679C12AE" w14:textId="539AF2A0" w:rsidR="004635EF" w:rsidRPr="00E11FFB" w:rsidRDefault="0011795C" w:rsidP="004635EF">
            <w:pPr>
              <w:rPr>
                <w:rFonts w:ascii="Avenir" w:eastAsia="Avenir" w:hAnsi="Avenir" w:cs="Avenir"/>
                <w:bCs/>
                <w:color w:val="000000"/>
                <w:sz w:val="16"/>
                <w:szCs w:val="16"/>
                <w:highlight w:val="yellow"/>
              </w:rPr>
            </w:pPr>
            <w:r w:rsidRPr="00E11FFB">
              <w:rPr>
                <w:rFonts w:ascii="Avenir" w:eastAsia="Avenir" w:hAnsi="Avenir" w:cs="Avenir"/>
                <w:color w:val="000000"/>
                <w:sz w:val="16"/>
                <w:szCs w:val="16"/>
              </w:rPr>
              <w:t>Lettre transmise au ministre de l’Intérieur pour Instruire les gouverneurs de l'urgence, projet d’arrêté CPPO</w:t>
            </w:r>
            <w:r w:rsidR="00CA510E" w:rsidRPr="00E11FFB">
              <w:rPr>
                <w:rFonts w:ascii="Avenir" w:eastAsia="Avenir" w:hAnsi="Avenir" w:cs="Avenir"/>
                <w:color w:val="000000"/>
                <w:sz w:val="16"/>
                <w:szCs w:val="16"/>
              </w:rPr>
              <w:t> ; Missions planifiées pour</w:t>
            </w:r>
            <w:r w:rsidR="00E752B6" w:rsidRPr="00E11FFB">
              <w:rPr>
                <w:rFonts w:ascii="Avenir" w:eastAsia="Avenir" w:hAnsi="Avenir" w:cs="Avenir"/>
                <w:color w:val="000000"/>
                <w:sz w:val="16"/>
                <w:szCs w:val="16"/>
              </w:rPr>
              <w:t xml:space="preserve"> 5 provinces</w:t>
            </w:r>
          </w:p>
        </w:tc>
        <w:tc>
          <w:tcPr>
            <w:tcW w:w="2070" w:type="dxa"/>
          </w:tcPr>
          <w:p w14:paraId="69859565" w14:textId="2129982E" w:rsidR="004635EF" w:rsidRPr="00E11FFB" w:rsidRDefault="00BB0FBC" w:rsidP="004635EF">
            <w:pPr>
              <w:rPr>
                <w:b/>
                <w:bCs/>
                <w:sz w:val="16"/>
                <w:szCs w:val="16"/>
              </w:rPr>
            </w:pPr>
            <w:r w:rsidRPr="00E11FFB">
              <w:rPr>
                <w:b/>
                <w:bCs/>
                <w:sz w:val="16"/>
                <w:szCs w:val="16"/>
              </w:rPr>
              <w:t>En cours</w:t>
            </w:r>
          </w:p>
        </w:tc>
        <w:tc>
          <w:tcPr>
            <w:tcW w:w="2340" w:type="dxa"/>
          </w:tcPr>
          <w:p w14:paraId="44C12B04" w14:textId="606FD93D" w:rsidR="004635EF" w:rsidRPr="00E11FFB" w:rsidRDefault="0023284C" w:rsidP="004635EF">
            <w:pPr>
              <w:rPr>
                <w:rFonts w:ascii="Avenir" w:eastAsia="Avenir" w:hAnsi="Avenir" w:cs="Avenir"/>
                <w:color w:val="000000"/>
                <w:sz w:val="16"/>
                <w:szCs w:val="16"/>
              </w:rPr>
            </w:pPr>
            <w:r w:rsidRPr="00E11FFB">
              <w:rPr>
                <w:rFonts w:ascii="Avenir" w:eastAsia="Avenir" w:hAnsi="Avenir" w:cs="Avenir"/>
                <w:color w:val="000000"/>
                <w:sz w:val="16"/>
                <w:szCs w:val="16"/>
              </w:rPr>
              <w:t xml:space="preserve">5 provinces </w:t>
            </w:r>
            <w:r w:rsidR="00BB0FBC" w:rsidRPr="00E11FFB">
              <w:rPr>
                <w:rFonts w:ascii="Avenir" w:eastAsia="Avenir" w:hAnsi="Avenir" w:cs="Avenir"/>
                <w:color w:val="000000"/>
                <w:sz w:val="16"/>
                <w:szCs w:val="16"/>
              </w:rPr>
              <w:t xml:space="preserve">additionnelles </w:t>
            </w:r>
            <w:r w:rsidRPr="00E11FFB">
              <w:rPr>
                <w:rFonts w:ascii="Avenir" w:eastAsia="Avenir" w:hAnsi="Avenir" w:cs="Avenir"/>
                <w:color w:val="000000"/>
                <w:sz w:val="16"/>
                <w:szCs w:val="16"/>
              </w:rPr>
              <w:t>dotées de CPPO</w:t>
            </w:r>
          </w:p>
        </w:tc>
      </w:tr>
      <w:tr w:rsidR="00430AEF" w:rsidRPr="00E11FFB" w14:paraId="535645A8" w14:textId="77777777" w:rsidTr="003A6DE1">
        <w:trPr>
          <w:jc w:val="center"/>
        </w:trPr>
        <w:tc>
          <w:tcPr>
            <w:tcW w:w="3393" w:type="dxa"/>
          </w:tcPr>
          <w:p w14:paraId="1E3C98FA" w14:textId="07685DC3" w:rsidR="00430AEF" w:rsidRPr="00E11FFB" w:rsidRDefault="00430AEF" w:rsidP="00430AEF">
            <w:pPr>
              <w:rPr>
                <w:rFonts w:ascii="Avenir" w:eastAsia="Avenir" w:hAnsi="Avenir" w:cs="Avenir"/>
                <w:color w:val="000000"/>
                <w:sz w:val="16"/>
                <w:szCs w:val="16"/>
              </w:rPr>
            </w:pPr>
            <w:r w:rsidRPr="00E11FFB">
              <w:rPr>
                <w:sz w:val="16"/>
                <w:szCs w:val="16"/>
              </w:rPr>
              <w:t>4.2.1 : Elaborer et adopter la Politique Nationale de Population.</w:t>
            </w:r>
          </w:p>
        </w:tc>
        <w:tc>
          <w:tcPr>
            <w:tcW w:w="778" w:type="dxa"/>
            <w:vAlign w:val="center"/>
          </w:tcPr>
          <w:p w14:paraId="15C573C2" w14:textId="77777777" w:rsidR="00430AEF" w:rsidRPr="00E11FFB" w:rsidRDefault="00430AEF" w:rsidP="00430AEF">
            <w:pPr>
              <w:rPr>
                <w:rFonts w:ascii="Avenir" w:eastAsia="Avenir" w:hAnsi="Avenir" w:cs="Avenir"/>
                <w:color w:val="000000"/>
                <w:sz w:val="16"/>
                <w:szCs w:val="16"/>
              </w:rPr>
            </w:pPr>
            <w:r w:rsidRPr="00E11FFB">
              <w:rPr>
                <w:rFonts w:ascii="Avenir" w:eastAsia="Avenir" w:hAnsi="Avenir" w:cs="Avenir"/>
                <w:color w:val="000000"/>
                <w:sz w:val="16"/>
                <w:szCs w:val="16"/>
              </w:rPr>
              <w:t xml:space="preserve">4.2 </w:t>
            </w:r>
          </w:p>
        </w:tc>
        <w:tc>
          <w:tcPr>
            <w:tcW w:w="1778" w:type="dxa"/>
            <w:vAlign w:val="center"/>
          </w:tcPr>
          <w:p w14:paraId="52F69126" w14:textId="1CAF6976" w:rsidR="00430AEF" w:rsidRPr="00E11FFB" w:rsidRDefault="00430AEF" w:rsidP="00430AEF">
            <w:pPr>
              <w:rPr>
                <w:rFonts w:ascii="Avenir" w:eastAsia="Avenir" w:hAnsi="Avenir" w:cs="Avenir"/>
                <w:bCs/>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582B3712" w14:textId="77777777" w:rsidR="00430AEF" w:rsidRPr="00E11FFB" w:rsidRDefault="00430AEF" w:rsidP="00430AEF">
            <w:pPr>
              <w:rPr>
                <w:rFonts w:ascii="Avenir" w:eastAsia="Avenir" w:hAnsi="Avenir" w:cs="Avenir"/>
                <w:color w:val="000000" w:themeColor="text1"/>
                <w:sz w:val="16"/>
                <w:szCs w:val="16"/>
              </w:rPr>
            </w:pPr>
            <w:r w:rsidRPr="00E11FFB">
              <w:rPr>
                <w:color w:val="000000" w:themeColor="text1"/>
                <w:sz w:val="16"/>
                <w:szCs w:val="16"/>
              </w:rPr>
              <w:t>4 drafts de PNP</w:t>
            </w:r>
          </w:p>
        </w:tc>
        <w:tc>
          <w:tcPr>
            <w:tcW w:w="1620" w:type="dxa"/>
            <w:vAlign w:val="center"/>
          </w:tcPr>
          <w:p w14:paraId="0CEC8655" w14:textId="19FAC617" w:rsidR="00430AEF" w:rsidRPr="00E11FFB" w:rsidRDefault="00430AEF" w:rsidP="00430AEF">
            <w:pPr>
              <w:rPr>
                <w:rFonts w:ascii="Avenir" w:eastAsia="Avenir" w:hAnsi="Avenir" w:cs="Avenir"/>
                <w:bCs/>
                <w:color w:val="000000"/>
                <w:sz w:val="16"/>
                <w:szCs w:val="16"/>
              </w:rPr>
            </w:pPr>
            <w:r w:rsidRPr="00E11FFB">
              <w:rPr>
                <w:rFonts w:ascii="Avenir" w:eastAsia="Avenir" w:hAnsi="Avenir" w:cs="Avenir"/>
                <w:bCs/>
                <w:color w:val="000000"/>
                <w:sz w:val="16"/>
                <w:szCs w:val="16"/>
              </w:rPr>
              <w:t>Consultations provinciales sur le diagnostic démographique, production de 4 drafts (note de cadrage draft, note de cadrage final, Profil démographique et PNP draft 0)</w:t>
            </w:r>
          </w:p>
        </w:tc>
        <w:tc>
          <w:tcPr>
            <w:tcW w:w="2070" w:type="dxa"/>
          </w:tcPr>
          <w:p w14:paraId="68EA27B8" w14:textId="6BF3BDEA" w:rsidR="00430AEF" w:rsidRPr="00E11FFB" w:rsidRDefault="00430AEF" w:rsidP="00430AEF">
            <w:pPr>
              <w:rPr>
                <w:b/>
                <w:bCs/>
                <w:sz w:val="16"/>
                <w:szCs w:val="16"/>
              </w:rPr>
            </w:pPr>
            <w:r w:rsidRPr="00E11FFB">
              <w:rPr>
                <w:b/>
                <w:bCs/>
                <w:sz w:val="16"/>
                <w:szCs w:val="16"/>
              </w:rPr>
              <w:t xml:space="preserve">En cours </w:t>
            </w:r>
          </w:p>
        </w:tc>
        <w:tc>
          <w:tcPr>
            <w:tcW w:w="2340" w:type="dxa"/>
          </w:tcPr>
          <w:p w14:paraId="16DE6D39" w14:textId="77777777" w:rsidR="00430AEF" w:rsidRPr="00E11FFB" w:rsidRDefault="00430AEF" w:rsidP="00430AEF"/>
          <w:p w14:paraId="7A02AA90" w14:textId="35E13289" w:rsidR="00430AEF" w:rsidRPr="00E11FFB" w:rsidRDefault="00430AEF" w:rsidP="00430AEF">
            <w:pPr>
              <w:rPr>
                <w:rFonts w:ascii="Avenir" w:eastAsia="Avenir" w:hAnsi="Avenir" w:cs="Avenir"/>
                <w:color w:val="000000"/>
                <w:sz w:val="16"/>
                <w:szCs w:val="16"/>
              </w:rPr>
            </w:pPr>
            <w:r w:rsidRPr="00E11FFB">
              <w:rPr>
                <w:rFonts w:ascii="Avenir" w:eastAsia="Avenir" w:hAnsi="Avenir" w:cs="Avenir"/>
                <w:color w:val="000000"/>
                <w:sz w:val="16"/>
                <w:szCs w:val="16"/>
              </w:rPr>
              <w:t>Validation, la Vulgarisation de la PNP, plan d’action de la PNP</w:t>
            </w:r>
          </w:p>
        </w:tc>
      </w:tr>
      <w:tr w:rsidR="004635EF" w:rsidRPr="00E11FFB" w14:paraId="6CB3EED9" w14:textId="77777777" w:rsidTr="007D1D65">
        <w:trPr>
          <w:jc w:val="center"/>
        </w:trPr>
        <w:tc>
          <w:tcPr>
            <w:tcW w:w="3393" w:type="dxa"/>
          </w:tcPr>
          <w:p w14:paraId="2FBB14E0" w14:textId="186E6361" w:rsidR="004635EF" w:rsidRPr="00E11FFB" w:rsidRDefault="004635EF" w:rsidP="004635EF">
            <w:pPr>
              <w:rPr>
                <w:rFonts w:ascii="Avenir" w:eastAsia="Avenir" w:hAnsi="Avenir" w:cs="Avenir"/>
                <w:color w:val="000000"/>
                <w:sz w:val="16"/>
                <w:szCs w:val="16"/>
              </w:rPr>
            </w:pPr>
            <w:r w:rsidRPr="00E11FFB">
              <w:rPr>
                <w:sz w:val="16"/>
                <w:szCs w:val="16"/>
              </w:rPr>
              <w:t>4.3.1 : Produire le plan et poursuivre le plaidoyer auprès du Gouvernement.</w:t>
            </w:r>
          </w:p>
        </w:tc>
        <w:tc>
          <w:tcPr>
            <w:tcW w:w="778" w:type="dxa"/>
            <w:vAlign w:val="center"/>
          </w:tcPr>
          <w:p w14:paraId="371C9CDC" w14:textId="77777777" w:rsidR="004635EF" w:rsidRPr="00E11FFB" w:rsidRDefault="004635EF" w:rsidP="004635EF">
            <w:pPr>
              <w:rPr>
                <w:rFonts w:ascii="Avenir" w:eastAsia="Avenir" w:hAnsi="Avenir" w:cs="Avenir"/>
                <w:color w:val="000000"/>
                <w:sz w:val="16"/>
                <w:szCs w:val="16"/>
              </w:rPr>
            </w:pPr>
            <w:r w:rsidRPr="00E11FFB">
              <w:rPr>
                <w:rFonts w:ascii="Avenir" w:eastAsia="Avenir" w:hAnsi="Avenir" w:cs="Avenir"/>
                <w:color w:val="000000"/>
                <w:sz w:val="16"/>
                <w:szCs w:val="16"/>
              </w:rPr>
              <w:t>4.3</w:t>
            </w:r>
          </w:p>
        </w:tc>
        <w:tc>
          <w:tcPr>
            <w:tcW w:w="1778" w:type="dxa"/>
            <w:vAlign w:val="center"/>
          </w:tcPr>
          <w:p w14:paraId="5FBA6256" w14:textId="0CFF86CA" w:rsidR="004635EF" w:rsidRPr="00E11FFB" w:rsidRDefault="004635EF" w:rsidP="004635EF">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0C5B62D9" w14:textId="77777777" w:rsidR="004635EF" w:rsidRPr="00E11FFB" w:rsidRDefault="004635EF" w:rsidP="004635EF">
            <w:pPr>
              <w:rPr>
                <w:rFonts w:ascii="Avenir" w:eastAsia="Avenir" w:hAnsi="Avenir" w:cs="Avenir"/>
                <w:b/>
                <w:color w:val="000000"/>
                <w:sz w:val="16"/>
                <w:szCs w:val="16"/>
              </w:rPr>
            </w:pPr>
            <w:r w:rsidRPr="00E11FFB">
              <w:rPr>
                <w:rFonts w:ascii="Avenir" w:eastAsia="Avenir" w:hAnsi="Avenir" w:cs="Avenir"/>
                <w:bCs/>
                <w:color w:val="000000"/>
                <w:sz w:val="16"/>
                <w:szCs w:val="16"/>
              </w:rPr>
              <w:t xml:space="preserve">3 </w:t>
            </w:r>
            <w:r w:rsidRPr="00E11FFB">
              <w:rPr>
                <w:bCs/>
                <w:sz w:val="16"/>
                <w:szCs w:val="16"/>
              </w:rPr>
              <w:t>séances de plai</w:t>
            </w:r>
            <w:r w:rsidRPr="00E11FFB">
              <w:rPr>
                <w:sz w:val="16"/>
                <w:szCs w:val="16"/>
              </w:rPr>
              <w:t>doyer</w:t>
            </w:r>
          </w:p>
        </w:tc>
        <w:tc>
          <w:tcPr>
            <w:tcW w:w="1620" w:type="dxa"/>
          </w:tcPr>
          <w:p w14:paraId="28EBDE00" w14:textId="01F3FC97" w:rsidR="004635EF" w:rsidRPr="00E11FFB" w:rsidRDefault="00905A9F" w:rsidP="004635EF">
            <w:pPr>
              <w:rPr>
                <w:rFonts w:ascii="Avenir" w:eastAsia="Avenir" w:hAnsi="Avenir" w:cs="Avenir"/>
                <w:bCs/>
                <w:color w:val="000000"/>
                <w:sz w:val="16"/>
                <w:szCs w:val="16"/>
              </w:rPr>
            </w:pPr>
            <w:r w:rsidRPr="00E11FFB">
              <w:rPr>
                <w:rFonts w:ascii="Avenir" w:eastAsia="Avenir" w:hAnsi="Avenir" w:cs="Avenir"/>
                <w:bCs/>
                <w:color w:val="000000"/>
                <w:sz w:val="16"/>
                <w:szCs w:val="16"/>
              </w:rPr>
              <w:t>2</w:t>
            </w:r>
            <w:r w:rsidR="00DC42D1" w:rsidRPr="00E11FFB">
              <w:rPr>
                <w:rFonts w:ascii="Avenir" w:eastAsia="Avenir" w:hAnsi="Avenir" w:cs="Avenir"/>
                <w:bCs/>
                <w:color w:val="000000"/>
                <w:sz w:val="16"/>
                <w:szCs w:val="16"/>
              </w:rPr>
              <w:t xml:space="preserve"> séance tenue </w:t>
            </w:r>
            <w:r w:rsidRPr="00E11FFB">
              <w:rPr>
                <w:rFonts w:ascii="Avenir" w:eastAsia="Avenir" w:hAnsi="Avenir" w:cs="Avenir"/>
                <w:bCs/>
                <w:color w:val="000000"/>
                <w:sz w:val="16"/>
                <w:szCs w:val="16"/>
              </w:rPr>
              <w:t>avec Finance et Budget</w:t>
            </w:r>
          </w:p>
        </w:tc>
        <w:tc>
          <w:tcPr>
            <w:tcW w:w="2070" w:type="dxa"/>
          </w:tcPr>
          <w:p w14:paraId="7BB05E31" w14:textId="08BA266A" w:rsidR="004635EF" w:rsidRPr="00E11FFB" w:rsidRDefault="00DC42D1" w:rsidP="004635EF">
            <w:pPr>
              <w:rPr>
                <w:b/>
                <w:bCs/>
                <w:sz w:val="16"/>
                <w:szCs w:val="16"/>
              </w:rPr>
            </w:pPr>
            <w:r w:rsidRPr="00E11FFB">
              <w:rPr>
                <w:b/>
                <w:bCs/>
                <w:sz w:val="16"/>
                <w:szCs w:val="16"/>
              </w:rPr>
              <w:t xml:space="preserve">En cours </w:t>
            </w:r>
          </w:p>
        </w:tc>
        <w:tc>
          <w:tcPr>
            <w:tcW w:w="2340" w:type="dxa"/>
          </w:tcPr>
          <w:p w14:paraId="381A86D8" w14:textId="24B72009" w:rsidR="004635EF" w:rsidRPr="00E11FFB" w:rsidRDefault="00F33F9F" w:rsidP="004635EF">
            <w:pPr>
              <w:rPr>
                <w:rFonts w:ascii="Avenir" w:eastAsia="Avenir" w:hAnsi="Avenir" w:cs="Avenir"/>
                <w:color w:val="000000"/>
                <w:sz w:val="16"/>
                <w:szCs w:val="16"/>
              </w:rPr>
            </w:pPr>
            <w:r w:rsidRPr="00E11FFB">
              <w:rPr>
                <w:rFonts w:ascii="Avenir" w:eastAsia="Avenir" w:hAnsi="Avenir" w:cs="Avenir"/>
                <w:color w:val="000000"/>
                <w:sz w:val="16"/>
                <w:szCs w:val="16"/>
              </w:rPr>
              <w:t xml:space="preserve">Plaidoyer pour le décaissement de fonds et suivi de respect d’engagement auprès du gouvernement </w:t>
            </w:r>
          </w:p>
        </w:tc>
      </w:tr>
      <w:tr w:rsidR="00DC42D1" w:rsidRPr="00E11FFB" w14:paraId="3DD515D2" w14:textId="77777777" w:rsidTr="007D1D65">
        <w:trPr>
          <w:jc w:val="center"/>
        </w:trPr>
        <w:tc>
          <w:tcPr>
            <w:tcW w:w="3393" w:type="dxa"/>
          </w:tcPr>
          <w:p w14:paraId="4DDEE7A1" w14:textId="5FDFB32A" w:rsidR="00DC42D1" w:rsidRPr="00E11FFB" w:rsidRDefault="00DC42D1" w:rsidP="00DC42D1">
            <w:pPr>
              <w:rPr>
                <w:rFonts w:ascii="Avenir" w:eastAsia="Avenir" w:hAnsi="Avenir" w:cs="Avenir"/>
                <w:color w:val="000000"/>
                <w:sz w:val="16"/>
                <w:szCs w:val="16"/>
              </w:rPr>
            </w:pPr>
            <w:r w:rsidRPr="00E11FFB">
              <w:rPr>
                <w:sz w:val="16"/>
                <w:szCs w:val="16"/>
              </w:rPr>
              <w:t>4.4.1 : Appuyer la Task-Force de pilotage de l'atteinte du processus de réalisation des jalons de LOI.</w:t>
            </w:r>
          </w:p>
        </w:tc>
        <w:tc>
          <w:tcPr>
            <w:tcW w:w="778" w:type="dxa"/>
            <w:vMerge w:val="restart"/>
            <w:vAlign w:val="center"/>
          </w:tcPr>
          <w:p w14:paraId="7B68DB6F" w14:textId="77777777" w:rsidR="00DC42D1" w:rsidRPr="00E11FFB" w:rsidRDefault="00DC42D1" w:rsidP="00DC42D1">
            <w:pPr>
              <w:rPr>
                <w:rFonts w:ascii="Avenir" w:eastAsia="Avenir" w:hAnsi="Avenir" w:cs="Avenir"/>
                <w:color w:val="000000"/>
                <w:sz w:val="16"/>
                <w:szCs w:val="16"/>
              </w:rPr>
            </w:pPr>
            <w:r w:rsidRPr="00E11FFB">
              <w:rPr>
                <w:rFonts w:ascii="Avenir" w:eastAsia="Avenir" w:hAnsi="Avenir" w:cs="Avenir"/>
                <w:color w:val="000000"/>
                <w:sz w:val="16"/>
                <w:szCs w:val="16"/>
              </w:rPr>
              <w:t>4.4</w:t>
            </w:r>
          </w:p>
        </w:tc>
        <w:tc>
          <w:tcPr>
            <w:tcW w:w="1778" w:type="dxa"/>
            <w:vAlign w:val="center"/>
          </w:tcPr>
          <w:p w14:paraId="00B72A43" w14:textId="13F50C4D" w:rsidR="00DC42D1" w:rsidRPr="00E11FFB" w:rsidRDefault="00DC42D1" w:rsidP="00DC42D1">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0DDD066A" w14:textId="77777777" w:rsidR="00DC42D1" w:rsidRPr="00E11FFB" w:rsidRDefault="00DC42D1" w:rsidP="00DC42D1">
            <w:pPr>
              <w:rPr>
                <w:rFonts w:ascii="Avenir" w:eastAsia="Avenir" w:hAnsi="Avenir" w:cs="Avenir"/>
                <w:bCs/>
                <w:color w:val="000000" w:themeColor="text1"/>
                <w:sz w:val="16"/>
                <w:szCs w:val="16"/>
              </w:rPr>
            </w:pPr>
            <w:r w:rsidRPr="00E11FFB">
              <w:rPr>
                <w:rFonts w:ascii="Avenir" w:eastAsia="Avenir" w:hAnsi="Avenir" w:cs="Avenir"/>
                <w:bCs/>
                <w:color w:val="000000" w:themeColor="text1"/>
                <w:sz w:val="16"/>
                <w:szCs w:val="16"/>
              </w:rPr>
              <w:t>Rapport d’activité</w:t>
            </w:r>
          </w:p>
        </w:tc>
        <w:tc>
          <w:tcPr>
            <w:tcW w:w="1620" w:type="dxa"/>
          </w:tcPr>
          <w:p w14:paraId="734BBB37" w14:textId="5167762C" w:rsidR="00DC42D1" w:rsidRPr="00E11FFB" w:rsidRDefault="00DC42D1" w:rsidP="00DC42D1">
            <w:pPr>
              <w:rPr>
                <w:rFonts w:ascii="Avenir" w:eastAsia="Avenir" w:hAnsi="Avenir" w:cs="Avenir"/>
                <w:bCs/>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2070" w:type="dxa"/>
          </w:tcPr>
          <w:p w14:paraId="3B5A26DA" w14:textId="1FB58CA1" w:rsidR="00DC42D1" w:rsidRPr="00E11FFB" w:rsidRDefault="00DC42D1" w:rsidP="00DC42D1">
            <w:pPr>
              <w:rPr>
                <w:b/>
                <w:bCs/>
                <w:sz w:val="16"/>
                <w:szCs w:val="16"/>
              </w:rPr>
            </w:pPr>
            <w:r w:rsidRPr="00E11FFB">
              <w:rPr>
                <w:b/>
                <w:bCs/>
                <w:sz w:val="16"/>
                <w:szCs w:val="16"/>
              </w:rPr>
              <w:t>Atteint</w:t>
            </w:r>
          </w:p>
        </w:tc>
        <w:tc>
          <w:tcPr>
            <w:tcW w:w="2340" w:type="dxa"/>
          </w:tcPr>
          <w:p w14:paraId="0C9150CA" w14:textId="041044C7" w:rsidR="00DC42D1" w:rsidRPr="00E11FFB" w:rsidRDefault="00DC42D1" w:rsidP="00DC42D1">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DC42D1" w:rsidRPr="00E11FFB" w14:paraId="7B60BE80" w14:textId="77777777" w:rsidTr="004635EF">
        <w:trPr>
          <w:trHeight w:val="46"/>
          <w:jc w:val="center"/>
        </w:trPr>
        <w:tc>
          <w:tcPr>
            <w:tcW w:w="3393" w:type="dxa"/>
          </w:tcPr>
          <w:p w14:paraId="32B2FB39" w14:textId="7B2367B7" w:rsidR="00DC42D1" w:rsidRPr="00E11FFB" w:rsidRDefault="00DC42D1" w:rsidP="00DC42D1">
            <w:pPr>
              <w:rPr>
                <w:rFonts w:ascii="Avenir" w:eastAsia="Avenir" w:hAnsi="Avenir" w:cs="Avenir"/>
                <w:color w:val="000000"/>
                <w:sz w:val="16"/>
                <w:szCs w:val="16"/>
              </w:rPr>
            </w:pPr>
            <w:r w:rsidRPr="00E11FFB">
              <w:rPr>
                <w:sz w:val="16"/>
                <w:szCs w:val="16"/>
              </w:rPr>
              <w:t>4.4.2 : Appuyer le fonctionnement et la logistique de la Task-Force d'appui à la réalisation des jalons du Ministère du Plan.</w:t>
            </w:r>
          </w:p>
        </w:tc>
        <w:tc>
          <w:tcPr>
            <w:tcW w:w="778" w:type="dxa"/>
            <w:vMerge/>
            <w:vAlign w:val="center"/>
          </w:tcPr>
          <w:p w14:paraId="175C7CB2" w14:textId="77777777" w:rsidR="00DC42D1" w:rsidRPr="00E11FFB" w:rsidRDefault="00DC42D1" w:rsidP="00DC42D1">
            <w:pPr>
              <w:rPr>
                <w:rFonts w:ascii="Avenir" w:eastAsia="Avenir" w:hAnsi="Avenir" w:cs="Avenir"/>
                <w:color w:val="000000"/>
                <w:sz w:val="16"/>
                <w:szCs w:val="16"/>
              </w:rPr>
            </w:pPr>
          </w:p>
        </w:tc>
        <w:tc>
          <w:tcPr>
            <w:tcW w:w="1778" w:type="dxa"/>
            <w:vAlign w:val="center"/>
          </w:tcPr>
          <w:p w14:paraId="52287AFA" w14:textId="16F3F116" w:rsidR="00DC42D1" w:rsidRPr="00E11FFB" w:rsidRDefault="00DC42D1" w:rsidP="00DC42D1">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76029924" w14:textId="7E0301BA" w:rsidR="00DC42D1" w:rsidRPr="00E11FFB" w:rsidRDefault="00DC42D1" w:rsidP="00DC42D1">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équipement et formation </w:t>
            </w:r>
          </w:p>
          <w:p w14:paraId="5CB9EF7D" w14:textId="77777777" w:rsidR="00DC42D1" w:rsidRPr="00E11FFB" w:rsidRDefault="00DC42D1" w:rsidP="00DC42D1">
            <w:pPr>
              <w:jc w:val="both"/>
              <w:rPr>
                <w:rFonts w:ascii="Avenir" w:eastAsia="Avenir" w:hAnsi="Avenir" w:cs="Avenir"/>
                <w:bCs/>
                <w:color w:val="000000"/>
                <w:sz w:val="16"/>
                <w:szCs w:val="16"/>
              </w:rPr>
            </w:pPr>
            <w:r w:rsidRPr="00E11FFB">
              <w:rPr>
                <w:bCs/>
                <w:color w:val="000000"/>
                <w:sz w:val="16"/>
                <w:szCs w:val="16"/>
              </w:rPr>
              <w:t>Fourniture de bureau et consommables</w:t>
            </w:r>
          </w:p>
          <w:p w14:paraId="64258086" w14:textId="77777777" w:rsidR="00DC42D1" w:rsidRPr="00E11FFB" w:rsidRDefault="00DC42D1" w:rsidP="00DC42D1">
            <w:pPr>
              <w:rPr>
                <w:rFonts w:ascii="Avenir" w:eastAsia="Avenir" w:hAnsi="Avenir" w:cs="Avenir"/>
                <w:b/>
                <w:color w:val="000000"/>
                <w:sz w:val="16"/>
                <w:szCs w:val="16"/>
              </w:rPr>
            </w:pPr>
            <w:r w:rsidRPr="00E11FFB">
              <w:rPr>
                <w:bCs/>
                <w:color w:val="000000"/>
                <w:sz w:val="16"/>
                <w:szCs w:val="16"/>
              </w:rPr>
              <w:t>1 véhicule</w:t>
            </w:r>
          </w:p>
        </w:tc>
        <w:tc>
          <w:tcPr>
            <w:tcW w:w="1620" w:type="dxa"/>
          </w:tcPr>
          <w:p w14:paraId="0DC08706" w14:textId="092D6110" w:rsidR="00DC42D1" w:rsidRPr="00E11FFB" w:rsidRDefault="00DC42D1" w:rsidP="00DC42D1">
            <w:pPr>
              <w:rPr>
                <w:rFonts w:ascii="Avenir" w:eastAsia="Avenir" w:hAnsi="Avenir" w:cs="Avenir"/>
                <w:bCs/>
                <w:color w:val="000000"/>
                <w:sz w:val="16"/>
                <w:szCs w:val="16"/>
              </w:rPr>
            </w:pPr>
            <w:r w:rsidRPr="00E11FFB">
              <w:rPr>
                <w:rFonts w:ascii="Avenir" w:eastAsia="Avenir" w:hAnsi="Avenir" w:cs="Avenir"/>
                <w:bCs/>
                <w:color w:val="000000"/>
                <w:sz w:val="16"/>
                <w:szCs w:val="16"/>
              </w:rPr>
              <w:t>Membres de la taskforce équipé et formé</w:t>
            </w:r>
          </w:p>
        </w:tc>
        <w:tc>
          <w:tcPr>
            <w:tcW w:w="2070" w:type="dxa"/>
          </w:tcPr>
          <w:p w14:paraId="2E08ABB3" w14:textId="6FB52997" w:rsidR="00DC42D1" w:rsidRPr="00E11FFB" w:rsidRDefault="00DC42D1" w:rsidP="00DC42D1">
            <w:pPr>
              <w:rPr>
                <w:b/>
                <w:bCs/>
                <w:sz w:val="16"/>
                <w:szCs w:val="16"/>
              </w:rPr>
            </w:pPr>
            <w:r w:rsidRPr="00E11FFB">
              <w:rPr>
                <w:b/>
                <w:bCs/>
                <w:sz w:val="16"/>
                <w:szCs w:val="16"/>
              </w:rPr>
              <w:t xml:space="preserve">Atteint </w:t>
            </w:r>
          </w:p>
        </w:tc>
        <w:tc>
          <w:tcPr>
            <w:tcW w:w="2340" w:type="dxa"/>
          </w:tcPr>
          <w:p w14:paraId="1DAFC68D" w14:textId="7F2B2AA1" w:rsidR="00DC42D1" w:rsidRPr="00E11FFB" w:rsidRDefault="00DC42D1" w:rsidP="00DC42D1">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DC42D1" w:rsidRPr="00E11FFB" w14:paraId="639424D2" w14:textId="77777777" w:rsidTr="007D1D65">
        <w:trPr>
          <w:jc w:val="center"/>
        </w:trPr>
        <w:tc>
          <w:tcPr>
            <w:tcW w:w="3393" w:type="dxa"/>
          </w:tcPr>
          <w:p w14:paraId="497925F1" w14:textId="4F2CE202" w:rsidR="00DC42D1" w:rsidRPr="00E11FFB" w:rsidRDefault="00DC42D1" w:rsidP="00DC42D1">
            <w:pPr>
              <w:rPr>
                <w:sz w:val="16"/>
                <w:szCs w:val="16"/>
              </w:rPr>
            </w:pPr>
            <w:r w:rsidRPr="00E11FFB">
              <w:rPr>
                <w:sz w:val="16"/>
                <w:szCs w:val="16"/>
              </w:rPr>
              <w:t>4.4.3 : Appuyer la Direction des nouvelles technologies de l'information et de la communication (DANTIC) du Ministère du Plan.</w:t>
            </w:r>
          </w:p>
        </w:tc>
        <w:tc>
          <w:tcPr>
            <w:tcW w:w="778" w:type="dxa"/>
            <w:vMerge/>
            <w:vAlign w:val="center"/>
          </w:tcPr>
          <w:p w14:paraId="47B168B0" w14:textId="77777777" w:rsidR="00DC42D1" w:rsidRPr="00E11FFB" w:rsidRDefault="00DC42D1" w:rsidP="00DC42D1">
            <w:pPr>
              <w:rPr>
                <w:rFonts w:ascii="Avenir" w:eastAsia="Avenir" w:hAnsi="Avenir" w:cs="Avenir"/>
                <w:color w:val="000000"/>
                <w:sz w:val="16"/>
                <w:szCs w:val="16"/>
              </w:rPr>
            </w:pPr>
          </w:p>
        </w:tc>
        <w:tc>
          <w:tcPr>
            <w:tcW w:w="1778" w:type="dxa"/>
            <w:vAlign w:val="center"/>
          </w:tcPr>
          <w:p w14:paraId="7C0A157B" w14:textId="7CC63639" w:rsidR="00DC42D1" w:rsidRPr="00E11FFB" w:rsidRDefault="00DC42D1" w:rsidP="00DC42D1">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146" w:type="dxa"/>
            <w:vAlign w:val="center"/>
          </w:tcPr>
          <w:p w14:paraId="29E6FEF4" w14:textId="63FDC457" w:rsidR="00DC42D1" w:rsidRPr="00E11FFB" w:rsidRDefault="00DC42D1" w:rsidP="00DC42D1">
            <w:pPr>
              <w:jc w:val="both"/>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page d’accueil et le Site web du ministère mis à jour </w:t>
            </w:r>
          </w:p>
          <w:p w14:paraId="1DCFA671" w14:textId="77777777" w:rsidR="00DC42D1" w:rsidRPr="00E11FFB" w:rsidRDefault="00DC42D1" w:rsidP="00DC42D1">
            <w:pPr>
              <w:rPr>
                <w:rFonts w:ascii="Avenir" w:eastAsia="Avenir" w:hAnsi="Avenir" w:cs="Avenir"/>
                <w:b/>
                <w:color w:val="000000"/>
                <w:sz w:val="16"/>
                <w:szCs w:val="16"/>
              </w:rPr>
            </w:pPr>
            <w:r w:rsidRPr="00E11FFB">
              <w:rPr>
                <w:rFonts w:ascii="Avenir" w:eastAsia="Avenir" w:hAnsi="Avenir" w:cs="Avenir"/>
                <w:bCs/>
                <w:color w:val="000000"/>
                <w:sz w:val="16"/>
                <w:szCs w:val="16"/>
              </w:rPr>
              <w:t>Rapport d’activité</w:t>
            </w:r>
          </w:p>
        </w:tc>
        <w:tc>
          <w:tcPr>
            <w:tcW w:w="1620" w:type="dxa"/>
          </w:tcPr>
          <w:p w14:paraId="423101AF" w14:textId="712AA2E6" w:rsidR="00DC42D1" w:rsidRPr="00E11FFB" w:rsidRDefault="004661CF" w:rsidP="00DC42D1">
            <w:pPr>
              <w:rPr>
                <w:rFonts w:ascii="Avenir" w:eastAsia="Avenir" w:hAnsi="Avenir" w:cs="Avenir"/>
                <w:bCs/>
                <w:color w:val="000000"/>
                <w:sz w:val="16"/>
                <w:szCs w:val="16"/>
              </w:rPr>
            </w:pPr>
            <w:r w:rsidRPr="00E11FFB">
              <w:rPr>
                <w:rFonts w:ascii="Avenir" w:eastAsia="Avenir" w:hAnsi="Avenir" w:cs="Avenir"/>
                <w:bCs/>
                <w:color w:val="000000"/>
                <w:sz w:val="16"/>
                <w:szCs w:val="16"/>
              </w:rPr>
              <w:t>1 s</w:t>
            </w:r>
            <w:r w:rsidR="00DC42D1" w:rsidRPr="00E11FFB">
              <w:rPr>
                <w:rFonts w:ascii="Avenir" w:eastAsia="Avenir" w:hAnsi="Avenir" w:cs="Avenir"/>
                <w:bCs/>
                <w:color w:val="000000"/>
                <w:sz w:val="16"/>
                <w:szCs w:val="16"/>
              </w:rPr>
              <w:t xml:space="preserve">ite </w:t>
            </w:r>
            <w:r w:rsidRPr="00E11FFB">
              <w:rPr>
                <w:rFonts w:ascii="Avenir" w:eastAsia="Avenir" w:hAnsi="Avenir" w:cs="Avenir"/>
                <w:bCs/>
                <w:color w:val="000000"/>
                <w:sz w:val="16"/>
                <w:szCs w:val="16"/>
              </w:rPr>
              <w:t>fonctionnel</w:t>
            </w:r>
          </w:p>
        </w:tc>
        <w:tc>
          <w:tcPr>
            <w:tcW w:w="2070" w:type="dxa"/>
          </w:tcPr>
          <w:p w14:paraId="6D1A7F19" w14:textId="732DBB80" w:rsidR="00DC42D1" w:rsidRPr="00E11FFB" w:rsidRDefault="00DC42D1" w:rsidP="00DC42D1">
            <w:pPr>
              <w:rPr>
                <w:b/>
                <w:bCs/>
                <w:sz w:val="16"/>
                <w:szCs w:val="16"/>
              </w:rPr>
            </w:pPr>
            <w:r w:rsidRPr="00E11FFB">
              <w:rPr>
                <w:b/>
                <w:bCs/>
                <w:sz w:val="16"/>
                <w:szCs w:val="16"/>
              </w:rPr>
              <w:t xml:space="preserve">Atteint </w:t>
            </w:r>
          </w:p>
        </w:tc>
        <w:tc>
          <w:tcPr>
            <w:tcW w:w="2340" w:type="dxa"/>
          </w:tcPr>
          <w:p w14:paraId="2C8ACAD5" w14:textId="360F665D" w:rsidR="00DC42D1" w:rsidRPr="00E11FFB" w:rsidRDefault="00DC42D1" w:rsidP="00DC42D1">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tbl>
    <w:p w14:paraId="45556527" w14:textId="77777777" w:rsidR="00B669B6" w:rsidRPr="00E11FFB" w:rsidRDefault="00B669B6" w:rsidP="00B669B6">
      <w:pPr>
        <w:pStyle w:val="Lgende"/>
        <w:keepNext/>
      </w:pPr>
    </w:p>
    <w:p w14:paraId="78167357" w14:textId="5BF9A9AE" w:rsidR="00B669B6" w:rsidRPr="00E11FFB" w:rsidRDefault="00E82414" w:rsidP="006D79E9">
      <w:pPr>
        <w:spacing w:before="240" w:after="5" w:line="276" w:lineRule="auto"/>
        <w:ind w:left="20" w:right="28" w:hanging="10"/>
        <w:jc w:val="both"/>
      </w:pPr>
      <w:r>
        <w:rPr>
          <w:rFonts w:ascii="Avenir" w:eastAsia="Avenir" w:hAnsi="Avenir" w:cs="Avenir"/>
          <w:color w:val="000000"/>
        </w:rPr>
        <w:t>PTBA 2025</w:t>
      </w:r>
      <w:r w:rsidR="00B669B6" w:rsidRPr="00E11FFB">
        <w:t xml:space="preserve"> Mines</w:t>
      </w:r>
    </w:p>
    <w:tbl>
      <w:tblPr>
        <w:tblW w:w="13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6"/>
        <w:gridCol w:w="806"/>
        <w:gridCol w:w="1695"/>
        <w:gridCol w:w="2415"/>
        <w:gridCol w:w="1322"/>
        <w:gridCol w:w="1882"/>
        <w:gridCol w:w="2290"/>
      </w:tblGrid>
      <w:tr w:rsidR="0072796D" w:rsidRPr="00E11FFB" w14:paraId="122CD4F6" w14:textId="77777777" w:rsidTr="00205E3C">
        <w:trPr>
          <w:trHeight w:val="771"/>
          <w:tblHeader/>
          <w:jc w:val="center"/>
        </w:trPr>
        <w:tc>
          <w:tcPr>
            <w:tcW w:w="3516" w:type="dxa"/>
            <w:shd w:val="clear" w:color="auto" w:fill="A9D5E7"/>
          </w:tcPr>
          <w:p w14:paraId="235A2B56"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806" w:type="dxa"/>
            <w:shd w:val="clear" w:color="auto" w:fill="A9D5E7"/>
          </w:tcPr>
          <w:p w14:paraId="553D3C50"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29"/>
            </w:r>
            <w:r w:rsidRPr="00E11FFB">
              <w:rPr>
                <w:rFonts w:ascii="Avenir" w:eastAsia="Avenir" w:hAnsi="Avenir" w:cs="Avenir"/>
                <w:b/>
                <w:color w:val="000000"/>
                <w:sz w:val="16"/>
                <w:szCs w:val="16"/>
              </w:rPr>
              <w:t xml:space="preserve"> (ex. 1.1)</w:t>
            </w:r>
          </w:p>
        </w:tc>
        <w:tc>
          <w:tcPr>
            <w:tcW w:w="1695" w:type="dxa"/>
            <w:shd w:val="clear" w:color="auto" w:fill="A9D5E7"/>
          </w:tcPr>
          <w:p w14:paraId="293F9A23"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30"/>
            </w:r>
          </w:p>
        </w:tc>
        <w:tc>
          <w:tcPr>
            <w:tcW w:w="2415" w:type="dxa"/>
            <w:shd w:val="clear" w:color="auto" w:fill="A9D5E7"/>
          </w:tcPr>
          <w:p w14:paraId="0808F8BA"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1322" w:type="dxa"/>
            <w:shd w:val="clear" w:color="auto" w:fill="A9D5E7"/>
          </w:tcPr>
          <w:p w14:paraId="5B3A9A09"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1882" w:type="dxa"/>
            <w:shd w:val="clear" w:color="auto" w:fill="A9D5E7"/>
          </w:tcPr>
          <w:p w14:paraId="72343A63"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2290" w:type="dxa"/>
            <w:shd w:val="clear" w:color="auto" w:fill="A9D5E7"/>
          </w:tcPr>
          <w:p w14:paraId="58B0D01D" w14:textId="77777777" w:rsidR="0072796D" w:rsidRPr="00E11FFB" w:rsidRDefault="0072796D"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72796D" w:rsidRPr="00E11FFB" w14:paraId="21053102" w14:textId="77777777" w:rsidTr="005F7641">
        <w:trPr>
          <w:trHeight w:val="769"/>
          <w:jc w:val="center"/>
        </w:trPr>
        <w:tc>
          <w:tcPr>
            <w:tcW w:w="3516" w:type="dxa"/>
          </w:tcPr>
          <w:p w14:paraId="5CF28E79" w14:textId="7BE5777C" w:rsidR="0072796D" w:rsidRPr="00E11FFB" w:rsidRDefault="0072796D" w:rsidP="0072796D">
            <w:pPr>
              <w:ind w:left="10"/>
              <w:rPr>
                <w:rFonts w:ascii="Avenir" w:eastAsia="Avenir" w:hAnsi="Avenir" w:cs="Avenir"/>
                <w:color w:val="000000"/>
                <w:sz w:val="16"/>
                <w:szCs w:val="16"/>
              </w:rPr>
            </w:pPr>
            <w:r w:rsidRPr="00E11FFB">
              <w:rPr>
                <w:color w:val="000000"/>
                <w:sz w:val="16"/>
                <w:szCs w:val="16"/>
              </w:rPr>
              <w:t xml:space="preserve">5.1.1 </w:t>
            </w:r>
            <w:r w:rsidRPr="00E11FFB">
              <w:rPr>
                <w:sz w:val="16"/>
                <w:szCs w:val="16"/>
              </w:rPr>
              <w:t>Publier les actes réglementaires rendant obligatoires la réalisation des EES, et les rapports des missions annuelles de contrôle / évaluation</w:t>
            </w:r>
          </w:p>
        </w:tc>
        <w:tc>
          <w:tcPr>
            <w:tcW w:w="806" w:type="dxa"/>
            <w:vAlign w:val="center"/>
          </w:tcPr>
          <w:p w14:paraId="60509F22" w14:textId="77777777" w:rsidR="0072796D" w:rsidRPr="00E11FFB" w:rsidRDefault="0072796D" w:rsidP="0072796D">
            <w:pPr>
              <w:rPr>
                <w:rFonts w:ascii="Avenir" w:eastAsia="Avenir" w:hAnsi="Avenir" w:cs="Avenir"/>
                <w:color w:val="000000"/>
                <w:sz w:val="16"/>
                <w:szCs w:val="16"/>
              </w:rPr>
            </w:pPr>
            <w:r w:rsidRPr="00E11FFB">
              <w:rPr>
                <w:rFonts w:ascii="Avenir" w:eastAsia="Avenir" w:hAnsi="Avenir" w:cs="Avenir"/>
                <w:color w:val="000000"/>
                <w:sz w:val="16"/>
                <w:szCs w:val="16"/>
              </w:rPr>
              <w:t>5.1</w:t>
            </w:r>
          </w:p>
        </w:tc>
        <w:tc>
          <w:tcPr>
            <w:tcW w:w="1695" w:type="dxa"/>
            <w:vAlign w:val="center"/>
          </w:tcPr>
          <w:p w14:paraId="60E44295" w14:textId="649B3493" w:rsidR="0072796D" w:rsidRPr="00E11FFB" w:rsidRDefault="0072796D" w:rsidP="0072796D">
            <w:pPr>
              <w:rPr>
                <w:rFonts w:ascii="Avenir" w:eastAsia="Avenir" w:hAnsi="Avenir" w:cs="Avenir"/>
                <w:color w:val="000000"/>
                <w:sz w:val="16"/>
                <w:szCs w:val="16"/>
              </w:rPr>
            </w:pPr>
            <w:r w:rsidRPr="00E11FFB">
              <w:rPr>
                <w:rFonts w:ascii="Avenir" w:eastAsia="Avenir" w:hAnsi="Avenir" w:cs="Avenir"/>
                <w:b/>
                <w:color w:val="000000"/>
                <w:sz w:val="16"/>
                <w:szCs w:val="16"/>
              </w:rPr>
              <w:t>Du 01/04/2025 au 30/12/2025</w:t>
            </w:r>
          </w:p>
        </w:tc>
        <w:tc>
          <w:tcPr>
            <w:tcW w:w="2415" w:type="dxa"/>
            <w:vAlign w:val="center"/>
          </w:tcPr>
          <w:p w14:paraId="081A29EE" w14:textId="77777777" w:rsidR="0072796D" w:rsidRPr="00E11FFB" w:rsidRDefault="0072796D" w:rsidP="0072796D">
            <w:pPr>
              <w:rPr>
                <w:rFonts w:ascii="Avenir" w:eastAsia="Avenir" w:hAnsi="Avenir" w:cs="Avenir"/>
                <w:color w:val="000000"/>
                <w:sz w:val="16"/>
                <w:szCs w:val="16"/>
              </w:rPr>
            </w:pPr>
            <w:r w:rsidRPr="00E11FFB">
              <w:rPr>
                <w:rFonts w:ascii="Avenir" w:eastAsia="Avenir" w:hAnsi="Avenir" w:cs="Avenir"/>
                <w:color w:val="000000"/>
                <w:sz w:val="16"/>
                <w:szCs w:val="16"/>
              </w:rPr>
              <w:t xml:space="preserve">1 actes publiés </w:t>
            </w:r>
          </w:p>
          <w:p w14:paraId="6EC74435" w14:textId="77777777" w:rsidR="0072796D" w:rsidRPr="00E11FFB" w:rsidRDefault="0072796D" w:rsidP="0072796D">
            <w:pPr>
              <w:rPr>
                <w:rFonts w:ascii="Avenir" w:eastAsia="Avenir" w:hAnsi="Avenir" w:cs="Avenir"/>
                <w:color w:val="000000"/>
                <w:sz w:val="16"/>
                <w:szCs w:val="16"/>
              </w:rPr>
            </w:pPr>
            <w:r w:rsidRPr="00E11FFB">
              <w:rPr>
                <w:rFonts w:ascii="Avenir" w:eastAsia="Avenir" w:hAnsi="Avenir" w:cs="Avenir"/>
                <w:color w:val="000000"/>
                <w:sz w:val="16"/>
                <w:szCs w:val="16"/>
              </w:rPr>
              <w:t xml:space="preserve">20 personnes formées </w:t>
            </w:r>
          </w:p>
          <w:p w14:paraId="50413DAE" w14:textId="275F46A5" w:rsidR="0072796D" w:rsidRPr="00E11FFB" w:rsidRDefault="0072796D" w:rsidP="0072796D">
            <w:pPr>
              <w:rPr>
                <w:rFonts w:ascii="Avenir" w:eastAsia="Avenir" w:hAnsi="Avenir" w:cs="Avenir"/>
                <w:color w:val="000000"/>
                <w:sz w:val="16"/>
                <w:szCs w:val="16"/>
              </w:rPr>
            </w:pPr>
            <w:r w:rsidRPr="00E11FFB">
              <w:rPr>
                <w:rFonts w:ascii="Avenir" w:eastAsia="Avenir" w:hAnsi="Avenir" w:cs="Avenir"/>
                <w:color w:val="000000"/>
                <w:sz w:val="16"/>
                <w:szCs w:val="16"/>
              </w:rPr>
              <w:t xml:space="preserve">80 % des personnes formées déclarant utiliser les outils et informations auxquels ils ont été formés un an après </w:t>
            </w:r>
          </w:p>
        </w:tc>
        <w:tc>
          <w:tcPr>
            <w:tcW w:w="1322" w:type="dxa"/>
          </w:tcPr>
          <w:p w14:paraId="4564C4F1" w14:textId="6282FCF2" w:rsidR="0072796D" w:rsidRPr="00E11FFB" w:rsidRDefault="006B1761" w:rsidP="0072796D">
            <w:pPr>
              <w:rPr>
                <w:rFonts w:ascii="Avenir" w:eastAsia="Avenir" w:hAnsi="Avenir" w:cs="Avenir"/>
                <w:color w:val="000000"/>
                <w:sz w:val="16"/>
                <w:szCs w:val="16"/>
              </w:rPr>
            </w:pPr>
            <w:r w:rsidRPr="00E11FFB">
              <w:rPr>
                <w:rFonts w:ascii="Avenir" w:eastAsia="Avenir" w:hAnsi="Avenir" w:cs="Avenir"/>
                <w:color w:val="000000"/>
                <w:sz w:val="16"/>
                <w:szCs w:val="16"/>
              </w:rPr>
              <w:t>1 draft de l’acte</w:t>
            </w:r>
            <w:r w:rsidR="004661CF" w:rsidRPr="00E11FFB">
              <w:rPr>
                <w:rFonts w:ascii="Avenir" w:eastAsia="Avenir" w:hAnsi="Avenir" w:cs="Avenir"/>
                <w:color w:val="000000"/>
                <w:sz w:val="16"/>
                <w:szCs w:val="16"/>
              </w:rPr>
              <w:t xml:space="preserve"> </w:t>
            </w:r>
          </w:p>
          <w:p w14:paraId="5D6FF2BF" w14:textId="110C88AC" w:rsidR="006B1761" w:rsidRPr="00E11FFB" w:rsidRDefault="006B1761" w:rsidP="0072796D">
            <w:pPr>
              <w:rPr>
                <w:rFonts w:ascii="Avenir" w:eastAsia="Avenir" w:hAnsi="Avenir" w:cs="Avenir"/>
                <w:color w:val="000000"/>
                <w:sz w:val="16"/>
                <w:szCs w:val="16"/>
              </w:rPr>
            </w:pPr>
            <w:r w:rsidRPr="00E11FFB">
              <w:rPr>
                <w:rFonts w:ascii="Avenir" w:eastAsia="Avenir" w:hAnsi="Avenir" w:cs="Avenir"/>
                <w:color w:val="000000"/>
                <w:sz w:val="16"/>
                <w:szCs w:val="16"/>
              </w:rPr>
              <w:t>2</w:t>
            </w:r>
            <w:r w:rsidR="00082A9B" w:rsidRPr="00E11FFB">
              <w:rPr>
                <w:rFonts w:ascii="Avenir" w:eastAsia="Avenir" w:hAnsi="Avenir" w:cs="Avenir"/>
                <w:color w:val="000000"/>
                <w:sz w:val="16"/>
                <w:szCs w:val="16"/>
              </w:rPr>
              <w:t>5</w:t>
            </w:r>
            <w:r w:rsidRPr="00E11FFB">
              <w:rPr>
                <w:rFonts w:ascii="Avenir" w:eastAsia="Avenir" w:hAnsi="Avenir" w:cs="Avenir"/>
                <w:color w:val="000000"/>
                <w:sz w:val="16"/>
                <w:szCs w:val="16"/>
              </w:rPr>
              <w:t xml:space="preserve"> personnes formées</w:t>
            </w:r>
          </w:p>
          <w:p w14:paraId="71E81BAB" w14:textId="3B648436" w:rsidR="006B1761" w:rsidRPr="00E11FFB" w:rsidRDefault="006B1761" w:rsidP="0072796D">
            <w:pPr>
              <w:rPr>
                <w:rFonts w:ascii="Avenir" w:eastAsia="Avenir" w:hAnsi="Avenir" w:cs="Avenir"/>
                <w:color w:val="000000"/>
                <w:sz w:val="16"/>
                <w:szCs w:val="16"/>
              </w:rPr>
            </w:pPr>
          </w:p>
        </w:tc>
        <w:tc>
          <w:tcPr>
            <w:tcW w:w="1882" w:type="dxa"/>
          </w:tcPr>
          <w:p w14:paraId="707A58B1" w14:textId="330A7EA7" w:rsidR="0072796D" w:rsidRPr="00E11FFB" w:rsidRDefault="006B1761" w:rsidP="0072796D">
            <w:pPr>
              <w:rPr>
                <w:b/>
                <w:bCs/>
                <w:sz w:val="16"/>
                <w:szCs w:val="16"/>
              </w:rPr>
            </w:pPr>
            <w:r w:rsidRPr="00E11FFB">
              <w:rPr>
                <w:b/>
                <w:bCs/>
                <w:sz w:val="16"/>
                <w:szCs w:val="16"/>
              </w:rPr>
              <w:t xml:space="preserve">En cours </w:t>
            </w:r>
          </w:p>
        </w:tc>
        <w:tc>
          <w:tcPr>
            <w:tcW w:w="2290" w:type="dxa"/>
          </w:tcPr>
          <w:p w14:paraId="20A97BF5" w14:textId="367A396F" w:rsidR="0072796D" w:rsidRPr="00E11FFB" w:rsidRDefault="006B1761" w:rsidP="0072796D">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d’application de la formation ; publié l’acte règlementaire, formation d’autres cadres de ministère. </w:t>
            </w:r>
          </w:p>
        </w:tc>
      </w:tr>
      <w:tr w:rsidR="00D97209" w:rsidRPr="00E11FFB" w14:paraId="61EDAB36" w14:textId="77777777" w:rsidTr="00205E3C">
        <w:trPr>
          <w:trHeight w:val="292"/>
          <w:jc w:val="center"/>
        </w:trPr>
        <w:tc>
          <w:tcPr>
            <w:tcW w:w="3516" w:type="dxa"/>
          </w:tcPr>
          <w:p w14:paraId="5F35ECBF" w14:textId="36EBECA3" w:rsidR="00D97209" w:rsidRPr="00E11FFB" w:rsidRDefault="00D97209" w:rsidP="00D97209">
            <w:pPr>
              <w:rPr>
                <w:rFonts w:ascii="Avenir" w:eastAsia="Avenir" w:hAnsi="Avenir" w:cs="Avenir"/>
                <w:color w:val="000000"/>
                <w:sz w:val="16"/>
                <w:szCs w:val="16"/>
              </w:rPr>
            </w:pPr>
            <w:r w:rsidRPr="00E11FFB">
              <w:rPr>
                <w:sz w:val="16"/>
                <w:szCs w:val="16"/>
              </w:rPr>
              <w:t>5.2.1 : Publier les contrats miniers</w:t>
            </w:r>
          </w:p>
        </w:tc>
        <w:tc>
          <w:tcPr>
            <w:tcW w:w="806" w:type="dxa"/>
            <w:vAlign w:val="center"/>
          </w:tcPr>
          <w:p w14:paraId="32C83F1E" w14:textId="77777777" w:rsidR="00D97209" w:rsidRPr="00E11FFB" w:rsidRDefault="00D97209" w:rsidP="00D97209">
            <w:pPr>
              <w:rPr>
                <w:rFonts w:ascii="Avenir" w:eastAsia="Avenir" w:hAnsi="Avenir" w:cs="Avenir"/>
                <w:color w:val="000000"/>
                <w:sz w:val="16"/>
                <w:szCs w:val="16"/>
              </w:rPr>
            </w:pPr>
            <w:r w:rsidRPr="00E11FFB">
              <w:rPr>
                <w:rFonts w:ascii="Avenir" w:eastAsia="Avenir" w:hAnsi="Avenir" w:cs="Avenir"/>
                <w:color w:val="000000"/>
                <w:sz w:val="16"/>
                <w:szCs w:val="16"/>
              </w:rPr>
              <w:t>5.2</w:t>
            </w:r>
          </w:p>
        </w:tc>
        <w:tc>
          <w:tcPr>
            <w:tcW w:w="1695" w:type="dxa"/>
            <w:vAlign w:val="center"/>
          </w:tcPr>
          <w:p w14:paraId="472A32AC" w14:textId="30CB9102" w:rsidR="00D97209" w:rsidRPr="00E11FFB" w:rsidRDefault="00D97209" w:rsidP="00D97209">
            <w:pPr>
              <w:rPr>
                <w:rFonts w:ascii="Avenir" w:eastAsia="Avenir" w:hAnsi="Avenir" w:cs="Avenir"/>
                <w:color w:val="000000"/>
                <w:sz w:val="16"/>
                <w:szCs w:val="16"/>
              </w:rPr>
            </w:pPr>
            <w:r w:rsidRPr="00E11FFB">
              <w:rPr>
                <w:rFonts w:ascii="Avenir" w:eastAsia="Avenir" w:hAnsi="Avenir" w:cs="Avenir"/>
                <w:b/>
                <w:color w:val="000000"/>
                <w:sz w:val="16"/>
                <w:szCs w:val="16"/>
              </w:rPr>
              <w:t>Du 01/07/2025 au 30/12/2025</w:t>
            </w:r>
          </w:p>
        </w:tc>
        <w:tc>
          <w:tcPr>
            <w:tcW w:w="2415" w:type="dxa"/>
            <w:vAlign w:val="center"/>
          </w:tcPr>
          <w:p w14:paraId="38E6C2FB" w14:textId="77777777" w:rsidR="00D97209" w:rsidRPr="00E11FFB" w:rsidRDefault="00D97209" w:rsidP="00D97209">
            <w:pPr>
              <w:rPr>
                <w:rFonts w:ascii="Avenir" w:eastAsia="Avenir" w:hAnsi="Avenir" w:cs="Avenir"/>
                <w:color w:val="000000"/>
                <w:sz w:val="16"/>
                <w:szCs w:val="16"/>
              </w:rPr>
            </w:pPr>
            <w:r w:rsidRPr="00E11FFB">
              <w:rPr>
                <w:rFonts w:ascii="Avenir" w:eastAsia="Avenir" w:hAnsi="Avenir" w:cs="Avenir"/>
                <w:color w:val="000000"/>
                <w:sz w:val="16"/>
                <w:szCs w:val="16"/>
              </w:rPr>
              <w:t>Un site web du secteur de mines opérationnel</w:t>
            </w:r>
          </w:p>
          <w:p w14:paraId="07D2F080" w14:textId="77777777" w:rsidR="00D97209" w:rsidRPr="00E11FFB" w:rsidRDefault="00D97209" w:rsidP="00D97209">
            <w:pPr>
              <w:jc w:val="both"/>
              <w:rPr>
                <w:rFonts w:ascii="Avenir" w:eastAsia="Avenir" w:hAnsi="Avenir" w:cs="Avenir"/>
                <w:color w:val="000000"/>
                <w:sz w:val="16"/>
                <w:szCs w:val="16"/>
              </w:rPr>
            </w:pPr>
            <w:r w:rsidRPr="00E11FFB">
              <w:rPr>
                <w:rFonts w:ascii="Avenir" w:eastAsia="Avenir" w:hAnsi="Avenir" w:cs="Avenir"/>
                <w:color w:val="000000"/>
                <w:sz w:val="16"/>
                <w:szCs w:val="16"/>
              </w:rPr>
              <w:t xml:space="preserve">20 séances Banque des données actualisées du secteur des mines </w:t>
            </w:r>
          </w:p>
          <w:p w14:paraId="426125C2" w14:textId="77777777" w:rsidR="00D97209" w:rsidRPr="00E11FFB" w:rsidRDefault="00D97209" w:rsidP="00D97209">
            <w:pPr>
              <w:rPr>
                <w:rFonts w:ascii="Avenir" w:eastAsia="Avenir" w:hAnsi="Avenir" w:cs="Avenir"/>
                <w:color w:val="000000"/>
                <w:sz w:val="16"/>
                <w:szCs w:val="16"/>
              </w:rPr>
            </w:pPr>
            <w:r w:rsidRPr="00E11FFB">
              <w:rPr>
                <w:rFonts w:ascii="Avenir" w:eastAsia="Avenir" w:hAnsi="Avenir" w:cs="Avenir"/>
                <w:color w:val="000000"/>
                <w:sz w:val="16"/>
                <w:szCs w:val="16"/>
              </w:rPr>
              <w:t>Au moins 2 contrats du secteur des mines publiés</w:t>
            </w:r>
          </w:p>
        </w:tc>
        <w:tc>
          <w:tcPr>
            <w:tcW w:w="1322" w:type="dxa"/>
          </w:tcPr>
          <w:p w14:paraId="0DE1F4B2" w14:textId="77777777" w:rsidR="00D97209" w:rsidRPr="00E11FFB" w:rsidRDefault="00FA3E48" w:rsidP="00D97209">
            <w:pPr>
              <w:rPr>
                <w:rFonts w:ascii="Avenir" w:eastAsia="Avenir" w:hAnsi="Avenir" w:cs="Avenir"/>
                <w:color w:val="000000"/>
                <w:sz w:val="16"/>
                <w:szCs w:val="16"/>
              </w:rPr>
            </w:pPr>
            <w:r w:rsidRPr="00E11FFB">
              <w:rPr>
                <w:rFonts w:ascii="Avenir" w:eastAsia="Avenir" w:hAnsi="Avenir" w:cs="Avenir"/>
                <w:color w:val="000000"/>
                <w:sz w:val="16"/>
                <w:szCs w:val="16"/>
              </w:rPr>
              <w:t>1 site opérationnel</w:t>
            </w:r>
          </w:p>
          <w:p w14:paraId="23F2535A" w14:textId="281D2E09" w:rsidR="00FA3E48" w:rsidRPr="00E11FFB" w:rsidRDefault="00E3582B" w:rsidP="00D97209">
            <w:pPr>
              <w:rPr>
                <w:rFonts w:ascii="Avenir" w:eastAsia="Avenir" w:hAnsi="Avenir" w:cs="Avenir"/>
                <w:color w:val="000000"/>
                <w:sz w:val="16"/>
                <w:szCs w:val="16"/>
              </w:rPr>
            </w:pPr>
            <w:r w:rsidRPr="00E11FFB">
              <w:rPr>
                <w:rFonts w:ascii="Avenir" w:eastAsia="Avenir" w:hAnsi="Avenir" w:cs="Avenir"/>
                <w:color w:val="000000"/>
                <w:sz w:val="16"/>
                <w:szCs w:val="16"/>
              </w:rPr>
              <w:t>6 contrats du secteur minier publié</w:t>
            </w:r>
            <w:r w:rsidR="00574A5E" w:rsidRPr="00E11FFB">
              <w:rPr>
                <w:rFonts w:ascii="Avenir" w:eastAsia="Avenir" w:hAnsi="Avenir" w:cs="Avenir"/>
                <w:color w:val="000000"/>
                <w:sz w:val="16"/>
                <w:szCs w:val="16"/>
              </w:rPr>
              <w:t>, plus de 20 séances de préparation données</w:t>
            </w:r>
          </w:p>
        </w:tc>
        <w:tc>
          <w:tcPr>
            <w:tcW w:w="1882" w:type="dxa"/>
          </w:tcPr>
          <w:p w14:paraId="22746F4D" w14:textId="7EA2BFE7" w:rsidR="00D97209" w:rsidRPr="00E11FFB" w:rsidRDefault="00E3582B" w:rsidP="00D97209">
            <w:pPr>
              <w:rPr>
                <w:b/>
                <w:bCs/>
                <w:sz w:val="16"/>
                <w:szCs w:val="16"/>
              </w:rPr>
            </w:pPr>
            <w:r w:rsidRPr="00E11FFB">
              <w:rPr>
                <w:b/>
                <w:bCs/>
                <w:sz w:val="16"/>
                <w:szCs w:val="16"/>
              </w:rPr>
              <w:t xml:space="preserve">Atteint </w:t>
            </w:r>
          </w:p>
        </w:tc>
        <w:tc>
          <w:tcPr>
            <w:tcW w:w="2290" w:type="dxa"/>
          </w:tcPr>
          <w:p w14:paraId="67DE9B03" w14:textId="2B1F40C2" w:rsidR="00D97209" w:rsidRPr="00E11FFB" w:rsidRDefault="00E3582B" w:rsidP="00D97209">
            <w:pPr>
              <w:rPr>
                <w:rFonts w:ascii="Avenir" w:eastAsia="Avenir" w:hAnsi="Avenir" w:cs="Avenir"/>
                <w:color w:val="000000"/>
                <w:sz w:val="16"/>
                <w:szCs w:val="16"/>
              </w:rPr>
            </w:pPr>
            <w:r w:rsidRPr="00E11FFB">
              <w:rPr>
                <w:rFonts w:ascii="Avenir" w:eastAsia="Avenir" w:hAnsi="Avenir" w:cs="Avenir"/>
                <w:color w:val="000000"/>
                <w:sz w:val="16"/>
                <w:szCs w:val="16"/>
              </w:rPr>
              <w:t>Suite des travaux de structuration de site et publication des contrats</w:t>
            </w:r>
          </w:p>
        </w:tc>
      </w:tr>
      <w:tr w:rsidR="00D97209" w:rsidRPr="00E11FFB" w14:paraId="3890BF4F" w14:textId="77777777" w:rsidTr="00205E3C">
        <w:trPr>
          <w:trHeight w:val="144"/>
          <w:jc w:val="center"/>
        </w:trPr>
        <w:tc>
          <w:tcPr>
            <w:tcW w:w="3516" w:type="dxa"/>
          </w:tcPr>
          <w:p w14:paraId="75CE30BF" w14:textId="2D5F249C" w:rsidR="00D97209" w:rsidRPr="00E11FFB" w:rsidRDefault="00D97209" w:rsidP="00D97209">
            <w:pPr>
              <w:rPr>
                <w:rFonts w:ascii="Avenir" w:eastAsia="Avenir" w:hAnsi="Avenir" w:cs="Avenir"/>
                <w:color w:val="000000"/>
                <w:sz w:val="16"/>
                <w:szCs w:val="16"/>
              </w:rPr>
            </w:pPr>
            <w:r w:rsidRPr="00E11FFB">
              <w:rPr>
                <w:sz w:val="16"/>
                <w:szCs w:val="16"/>
              </w:rPr>
              <w:t>5.3.1 : Appuyer l'élaboration des Normes REDD+ dans les secteurs des Mines</w:t>
            </w:r>
          </w:p>
        </w:tc>
        <w:tc>
          <w:tcPr>
            <w:tcW w:w="806" w:type="dxa"/>
            <w:vAlign w:val="center"/>
          </w:tcPr>
          <w:p w14:paraId="02311271" w14:textId="77777777" w:rsidR="00D97209" w:rsidRPr="00E11FFB" w:rsidRDefault="00D97209" w:rsidP="00D97209">
            <w:pPr>
              <w:rPr>
                <w:rFonts w:ascii="Avenir" w:eastAsia="Avenir" w:hAnsi="Avenir" w:cs="Avenir"/>
                <w:color w:val="000000"/>
                <w:sz w:val="16"/>
                <w:szCs w:val="16"/>
              </w:rPr>
            </w:pPr>
            <w:r w:rsidRPr="00E11FFB">
              <w:rPr>
                <w:rFonts w:ascii="Avenir" w:eastAsia="Avenir" w:hAnsi="Avenir" w:cs="Avenir"/>
                <w:color w:val="000000"/>
                <w:sz w:val="16"/>
                <w:szCs w:val="16"/>
              </w:rPr>
              <w:t>5.3</w:t>
            </w:r>
          </w:p>
        </w:tc>
        <w:tc>
          <w:tcPr>
            <w:tcW w:w="1695" w:type="dxa"/>
            <w:vAlign w:val="center"/>
          </w:tcPr>
          <w:p w14:paraId="2F9D20B0" w14:textId="4F3AD2B2" w:rsidR="00D97209" w:rsidRPr="00E11FFB" w:rsidRDefault="00D97209" w:rsidP="00D97209">
            <w:pPr>
              <w:rPr>
                <w:rFonts w:ascii="Avenir" w:eastAsia="Avenir" w:hAnsi="Avenir" w:cs="Avenir"/>
                <w:color w:val="000000"/>
                <w:sz w:val="16"/>
                <w:szCs w:val="16"/>
              </w:rPr>
            </w:pPr>
            <w:r w:rsidRPr="00E11FFB">
              <w:rPr>
                <w:rFonts w:ascii="Avenir" w:eastAsia="Avenir" w:hAnsi="Avenir" w:cs="Avenir"/>
                <w:b/>
                <w:color w:val="000000"/>
                <w:sz w:val="16"/>
                <w:szCs w:val="16"/>
              </w:rPr>
              <w:t>Du 01/04/2025 au 30/06/2025</w:t>
            </w:r>
          </w:p>
        </w:tc>
        <w:tc>
          <w:tcPr>
            <w:tcW w:w="2415" w:type="dxa"/>
            <w:vAlign w:val="center"/>
          </w:tcPr>
          <w:p w14:paraId="39FBDD27" w14:textId="77777777" w:rsidR="00D97209" w:rsidRPr="00E11FFB" w:rsidRDefault="00D97209" w:rsidP="00D97209">
            <w:pPr>
              <w:rPr>
                <w:rFonts w:ascii="Avenir" w:eastAsia="Avenir" w:hAnsi="Avenir" w:cs="Avenir"/>
                <w:color w:val="000000"/>
                <w:sz w:val="16"/>
                <w:szCs w:val="16"/>
              </w:rPr>
            </w:pPr>
            <w:r w:rsidRPr="00E11FFB">
              <w:rPr>
                <w:color w:val="000000" w:themeColor="text1"/>
                <w:sz w:val="16"/>
                <w:szCs w:val="16"/>
              </w:rPr>
              <w:t>Au moins 10 normes dans le secteur des Mines</w:t>
            </w:r>
          </w:p>
          <w:p w14:paraId="0E5FEA27" w14:textId="77777777" w:rsidR="00D97209" w:rsidRPr="00E11FFB" w:rsidRDefault="00D97209" w:rsidP="00D97209">
            <w:pPr>
              <w:rPr>
                <w:rFonts w:ascii="Avenir" w:eastAsia="Avenir" w:hAnsi="Avenir" w:cs="Avenir"/>
                <w:color w:val="000000"/>
                <w:sz w:val="16"/>
                <w:szCs w:val="16"/>
              </w:rPr>
            </w:pPr>
            <w:r w:rsidRPr="00E11FFB">
              <w:rPr>
                <w:color w:val="000000" w:themeColor="text1"/>
                <w:sz w:val="16"/>
                <w:szCs w:val="16"/>
              </w:rPr>
              <w:t xml:space="preserve">1 Accompagnement du projet sur les normes des secteurs des mines (appui aux réunions). </w:t>
            </w:r>
            <w:r w:rsidRPr="00E11FFB">
              <w:rPr>
                <w:color w:val="EE0000"/>
                <w:sz w:val="16"/>
                <w:szCs w:val="16"/>
              </w:rPr>
              <w:t xml:space="preserve"> </w:t>
            </w:r>
          </w:p>
        </w:tc>
        <w:tc>
          <w:tcPr>
            <w:tcW w:w="1322" w:type="dxa"/>
          </w:tcPr>
          <w:p w14:paraId="10A68A80" w14:textId="02490080" w:rsidR="00D97209" w:rsidRPr="00E11FFB" w:rsidRDefault="00D7059E" w:rsidP="00D97209">
            <w:pPr>
              <w:rPr>
                <w:rFonts w:ascii="Avenir" w:eastAsia="Avenir" w:hAnsi="Avenir" w:cs="Avenir"/>
                <w:color w:val="000000"/>
                <w:sz w:val="16"/>
                <w:szCs w:val="16"/>
              </w:rPr>
            </w:pPr>
            <w:r w:rsidRPr="00E11FFB">
              <w:rPr>
                <w:rFonts w:ascii="Avenir" w:eastAsia="Avenir" w:hAnsi="Avenir" w:cs="Avenir"/>
                <w:color w:val="000000"/>
                <w:sz w:val="16"/>
                <w:szCs w:val="16"/>
              </w:rPr>
              <w:t xml:space="preserve">Participation aux réunions du projet normes dans le secteur de mines porté par la GIZ </w:t>
            </w:r>
          </w:p>
        </w:tc>
        <w:tc>
          <w:tcPr>
            <w:tcW w:w="1882" w:type="dxa"/>
          </w:tcPr>
          <w:p w14:paraId="601C0A0B" w14:textId="3E1CC736" w:rsidR="00D97209" w:rsidRPr="00E11FFB" w:rsidRDefault="00E3582B" w:rsidP="00D97209">
            <w:pPr>
              <w:rPr>
                <w:b/>
                <w:bCs/>
                <w:sz w:val="16"/>
                <w:szCs w:val="16"/>
              </w:rPr>
            </w:pPr>
            <w:r w:rsidRPr="00E11FFB">
              <w:rPr>
                <w:b/>
                <w:bCs/>
                <w:sz w:val="16"/>
                <w:szCs w:val="16"/>
              </w:rPr>
              <w:t xml:space="preserve">En cours </w:t>
            </w:r>
          </w:p>
        </w:tc>
        <w:tc>
          <w:tcPr>
            <w:tcW w:w="2290" w:type="dxa"/>
          </w:tcPr>
          <w:p w14:paraId="2EBA3505" w14:textId="049646CC" w:rsidR="00D97209" w:rsidRPr="00E11FFB" w:rsidRDefault="00D7059E" w:rsidP="00D97209">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du projet normes, élaboration de normes dans le secteur de mines. </w:t>
            </w:r>
          </w:p>
        </w:tc>
      </w:tr>
      <w:tr w:rsidR="00574A5E" w:rsidRPr="00E11FFB" w14:paraId="78CEE220" w14:textId="77777777" w:rsidTr="00205E3C">
        <w:trPr>
          <w:trHeight w:val="144"/>
          <w:jc w:val="center"/>
        </w:trPr>
        <w:tc>
          <w:tcPr>
            <w:tcW w:w="3516" w:type="dxa"/>
          </w:tcPr>
          <w:p w14:paraId="2407FFE9" w14:textId="0D1E245C" w:rsidR="00574A5E" w:rsidRPr="00E11FFB" w:rsidRDefault="00574A5E" w:rsidP="00574A5E">
            <w:pPr>
              <w:rPr>
                <w:rFonts w:ascii="Avenir" w:eastAsia="Avenir" w:hAnsi="Avenir" w:cs="Avenir"/>
                <w:color w:val="000000"/>
                <w:sz w:val="16"/>
                <w:szCs w:val="16"/>
              </w:rPr>
            </w:pPr>
            <w:r w:rsidRPr="00E11FFB">
              <w:rPr>
                <w:sz w:val="16"/>
                <w:szCs w:val="16"/>
              </w:rPr>
              <w:t>5.4.1 Appuyer la Task-Force de pilotage de l'atteinte du processus de réalisation des jalons de LOI.</w:t>
            </w:r>
          </w:p>
        </w:tc>
        <w:tc>
          <w:tcPr>
            <w:tcW w:w="806" w:type="dxa"/>
            <w:vMerge w:val="restart"/>
            <w:vAlign w:val="center"/>
          </w:tcPr>
          <w:p w14:paraId="61F148B0" w14:textId="77777777" w:rsidR="00574A5E" w:rsidRPr="00E11FFB" w:rsidRDefault="00574A5E" w:rsidP="00574A5E">
            <w:pPr>
              <w:rPr>
                <w:rFonts w:ascii="Avenir" w:eastAsia="Avenir" w:hAnsi="Avenir" w:cs="Avenir"/>
                <w:color w:val="000000"/>
                <w:sz w:val="16"/>
                <w:szCs w:val="16"/>
              </w:rPr>
            </w:pPr>
            <w:r w:rsidRPr="00E11FFB">
              <w:rPr>
                <w:rFonts w:ascii="Avenir" w:eastAsia="Avenir" w:hAnsi="Avenir" w:cs="Avenir"/>
                <w:color w:val="000000"/>
                <w:sz w:val="16"/>
                <w:szCs w:val="16"/>
              </w:rPr>
              <w:t>5.4</w:t>
            </w:r>
          </w:p>
        </w:tc>
        <w:tc>
          <w:tcPr>
            <w:tcW w:w="1695" w:type="dxa"/>
            <w:vAlign w:val="center"/>
          </w:tcPr>
          <w:p w14:paraId="007E66E0" w14:textId="64BB5191" w:rsidR="00574A5E" w:rsidRPr="00E11FFB" w:rsidRDefault="00574A5E" w:rsidP="00574A5E">
            <w:pPr>
              <w:rPr>
                <w:rFonts w:ascii="Avenir" w:eastAsia="Avenir" w:hAnsi="Avenir" w:cs="Avenir"/>
                <w:color w:val="000000"/>
                <w:sz w:val="16"/>
                <w:szCs w:val="16"/>
              </w:rPr>
            </w:pPr>
            <w:r w:rsidRPr="00E11FFB">
              <w:rPr>
                <w:rFonts w:ascii="Avenir" w:eastAsia="Avenir" w:hAnsi="Avenir" w:cs="Avenir"/>
                <w:b/>
                <w:color w:val="000000"/>
                <w:sz w:val="16"/>
                <w:szCs w:val="16"/>
              </w:rPr>
              <w:t>Du 01/04/2025 au 30/12/2025</w:t>
            </w:r>
          </w:p>
        </w:tc>
        <w:tc>
          <w:tcPr>
            <w:tcW w:w="2415" w:type="dxa"/>
            <w:vAlign w:val="center"/>
          </w:tcPr>
          <w:p w14:paraId="0C3D582D" w14:textId="77777777" w:rsidR="00574A5E" w:rsidRPr="00E11FFB" w:rsidRDefault="00574A5E" w:rsidP="00574A5E">
            <w:pPr>
              <w:rPr>
                <w:rFonts w:ascii="Avenir" w:eastAsia="Avenir" w:hAnsi="Avenir" w:cs="Avenir"/>
                <w:b/>
                <w:color w:val="000000"/>
                <w:sz w:val="16"/>
                <w:szCs w:val="16"/>
              </w:rPr>
            </w:pPr>
            <w:r w:rsidRPr="00E11FFB">
              <w:rPr>
                <w:color w:val="000000" w:themeColor="text1"/>
                <w:sz w:val="16"/>
                <w:szCs w:val="16"/>
              </w:rPr>
              <w:t>Rapport d’activité</w:t>
            </w:r>
          </w:p>
        </w:tc>
        <w:tc>
          <w:tcPr>
            <w:tcW w:w="1322" w:type="dxa"/>
          </w:tcPr>
          <w:p w14:paraId="286C5DB0" w14:textId="09F56287" w:rsidR="00574A5E" w:rsidRPr="00E11FFB" w:rsidRDefault="00574A5E" w:rsidP="00574A5E">
            <w:pPr>
              <w:rPr>
                <w:rFonts w:ascii="Avenir" w:eastAsia="Avenir" w:hAnsi="Avenir" w:cs="Avenir"/>
                <w:b/>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1882" w:type="dxa"/>
          </w:tcPr>
          <w:p w14:paraId="6052F5C6" w14:textId="738BBB2F" w:rsidR="00574A5E" w:rsidRPr="00E11FFB" w:rsidRDefault="00574A5E" w:rsidP="00574A5E">
            <w:pPr>
              <w:rPr>
                <w:b/>
                <w:bCs/>
                <w:sz w:val="16"/>
                <w:szCs w:val="16"/>
              </w:rPr>
            </w:pPr>
            <w:r w:rsidRPr="00E11FFB">
              <w:rPr>
                <w:b/>
                <w:bCs/>
                <w:sz w:val="16"/>
                <w:szCs w:val="16"/>
              </w:rPr>
              <w:t>Atteint</w:t>
            </w:r>
          </w:p>
        </w:tc>
        <w:tc>
          <w:tcPr>
            <w:tcW w:w="2290" w:type="dxa"/>
          </w:tcPr>
          <w:p w14:paraId="69ABA467" w14:textId="5298E179" w:rsidR="00574A5E" w:rsidRPr="00E11FFB" w:rsidRDefault="00574A5E" w:rsidP="00574A5E">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574A5E" w:rsidRPr="00E11FFB" w14:paraId="5F18301A" w14:textId="77777777" w:rsidTr="00205E3C">
        <w:trPr>
          <w:trHeight w:val="144"/>
          <w:jc w:val="center"/>
        </w:trPr>
        <w:tc>
          <w:tcPr>
            <w:tcW w:w="3516" w:type="dxa"/>
          </w:tcPr>
          <w:p w14:paraId="33C5D63E" w14:textId="656B8B6E" w:rsidR="00574A5E" w:rsidRPr="00E11FFB" w:rsidRDefault="00574A5E" w:rsidP="00574A5E">
            <w:pPr>
              <w:rPr>
                <w:rFonts w:ascii="Avenir" w:eastAsia="Avenir" w:hAnsi="Avenir" w:cs="Avenir"/>
                <w:color w:val="000000"/>
                <w:sz w:val="16"/>
                <w:szCs w:val="16"/>
              </w:rPr>
            </w:pPr>
            <w:r w:rsidRPr="00E11FFB">
              <w:rPr>
                <w:sz w:val="16"/>
                <w:szCs w:val="16"/>
              </w:rPr>
              <w:t>5.4.2 : Appuyer le fonctionnement et la logistique de la Task-Force d'appui à la réalisation des jalons des Ministères des Mines.</w:t>
            </w:r>
          </w:p>
        </w:tc>
        <w:tc>
          <w:tcPr>
            <w:tcW w:w="806" w:type="dxa"/>
            <w:vMerge/>
            <w:vAlign w:val="center"/>
          </w:tcPr>
          <w:p w14:paraId="47B8E2A9" w14:textId="77777777" w:rsidR="00574A5E" w:rsidRPr="00E11FFB" w:rsidRDefault="00574A5E" w:rsidP="00574A5E">
            <w:pPr>
              <w:rPr>
                <w:rFonts w:ascii="Avenir" w:eastAsia="Avenir" w:hAnsi="Avenir" w:cs="Avenir"/>
                <w:color w:val="000000"/>
                <w:sz w:val="16"/>
                <w:szCs w:val="16"/>
              </w:rPr>
            </w:pPr>
          </w:p>
        </w:tc>
        <w:tc>
          <w:tcPr>
            <w:tcW w:w="1695" w:type="dxa"/>
            <w:vAlign w:val="center"/>
          </w:tcPr>
          <w:p w14:paraId="1ADC5AF1" w14:textId="5E0DAAD8" w:rsidR="00574A5E" w:rsidRPr="00E11FFB" w:rsidRDefault="00574A5E" w:rsidP="00574A5E">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415" w:type="dxa"/>
            <w:vAlign w:val="center"/>
          </w:tcPr>
          <w:p w14:paraId="12999876" w14:textId="4C2B83F0" w:rsidR="00574A5E" w:rsidRPr="00E11FFB" w:rsidRDefault="00574A5E" w:rsidP="00574A5E">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équipement et formation </w:t>
            </w:r>
          </w:p>
          <w:p w14:paraId="297A903B" w14:textId="77777777" w:rsidR="00574A5E" w:rsidRPr="00E11FFB" w:rsidRDefault="00574A5E" w:rsidP="00574A5E">
            <w:pPr>
              <w:rPr>
                <w:rFonts w:ascii="Avenir" w:eastAsia="Avenir" w:hAnsi="Avenir" w:cs="Avenir"/>
                <w:bCs/>
                <w:color w:val="000000"/>
                <w:sz w:val="16"/>
                <w:szCs w:val="16"/>
              </w:rPr>
            </w:pPr>
            <w:r w:rsidRPr="00E11FFB">
              <w:rPr>
                <w:bCs/>
                <w:color w:val="000000"/>
                <w:sz w:val="16"/>
                <w:szCs w:val="16"/>
              </w:rPr>
              <w:t>Fourniture de bureau et consommables</w:t>
            </w:r>
          </w:p>
          <w:p w14:paraId="5DFBE519" w14:textId="77777777" w:rsidR="00574A5E" w:rsidRPr="00E11FFB" w:rsidRDefault="00574A5E" w:rsidP="00574A5E">
            <w:pPr>
              <w:rPr>
                <w:rFonts w:ascii="Avenir" w:eastAsia="Avenir" w:hAnsi="Avenir" w:cs="Avenir"/>
                <w:b/>
                <w:color w:val="000000"/>
                <w:sz w:val="16"/>
                <w:szCs w:val="16"/>
              </w:rPr>
            </w:pPr>
            <w:r w:rsidRPr="00E11FFB">
              <w:rPr>
                <w:bCs/>
                <w:color w:val="000000"/>
                <w:sz w:val="16"/>
                <w:szCs w:val="16"/>
              </w:rPr>
              <w:t>1 véhicule</w:t>
            </w:r>
          </w:p>
        </w:tc>
        <w:tc>
          <w:tcPr>
            <w:tcW w:w="1322" w:type="dxa"/>
          </w:tcPr>
          <w:p w14:paraId="2390DCBB" w14:textId="4800AA4B" w:rsidR="00574A5E" w:rsidRPr="00E11FFB" w:rsidRDefault="00574A5E" w:rsidP="00574A5E">
            <w:pPr>
              <w:rPr>
                <w:rFonts w:ascii="Avenir" w:eastAsia="Avenir" w:hAnsi="Avenir" w:cs="Avenir"/>
                <w:b/>
                <w:color w:val="000000"/>
                <w:sz w:val="16"/>
                <w:szCs w:val="16"/>
              </w:rPr>
            </w:pPr>
            <w:r w:rsidRPr="00E11FFB">
              <w:rPr>
                <w:rFonts w:ascii="Avenir" w:eastAsia="Avenir" w:hAnsi="Avenir" w:cs="Avenir"/>
                <w:bCs/>
                <w:color w:val="000000"/>
                <w:sz w:val="16"/>
                <w:szCs w:val="16"/>
              </w:rPr>
              <w:t>Membres de la taskforce équipé et formé</w:t>
            </w:r>
          </w:p>
        </w:tc>
        <w:tc>
          <w:tcPr>
            <w:tcW w:w="1882" w:type="dxa"/>
          </w:tcPr>
          <w:p w14:paraId="0770B3F3" w14:textId="5C91E765" w:rsidR="00574A5E" w:rsidRPr="00E11FFB" w:rsidRDefault="00574A5E" w:rsidP="00574A5E">
            <w:pPr>
              <w:rPr>
                <w:color w:val="808080"/>
                <w:sz w:val="16"/>
                <w:szCs w:val="16"/>
              </w:rPr>
            </w:pPr>
            <w:r w:rsidRPr="00E11FFB">
              <w:rPr>
                <w:b/>
                <w:bCs/>
                <w:sz w:val="16"/>
                <w:szCs w:val="16"/>
              </w:rPr>
              <w:t xml:space="preserve">Atteint </w:t>
            </w:r>
          </w:p>
        </w:tc>
        <w:tc>
          <w:tcPr>
            <w:tcW w:w="2290" w:type="dxa"/>
          </w:tcPr>
          <w:p w14:paraId="09B425BB" w14:textId="6466F9F6" w:rsidR="00574A5E" w:rsidRPr="00E11FFB" w:rsidRDefault="00574A5E" w:rsidP="00574A5E">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574A5E" w:rsidRPr="00E11FFB" w14:paraId="243DED73" w14:textId="77777777" w:rsidTr="00205E3C">
        <w:trPr>
          <w:trHeight w:val="593"/>
          <w:jc w:val="center"/>
        </w:trPr>
        <w:tc>
          <w:tcPr>
            <w:tcW w:w="3516" w:type="dxa"/>
          </w:tcPr>
          <w:p w14:paraId="3DFA45FD" w14:textId="3CE580B1" w:rsidR="00574A5E" w:rsidRPr="00E11FFB" w:rsidRDefault="00574A5E" w:rsidP="00574A5E">
            <w:pPr>
              <w:rPr>
                <w:rFonts w:ascii="Avenir" w:eastAsia="Avenir" w:hAnsi="Avenir" w:cs="Avenir"/>
                <w:color w:val="000000"/>
                <w:sz w:val="16"/>
                <w:szCs w:val="16"/>
              </w:rPr>
            </w:pPr>
            <w:r w:rsidRPr="00E11FFB">
              <w:rPr>
                <w:sz w:val="16"/>
                <w:szCs w:val="16"/>
              </w:rPr>
              <w:t>5.4.3 :  Appuyer les DANTIC des Ministères des Mines</w:t>
            </w:r>
          </w:p>
        </w:tc>
        <w:tc>
          <w:tcPr>
            <w:tcW w:w="806" w:type="dxa"/>
            <w:vMerge/>
            <w:vAlign w:val="center"/>
          </w:tcPr>
          <w:p w14:paraId="455BCE01" w14:textId="77777777" w:rsidR="00574A5E" w:rsidRPr="00E11FFB" w:rsidRDefault="00574A5E" w:rsidP="00574A5E">
            <w:pPr>
              <w:rPr>
                <w:rFonts w:ascii="Avenir" w:eastAsia="Avenir" w:hAnsi="Avenir" w:cs="Avenir"/>
                <w:color w:val="000000"/>
                <w:sz w:val="16"/>
                <w:szCs w:val="16"/>
              </w:rPr>
            </w:pPr>
          </w:p>
        </w:tc>
        <w:tc>
          <w:tcPr>
            <w:tcW w:w="1695" w:type="dxa"/>
            <w:vAlign w:val="center"/>
          </w:tcPr>
          <w:p w14:paraId="6DFAE70F" w14:textId="7A13EA6A" w:rsidR="00574A5E" w:rsidRPr="00E11FFB" w:rsidRDefault="00574A5E" w:rsidP="00574A5E">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30/12/2025</w:t>
            </w:r>
          </w:p>
        </w:tc>
        <w:tc>
          <w:tcPr>
            <w:tcW w:w="2415" w:type="dxa"/>
            <w:vAlign w:val="center"/>
          </w:tcPr>
          <w:p w14:paraId="4D7F1D77" w14:textId="77777777" w:rsidR="00574A5E" w:rsidRPr="00E11FFB" w:rsidRDefault="00574A5E" w:rsidP="00574A5E">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page d’accueil et le Site web du ministère mis à jour </w:t>
            </w:r>
          </w:p>
          <w:p w14:paraId="209A312E" w14:textId="77777777" w:rsidR="00574A5E" w:rsidRPr="00E11FFB" w:rsidRDefault="00574A5E" w:rsidP="00574A5E">
            <w:pPr>
              <w:rPr>
                <w:rFonts w:ascii="Avenir" w:eastAsia="Avenir" w:hAnsi="Avenir" w:cs="Avenir"/>
                <w:b/>
                <w:color w:val="000000"/>
                <w:sz w:val="16"/>
                <w:szCs w:val="16"/>
              </w:rPr>
            </w:pPr>
            <w:r w:rsidRPr="00E11FFB">
              <w:rPr>
                <w:rFonts w:ascii="Avenir" w:eastAsia="Avenir" w:hAnsi="Avenir" w:cs="Avenir"/>
                <w:bCs/>
                <w:color w:val="000000"/>
                <w:sz w:val="16"/>
                <w:szCs w:val="16"/>
              </w:rPr>
              <w:t>Rapport d’activité</w:t>
            </w:r>
          </w:p>
        </w:tc>
        <w:tc>
          <w:tcPr>
            <w:tcW w:w="1322" w:type="dxa"/>
          </w:tcPr>
          <w:p w14:paraId="565D681C" w14:textId="5D903E43" w:rsidR="00574A5E" w:rsidRPr="00E11FFB" w:rsidRDefault="00574A5E" w:rsidP="00574A5E">
            <w:pPr>
              <w:rPr>
                <w:rFonts w:ascii="Avenir" w:eastAsia="Avenir" w:hAnsi="Avenir" w:cs="Avenir"/>
                <w:b/>
                <w:color w:val="000000"/>
                <w:sz w:val="16"/>
                <w:szCs w:val="16"/>
              </w:rPr>
            </w:pPr>
            <w:r w:rsidRPr="00E11FFB">
              <w:rPr>
                <w:rFonts w:ascii="Avenir" w:eastAsia="Avenir" w:hAnsi="Avenir" w:cs="Avenir"/>
                <w:bCs/>
                <w:color w:val="000000"/>
                <w:sz w:val="16"/>
                <w:szCs w:val="16"/>
              </w:rPr>
              <w:t>Site en cours de structuration</w:t>
            </w:r>
          </w:p>
        </w:tc>
        <w:tc>
          <w:tcPr>
            <w:tcW w:w="1882" w:type="dxa"/>
          </w:tcPr>
          <w:p w14:paraId="586FCF11" w14:textId="01B17FC3" w:rsidR="00574A5E" w:rsidRPr="00E11FFB" w:rsidRDefault="00574A5E" w:rsidP="00574A5E">
            <w:pPr>
              <w:rPr>
                <w:color w:val="808080"/>
                <w:sz w:val="16"/>
                <w:szCs w:val="16"/>
              </w:rPr>
            </w:pPr>
            <w:r w:rsidRPr="00E11FFB">
              <w:rPr>
                <w:b/>
                <w:bCs/>
                <w:sz w:val="16"/>
                <w:szCs w:val="16"/>
              </w:rPr>
              <w:t xml:space="preserve">Atteint </w:t>
            </w:r>
          </w:p>
        </w:tc>
        <w:tc>
          <w:tcPr>
            <w:tcW w:w="2290" w:type="dxa"/>
          </w:tcPr>
          <w:p w14:paraId="5467914C" w14:textId="117F1324" w:rsidR="00574A5E" w:rsidRPr="00E11FFB" w:rsidRDefault="00574A5E" w:rsidP="00574A5E">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tbl>
    <w:p w14:paraId="5389FF76" w14:textId="6F3DABE7" w:rsidR="00B669B6" w:rsidRPr="006D79E9" w:rsidRDefault="00E82414" w:rsidP="006D79E9">
      <w:pPr>
        <w:spacing w:before="240" w:after="5" w:line="276" w:lineRule="auto"/>
        <w:ind w:left="20" w:right="28" w:hanging="10"/>
        <w:jc w:val="both"/>
        <w:rPr>
          <w:rFonts w:ascii="Avenir" w:eastAsia="Avenir" w:hAnsi="Avenir" w:cs="Avenir"/>
          <w:color w:val="000000"/>
        </w:rPr>
      </w:pPr>
      <w:r>
        <w:rPr>
          <w:rFonts w:ascii="Avenir" w:eastAsia="Avenir" w:hAnsi="Avenir" w:cs="Avenir"/>
          <w:color w:val="000000"/>
        </w:rPr>
        <w:t>PTBA 2025</w:t>
      </w:r>
      <w:r w:rsidR="00B669B6" w:rsidRPr="006D79E9">
        <w:rPr>
          <w:rFonts w:ascii="Avenir" w:eastAsia="Avenir" w:hAnsi="Avenir" w:cs="Avenir"/>
          <w:color w:val="000000"/>
        </w:rPr>
        <w:t xml:space="preserve"> Hydrocarbures</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65"/>
        <w:gridCol w:w="840"/>
        <w:gridCol w:w="1767"/>
        <w:gridCol w:w="2518"/>
        <w:gridCol w:w="2275"/>
        <w:gridCol w:w="1530"/>
        <w:gridCol w:w="2250"/>
      </w:tblGrid>
      <w:tr w:rsidR="00727654" w:rsidRPr="00E11FFB" w14:paraId="572061E7" w14:textId="77777777" w:rsidTr="00845176">
        <w:trPr>
          <w:trHeight w:val="382"/>
          <w:tblHeader/>
          <w:jc w:val="center"/>
        </w:trPr>
        <w:tc>
          <w:tcPr>
            <w:tcW w:w="3665" w:type="dxa"/>
            <w:shd w:val="clear" w:color="auto" w:fill="A9D5E7"/>
          </w:tcPr>
          <w:p w14:paraId="168F9844"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840" w:type="dxa"/>
            <w:shd w:val="clear" w:color="auto" w:fill="A9D5E7"/>
          </w:tcPr>
          <w:p w14:paraId="1DD11BBB"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31"/>
            </w:r>
            <w:r w:rsidRPr="00E11FFB">
              <w:rPr>
                <w:rFonts w:ascii="Avenir" w:eastAsia="Avenir" w:hAnsi="Avenir" w:cs="Avenir"/>
                <w:b/>
                <w:color w:val="000000"/>
                <w:sz w:val="16"/>
                <w:szCs w:val="16"/>
              </w:rPr>
              <w:t xml:space="preserve"> (ex. 1.1)</w:t>
            </w:r>
          </w:p>
        </w:tc>
        <w:tc>
          <w:tcPr>
            <w:tcW w:w="1767" w:type="dxa"/>
            <w:shd w:val="clear" w:color="auto" w:fill="A9D5E7"/>
          </w:tcPr>
          <w:p w14:paraId="7A21A328"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32"/>
            </w:r>
          </w:p>
        </w:tc>
        <w:tc>
          <w:tcPr>
            <w:tcW w:w="2518" w:type="dxa"/>
            <w:shd w:val="clear" w:color="auto" w:fill="A9D5E7"/>
          </w:tcPr>
          <w:p w14:paraId="777D27A5"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2275" w:type="dxa"/>
            <w:shd w:val="clear" w:color="auto" w:fill="A9D5E7"/>
          </w:tcPr>
          <w:p w14:paraId="1766D75C"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1530" w:type="dxa"/>
            <w:shd w:val="clear" w:color="auto" w:fill="A9D5E7"/>
          </w:tcPr>
          <w:p w14:paraId="5F60A5FC"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2250" w:type="dxa"/>
            <w:shd w:val="clear" w:color="auto" w:fill="A9D5E7"/>
          </w:tcPr>
          <w:p w14:paraId="19CC8BEA" w14:textId="77777777" w:rsidR="00727654" w:rsidRPr="00E11FFB" w:rsidRDefault="00727654"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320DC6" w:rsidRPr="00E11FFB" w14:paraId="790C53FC" w14:textId="77777777" w:rsidTr="00845176">
        <w:trPr>
          <w:trHeight w:val="967"/>
          <w:jc w:val="center"/>
        </w:trPr>
        <w:tc>
          <w:tcPr>
            <w:tcW w:w="3665" w:type="dxa"/>
          </w:tcPr>
          <w:p w14:paraId="1058C937" w14:textId="6829E180" w:rsidR="00320DC6" w:rsidRPr="00E11FFB" w:rsidRDefault="00320DC6" w:rsidP="00320DC6">
            <w:pPr>
              <w:rPr>
                <w:rFonts w:ascii="Avenir" w:eastAsia="Avenir" w:hAnsi="Avenir" w:cs="Avenir"/>
                <w:color w:val="000000"/>
                <w:sz w:val="16"/>
                <w:szCs w:val="16"/>
              </w:rPr>
            </w:pPr>
            <w:r w:rsidRPr="00E11FFB">
              <w:rPr>
                <w:sz w:val="16"/>
                <w:szCs w:val="16"/>
              </w:rPr>
              <w:t>5.1.1 : Publier les actes réglementaires rendant obligatoires la réalisation des EES, et les rapports des missions annuelles de contrôle / évaluation</w:t>
            </w:r>
          </w:p>
        </w:tc>
        <w:tc>
          <w:tcPr>
            <w:tcW w:w="840" w:type="dxa"/>
            <w:vAlign w:val="center"/>
          </w:tcPr>
          <w:p w14:paraId="392C04D8" w14:textId="77777777" w:rsidR="00320DC6" w:rsidRPr="00E11FFB" w:rsidRDefault="00320DC6" w:rsidP="00320DC6">
            <w:pPr>
              <w:rPr>
                <w:rFonts w:ascii="Avenir" w:eastAsia="Avenir" w:hAnsi="Avenir" w:cs="Avenir"/>
                <w:color w:val="000000"/>
                <w:sz w:val="16"/>
                <w:szCs w:val="16"/>
              </w:rPr>
            </w:pPr>
            <w:r w:rsidRPr="00E11FFB">
              <w:rPr>
                <w:rFonts w:ascii="Avenir" w:eastAsia="Avenir" w:hAnsi="Avenir" w:cs="Avenir"/>
                <w:color w:val="000000"/>
                <w:sz w:val="16"/>
                <w:szCs w:val="16"/>
              </w:rPr>
              <w:t>5.1</w:t>
            </w:r>
          </w:p>
        </w:tc>
        <w:tc>
          <w:tcPr>
            <w:tcW w:w="1767" w:type="dxa"/>
            <w:vAlign w:val="center"/>
          </w:tcPr>
          <w:p w14:paraId="68C29F58" w14:textId="0C53068E" w:rsidR="00320DC6" w:rsidRPr="00E11FFB" w:rsidRDefault="00320DC6" w:rsidP="00320DC6">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518" w:type="dxa"/>
            <w:vAlign w:val="center"/>
          </w:tcPr>
          <w:p w14:paraId="0D67DABF" w14:textId="6573F0BA" w:rsidR="00320DC6" w:rsidRPr="00E11FFB" w:rsidRDefault="00320DC6" w:rsidP="00320DC6">
            <w:pPr>
              <w:rPr>
                <w:bCs/>
                <w:color w:val="000000"/>
                <w:sz w:val="16"/>
                <w:szCs w:val="16"/>
              </w:rPr>
            </w:pPr>
            <w:r w:rsidRPr="00E11FFB">
              <w:rPr>
                <w:bCs/>
                <w:color w:val="000000"/>
                <w:sz w:val="16"/>
                <w:szCs w:val="16"/>
              </w:rPr>
              <w:t>Arrêté interministériel publié</w:t>
            </w:r>
          </w:p>
          <w:p w14:paraId="77231E10" w14:textId="705BE29E" w:rsidR="00320DC6" w:rsidRPr="00E11FFB" w:rsidRDefault="00320DC6" w:rsidP="00320DC6">
            <w:pPr>
              <w:rPr>
                <w:bCs/>
                <w:color w:val="000000"/>
                <w:sz w:val="16"/>
                <w:szCs w:val="16"/>
              </w:rPr>
            </w:pPr>
            <w:r w:rsidRPr="00E11FFB">
              <w:rPr>
                <w:bCs/>
                <w:color w:val="000000"/>
                <w:sz w:val="16"/>
                <w:szCs w:val="16"/>
              </w:rPr>
              <w:t xml:space="preserve">1 acte publié </w:t>
            </w:r>
          </w:p>
          <w:p w14:paraId="1945395C" w14:textId="17911403" w:rsidR="00320DC6" w:rsidRPr="00E11FFB" w:rsidRDefault="00320DC6" w:rsidP="00320DC6">
            <w:pPr>
              <w:rPr>
                <w:bCs/>
                <w:color w:val="000000"/>
                <w:sz w:val="16"/>
                <w:szCs w:val="16"/>
              </w:rPr>
            </w:pPr>
            <w:r w:rsidRPr="00E11FFB">
              <w:rPr>
                <w:rFonts w:ascii="Avenir" w:eastAsia="Avenir" w:hAnsi="Avenir" w:cs="Avenir"/>
                <w:color w:val="000000"/>
                <w:sz w:val="16"/>
                <w:szCs w:val="16"/>
              </w:rPr>
              <w:t xml:space="preserve">20 personnes formées </w:t>
            </w:r>
          </w:p>
          <w:p w14:paraId="5EE0F0FB" w14:textId="566D1E21" w:rsidR="00320DC6" w:rsidRPr="00E11FFB" w:rsidRDefault="00320DC6" w:rsidP="00320DC6">
            <w:pPr>
              <w:rPr>
                <w:rFonts w:ascii="Avenir" w:eastAsia="Avenir" w:hAnsi="Avenir" w:cs="Avenir"/>
                <w:color w:val="000000"/>
                <w:sz w:val="16"/>
                <w:szCs w:val="16"/>
              </w:rPr>
            </w:pPr>
            <w:r w:rsidRPr="00E11FFB">
              <w:rPr>
                <w:bCs/>
                <w:color w:val="000000"/>
                <w:sz w:val="16"/>
                <w:szCs w:val="16"/>
              </w:rPr>
              <w:t>80 % des personnes formées déclarant utiliser les outils et informations auxquels ils ont été formés un an après</w:t>
            </w:r>
          </w:p>
        </w:tc>
        <w:tc>
          <w:tcPr>
            <w:tcW w:w="2275" w:type="dxa"/>
          </w:tcPr>
          <w:p w14:paraId="56197744" w14:textId="0EC683FF" w:rsidR="00320DC6" w:rsidRPr="00E11FFB" w:rsidRDefault="00320DC6" w:rsidP="00320DC6">
            <w:pPr>
              <w:rPr>
                <w:rFonts w:ascii="Avenir" w:eastAsia="Avenir" w:hAnsi="Avenir" w:cs="Avenir"/>
                <w:color w:val="000000"/>
                <w:sz w:val="16"/>
                <w:szCs w:val="16"/>
              </w:rPr>
            </w:pPr>
            <w:r w:rsidRPr="00E11FFB">
              <w:rPr>
                <w:rFonts w:ascii="Avenir" w:eastAsia="Avenir" w:hAnsi="Avenir" w:cs="Avenir"/>
                <w:color w:val="000000"/>
                <w:sz w:val="16"/>
                <w:szCs w:val="16"/>
              </w:rPr>
              <w:t>1 draft du projet d’arrêté</w:t>
            </w:r>
          </w:p>
          <w:p w14:paraId="2A015162" w14:textId="3C8E2828" w:rsidR="00320DC6" w:rsidRPr="00E11FFB" w:rsidRDefault="00320DC6" w:rsidP="00320DC6">
            <w:pPr>
              <w:rPr>
                <w:rFonts w:ascii="Avenir" w:eastAsia="Avenir" w:hAnsi="Avenir" w:cs="Avenir"/>
                <w:color w:val="000000"/>
                <w:sz w:val="16"/>
                <w:szCs w:val="16"/>
              </w:rPr>
            </w:pPr>
            <w:r w:rsidRPr="00E11FFB">
              <w:rPr>
                <w:rFonts w:ascii="Avenir" w:eastAsia="Avenir" w:hAnsi="Avenir" w:cs="Avenir"/>
                <w:color w:val="000000"/>
                <w:sz w:val="16"/>
                <w:szCs w:val="16"/>
              </w:rPr>
              <w:t>20 personnes formées et appliquent la formation reçue</w:t>
            </w:r>
          </w:p>
          <w:p w14:paraId="7689A8F8" w14:textId="2FE18F0A" w:rsidR="00320DC6" w:rsidRPr="00E11FFB" w:rsidRDefault="004661CF" w:rsidP="00BD15C1">
            <w:pPr>
              <w:rPr>
                <w:rFonts w:ascii="Avenir" w:eastAsia="Avenir" w:hAnsi="Avenir" w:cs="Avenir"/>
                <w:color w:val="000000"/>
                <w:sz w:val="16"/>
                <w:szCs w:val="16"/>
              </w:rPr>
            </w:pPr>
            <w:r w:rsidRPr="00E11FFB">
              <w:rPr>
                <w:rFonts w:ascii="Avenir" w:eastAsia="Avenir" w:hAnsi="Avenir" w:cs="Avenir"/>
                <w:color w:val="000000"/>
                <w:sz w:val="16"/>
                <w:szCs w:val="16"/>
              </w:rPr>
              <w:t>1 mission de suivi environnemental société pétrolière</w:t>
            </w:r>
          </w:p>
        </w:tc>
        <w:tc>
          <w:tcPr>
            <w:tcW w:w="1530" w:type="dxa"/>
          </w:tcPr>
          <w:p w14:paraId="1A241F7E" w14:textId="6A5620BC" w:rsidR="00320DC6" w:rsidRPr="00E11FFB" w:rsidRDefault="00320DC6" w:rsidP="00320DC6">
            <w:pPr>
              <w:rPr>
                <w:rFonts w:ascii="Avenir" w:eastAsia="Avenir" w:hAnsi="Avenir" w:cs="Avenir"/>
                <w:color w:val="000000"/>
                <w:sz w:val="16"/>
                <w:szCs w:val="16"/>
              </w:rPr>
            </w:pPr>
            <w:r w:rsidRPr="00E11FFB">
              <w:rPr>
                <w:b/>
                <w:bCs/>
                <w:sz w:val="16"/>
                <w:szCs w:val="16"/>
              </w:rPr>
              <w:t xml:space="preserve">En cours </w:t>
            </w:r>
          </w:p>
        </w:tc>
        <w:tc>
          <w:tcPr>
            <w:tcW w:w="2250" w:type="dxa"/>
          </w:tcPr>
          <w:p w14:paraId="76D8DFBD" w14:textId="491DB9BD" w:rsidR="00320DC6" w:rsidRPr="00E11FFB" w:rsidRDefault="00320DC6" w:rsidP="00320DC6">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d’application de la formation ; publié l’acte règlementaire, formation d’autres cadres de ministère. </w:t>
            </w:r>
            <w:r w:rsidR="00845176" w:rsidRPr="00E11FFB">
              <w:rPr>
                <w:rFonts w:ascii="Calibri" w:hAnsi="Calibri" w:cs="Calibri"/>
                <w:sz w:val="16"/>
                <w:szCs w:val="16"/>
                <w:lang w:eastAsia="fr-CD"/>
              </w:rPr>
              <w:t>Missions annuelles de contrôle / évaluation</w:t>
            </w:r>
          </w:p>
        </w:tc>
      </w:tr>
      <w:tr w:rsidR="00727654" w:rsidRPr="00E11FFB" w14:paraId="33F6FDC4" w14:textId="77777777" w:rsidTr="00845176">
        <w:trPr>
          <w:trHeight w:val="832"/>
          <w:jc w:val="center"/>
        </w:trPr>
        <w:tc>
          <w:tcPr>
            <w:tcW w:w="3665" w:type="dxa"/>
          </w:tcPr>
          <w:p w14:paraId="68FEF456" w14:textId="49BB5910" w:rsidR="00727654" w:rsidRPr="00E11FFB" w:rsidRDefault="00727654" w:rsidP="00727654">
            <w:pPr>
              <w:rPr>
                <w:rFonts w:ascii="Avenir" w:eastAsia="Avenir" w:hAnsi="Avenir" w:cs="Avenir"/>
                <w:color w:val="000000"/>
                <w:sz w:val="16"/>
                <w:szCs w:val="16"/>
              </w:rPr>
            </w:pPr>
            <w:r w:rsidRPr="00E11FFB">
              <w:rPr>
                <w:sz w:val="16"/>
                <w:szCs w:val="16"/>
              </w:rPr>
              <w:t>5.2.1 : Publier les contrats des hydrocarbures</w:t>
            </w:r>
          </w:p>
        </w:tc>
        <w:tc>
          <w:tcPr>
            <w:tcW w:w="840" w:type="dxa"/>
            <w:vAlign w:val="center"/>
          </w:tcPr>
          <w:p w14:paraId="17F088F2" w14:textId="77777777" w:rsidR="00727654" w:rsidRPr="00E11FFB" w:rsidRDefault="00727654" w:rsidP="00727654">
            <w:pPr>
              <w:rPr>
                <w:rFonts w:ascii="Avenir" w:eastAsia="Avenir" w:hAnsi="Avenir" w:cs="Avenir"/>
                <w:color w:val="000000"/>
                <w:sz w:val="16"/>
                <w:szCs w:val="16"/>
              </w:rPr>
            </w:pPr>
            <w:r w:rsidRPr="00E11FFB">
              <w:rPr>
                <w:rFonts w:ascii="Avenir" w:eastAsia="Avenir" w:hAnsi="Avenir" w:cs="Avenir"/>
                <w:color w:val="000000"/>
                <w:sz w:val="16"/>
                <w:szCs w:val="16"/>
              </w:rPr>
              <w:t>5.2</w:t>
            </w:r>
          </w:p>
        </w:tc>
        <w:tc>
          <w:tcPr>
            <w:tcW w:w="1767" w:type="dxa"/>
            <w:vAlign w:val="center"/>
          </w:tcPr>
          <w:p w14:paraId="01C26F81" w14:textId="3EB0EE2B" w:rsidR="00727654" w:rsidRPr="00E11FFB" w:rsidRDefault="00727654" w:rsidP="00727654">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518" w:type="dxa"/>
            <w:vAlign w:val="center"/>
          </w:tcPr>
          <w:p w14:paraId="0CC0CD93" w14:textId="77777777" w:rsidR="00727654" w:rsidRPr="00E11FFB" w:rsidRDefault="00727654" w:rsidP="00727654">
            <w:pPr>
              <w:rPr>
                <w:bCs/>
                <w:color w:val="000000"/>
                <w:sz w:val="16"/>
                <w:szCs w:val="16"/>
              </w:rPr>
            </w:pPr>
            <w:r w:rsidRPr="00E11FFB">
              <w:rPr>
                <w:bCs/>
                <w:color w:val="000000"/>
                <w:sz w:val="16"/>
                <w:szCs w:val="16"/>
              </w:rPr>
              <w:t>1 site web des secteurs des hydrocarbures opérationnel</w:t>
            </w:r>
          </w:p>
          <w:p w14:paraId="749D34E2" w14:textId="732926C2" w:rsidR="00727654" w:rsidRPr="00E11FFB" w:rsidRDefault="00727654" w:rsidP="00727654">
            <w:pPr>
              <w:rPr>
                <w:bCs/>
                <w:color w:val="000000"/>
                <w:sz w:val="16"/>
                <w:szCs w:val="16"/>
              </w:rPr>
            </w:pPr>
            <w:r w:rsidRPr="00E11FFB">
              <w:rPr>
                <w:bCs/>
                <w:color w:val="000000"/>
                <w:sz w:val="16"/>
                <w:szCs w:val="16"/>
              </w:rPr>
              <w:t>Au moins 2 contrats du secteur des hydrocarbures publiés ;</w:t>
            </w:r>
          </w:p>
          <w:p w14:paraId="4E02AB27" w14:textId="77777777" w:rsidR="00727654" w:rsidRPr="00E11FFB" w:rsidRDefault="00727654" w:rsidP="00727654">
            <w:pPr>
              <w:rPr>
                <w:rFonts w:ascii="Avenir" w:eastAsia="Avenir" w:hAnsi="Avenir" w:cs="Avenir"/>
                <w:color w:val="000000"/>
                <w:sz w:val="16"/>
                <w:szCs w:val="16"/>
              </w:rPr>
            </w:pPr>
            <w:r w:rsidRPr="00E11FFB">
              <w:rPr>
                <w:bCs/>
                <w:color w:val="000000"/>
                <w:sz w:val="16"/>
                <w:szCs w:val="16"/>
              </w:rPr>
              <w:t>Banque des données actualisées du secteur des mines</w:t>
            </w:r>
          </w:p>
        </w:tc>
        <w:tc>
          <w:tcPr>
            <w:tcW w:w="2275" w:type="dxa"/>
          </w:tcPr>
          <w:p w14:paraId="55335C68" w14:textId="12FBCDFE" w:rsidR="00C7066A" w:rsidRPr="00E11FFB" w:rsidRDefault="00C7066A" w:rsidP="00727654">
            <w:pPr>
              <w:rPr>
                <w:rFonts w:ascii="Avenir" w:eastAsia="Avenir" w:hAnsi="Avenir" w:cs="Avenir"/>
                <w:color w:val="000000"/>
                <w:sz w:val="16"/>
                <w:szCs w:val="16"/>
              </w:rPr>
            </w:pPr>
            <w:r w:rsidRPr="00E11FFB">
              <w:rPr>
                <w:rFonts w:ascii="Avenir" w:eastAsia="Avenir" w:hAnsi="Avenir" w:cs="Avenir"/>
                <w:color w:val="000000"/>
                <w:sz w:val="16"/>
                <w:szCs w:val="16"/>
              </w:rPr>
              <w:t>1 formation des agents sur la publication des contrats sur le site datawarehouse</w:t>
            </w:r>
          </w:p>
          <w:p w14:paraId="1D90C09C" w14:textId="3866EB22" w:rsidR="005C4A00" w:rsidRPr="00E11FFB" w:rsidRDefault="005C4A00" w:rsidP="00727654">
            <w:pPr>
              <w:rPr>
                <w:rFonts w:ascii="Avenir" w:eastAsia="Avenir" w:hAnsi="Avenir" w:cs="Avenir"/>
                <w:color w:val="000000"/>
                <w:sz w:val="16"/>
                <w:szCs w:val="16"/>
              </w:rPr>
            </w:pPr>
            <w:r w:rsidRPr="00E11FFB">
              <w:rPr>
                <w:rFonts w:ascii="Calibri" w:hAnsi="Calibri" w:cs="Calibri"/>
                <w:sz w:val="16"/>
                <w:szCs w:val="16"/>
                <w:lang w:eastAsia="fr-CD"/>
              </w:rPr>
              <w:t xml:space="preserve">Réunion dans le cadre de l'élaboration et mise à jour du site web. </w:t>
            </w:r>
          </w:p>
          <w:p w14:paraId="60DCAF6A" w14:textId="74394C5C" w:rsidR="00727654" w:rsidRPr="00E11FFB" w:rsidRDefault="00CF68F8" w:rsidP="00727654">
            <w:pPr>
              <w:rPr>
                <w:rFonts w:ascii="Avenir" w:eastAsia="Avenir" w:hAnsi="Avenir" w:cs="Avenir"/>
                <w:color w:val="000000"/>
                <w:sz w:val="16"/>
                <w:szCs w:val="16"/>
              </w:rPr>
            </w:pPr>
            <w:r w:rsidRPr="00E11FFB">
              <w:rPr>
                <w:rFonts w:ascii="Avenir" w:eastAsia="Avenir" w:hAnsi="Avenir" w:cs="Avenir"/>
                <w:color w:val="000000"/>
                <w:sz w:val="16"/>
                <w:szCs w:val="16"/>
              </w:rPr>
              <w:t xml:space="preserve">1 site web opérationnel </w:t>
            </w:r>
          </w:p>
          <w:p w14:paraId="3A473B58" w14:textId="77777777" w:rsidR="00CF68F8" w:rsidRPr="00E11FFB" w:rsidRDefault="00CF68F8" w:rsidP="00727654">
            <w:pPr>
              <w:rPr>
                <w:rFonts w:ascii="Avenir" w:eastAsia="Avenir" w:hAnsi="Avenir" w:cs="Avenir"/>
                <w:color w:val="000000"/>
                <w:sz w:val="16"/>
                <w:szCs w:val="16"/>
              </w:rPr>
            </w:pPr>
            <w:r w:rsidRPr="00E11FFB">
              <w:rPr>
                <w:rFonts w:ascii="Avenir" w:eastAsia="Avenir" w:hAnsi="Avenir" w:cs="Avenir"/>
                <w:color w:val="000000"/>
                <w:sz w:val="16"/>
                <w:szCs w:val="16"/>
              </w:rPr>
              <w:t>Les anciens contrats publiés</w:t>
            </w:r>
          </w:p>
          <w:p w14:paraId="576CC41E" w14:textId="5D9EBF8D" w:rsidR="00CF68F8" w:rsidRPr="00E11FFB" w:rsidRDefault="00CF68F8" w:rsidP="00727654">
            <w:pPr>
              <w:rPr>
                <w:rFonts w:ascii="Avenir" w:eastAsia="Avenir" w:hAnsi="Avenir" w:cs="Avenir"/>
                <w:color w:val="000000"/>
                <w:sz w:val="16"/>
                <w:szCs w:val="16"/>
              </w:rPr>
            </w:pPr>
          </w:p>
        </w:tc>
        <w:tc>
          <w:tcPr>
            <w:tcW w:w="1530" w:type="dxa"/>
          </w:tcPr>
          <w:p w14:paraId="02ACA1A6" w14:textId="5F85D92B" w:rsidR="00727654" w:rsidRPr="00E11FFB" w:rsidRDefault="00CF68F8" w:rsidP="00727654">
            <w:pPr>
              <w:rPr>
                <w:b/>
                <w:bCs/>
                <w:sz w:val="16"/>
                <w:szCs w:val="16"/>
              </w:rPr>
            </w:pPr>
            <w:r w:rsidRPr="00E11FFB">
              <w:rPr>
                <w:b/>
                <w:bCs/>
                <w:sz w:val="16"/>
                <w:szCs w:val="16"/>
              </w:rPr>
              <w:t>En cours</w:t>
            </w:r>
          </w:p>
        </w:tc>
        <w:tc>
          <w:tcPr>
            <w:tcW w:w="2250" w:type="dxa"/>
          </w:tcPr>
          <w:p w14:paraId="33C1FC40" w14:textId="3BFDF3D0" w:rsidR="00727654" w:rsidRPr="00E11FFB" w:rsidRDefault="00C7066A" w:rsidP="00727654">
            <w:pPr>
              <w:rPr>
                <w:rFonts w:ascii="Avenir" w:eastAsia="Avenir" w:hAnsi="Avenir" w:cs="Avenir"/>
                <w:color w:val="000000"/>
                <w:sz w:val="16"/>
                <w:szCs w:val="16"/>
              </w:rPr>
            </w:pPr>
            <w:r w:rsidRPr="00E11FFB">
              <w:rPr>
                <w:rFonts w:ascii="Avenir" w:eastAsia="Avenir" w:hAnsi="Avenir" w:cs="Avenir"/>
                <w:color w:val="000000"/>
                <w:sz w:val="16"/>
                <w:szCs w:val="16"/>
              </w:rPr>
              <w:t xml:space="preserve">Finalisation de la structuration du site et publication des contrats et autres documents récents. </w:t>
            </w:r>
          </w:p>
        </w:tc>
      </w:tr>
      <w:tr w:rsidR="00727654" w:rsidRPr="00E11FFB" w14:paraId="04F4F587" w14:textId="77777777" w:rsidTr="00845176">
        <w:trPr>
          <w:trHeight w:val="143"/>
          <w:jc w:val="center"/>
        </w:trPr>
        <w:tc>
          <w:tcPr>
            <w:tcW w:w="3665" w:type="dxa"/>
          </w:tcPr>
          <w:p w14:paraId="257222DE" w14:textId="7CFD0606" w:rsidR="00727654" w:rsidRPr="00E11FFB" w:rsidRDefault="00727654" w:rsidP="00727654">
            <w:pPr>
              <w:rPr>
                <w:rFonts w:ascii="Avenir" w:eastAsia="Avenir" w:hAnsi="Avenir" w:cs="Avenir"/>
                <w:color w:val="000000"/>
                <w:sz w:val="16"/>
                <w:szCs w:val="16"/>
              </w:rPr>
            </w:pPr>
            <w:r w:rsidRPr="00E11FFB">
              <w:rPr>
                <w:sz w:val="16"/>
                <w:szCs w:val="16"/>
              </w:rPr>
              <w:t>5.3.1 : Appuyer l'élaboration des Normes REDD+ dans le secteur des Hydrocarbures.</w:t>
            </w:r>
          </w:p>
        </w:tc>
        <w:tc>
          <w:tcPr>
            <w:tcW w:w="840" w:type="dxa"/>
            <w:vAlign w:val="center"/>
          </w:tcPr>
          <w:p w14:paraId="26B0703F" w14:textId="77777777" w:rsidR="00727654" w:rsidRPr="00E11FFB" w:rsidRDefault="00727654" w:rsidP="00727654">
            <w:pPr>
              <w:rPr>
                <w:rFonts w:ascii="Avenir" w:eastAsia="Avenir" w:hAnsi="Avenir" w:cs="Avenir"/>
                <w:color w:val="000000"/>
                <w:sz w:val="16"/>
                <w:szCs w:val="16"/>
              </w:rPr>
            </w:pPr>
            <w:r w:rsidRPr="00E11FFB">
              <w:rPr>
                <w:rFonts w:ascii="Avenir" w:eastAsia="Avenir" w:hAnsi="Avenir" w:cs="Avenir"/>
                <w:color w:val="000000"/>
                <w:sz w:val="16"/>
                <w:szCs w:val="16"/>
              </w:rPr>
              <w:t>5.3</w:t>
            </w:r>
          </w:p>
        </w:tc>
        <w:tc>
          <w:tcPr>
            <w:tcW w:w="1767" w:type="dxa"/>
            <w:vAlign w:val="center"/>
          </w:tcPr>
          <w:p w14:paraId="59CEF34E" w14:textId="002CC72B" w:rsidR="00727654" w:rsidRPr="00E11FFB" w:rsidRDefault="00727654" w:rsidP="00727654">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518" w:type="dxa"/>
            <w:vAlign w:val="center"/>
          </w:tcPr>
          <w:p w14:paraId="7358F00B" w14:textId="0A821907" w:rsidR="00727654" w:rsidRPr="00E11FFB" w:rsidRDefault="00727654" w:rsidP="00727654">
            <w:pPr>
              <w:rPr>
                <w:rFonts w:ascii="Avenir" w:eastAsia="Avenir" w:hAnsi="Avenir" w:cs="Avenir"/>
                <w:color w:val="000000"/>
                <w:sz w:val="16"/>
                <w:szCs w:val="16"/>
              </w:rPr>
            </w:pPr>
            <w:r w:rsidRPr="00E11FFB">
              <w:rPr>
                <w:color w:val="000000"/>
                <w:sz w:val="16"/>
                <w:szCs w:val="16"/>
              </w:rPr>
              <w:t>1 draft Plan national des hydrocarbures</w:t>
            </w:r>
          </w:p>
          <w:p w14:paraId="35FDC7BD" w14:textId="77777777" w:rsidR="00727654" w:rsidRPr="00E11FFB" w:rsidRDefault="00727654" w:rsidP="00727654">
            <w:pPr>
              <w:rPr>
                <w:rFonts w:ascii="Avenir" w:eastAsia="Avenir" w:hAnsi="Avenir" w:cs="Avenir"/>
                <w:color w:val="000000"/>
                <w:sz w:val="16"/>
                <w:szCs w:val="16"/>
              </w:rPr>
            </w:pPr>
            <w:r w:rsidRPr="00E11FFB">
              <w:rPr>
                <w:sz w:val="16"/>
                <w:szCs w:val="16"/>
              </w:rPr>
              <w:t>1 Accompagnement du projet sur les normes des secteurs des mines</w:t>
            </w:r>
          </w:p>
        </w:tc>
        <w:tc>
          <w:tcPr>
            <w:tcW w:w="2275" w:type="dxa"/>
          </w:tcPr>
          <w:p w14:paraId="236D5A4A" w14:textId="77777777" w:rsidR="00727654" w:rsidRPr="00E11FFB" w:rsidRDefault="00845176" w:rsidP="00727654">
            <w:pPr>
              <w:rPr>
                <w:rFonts w:ascii="Avenir" w:eastAsia="Avenir" w:hAnsi="Avenir" w:cs="Avenir"/>
                <w:color w:val="000000"/>
                <w:sz w:val="16"/>
                <w:szCs w:val="16"/>
              </w:rPr>
            </w:pPr>
            <w:r w:rsidRPr="00E11FFB">
              <w:rPr>
                <w:rFonts w:ascii="Avenir" w:eastAsia="Avenir" w:hAnsi="Avenir" w:cs="Avenir"/>
                <w:color w:val="000000"/>
                <w:sz w:val="16"/>
                <w:szCs w:val="16"/>
              </w:rPr>
              <w:t xml:space="preserve">Réunions organisées avec la GIZ pour la coordination d’action dans l’élaboration du plan national d’hydrocarbures, une feuille de route produite pour le PNH </w:t>
            </w:r>
          </w:p>
          <w:p w14:paraId="63E46D4F" w14:textId="664C9F52" w:rsidR="00380258" w:rsidRPr="00E11FFB" w:rsidRDefault="00380258" w:rsidP="00727654">
            <w:pPr>
              <w:rPr>
                <w:rFonts w:ascii="Avenir" w:eastAsia="Avenir" w:hAnsi="Avenir" w:cs="Avenir"/>
                <w:color w:val="000000"/>
                <w:sz w:val="16"/>
                <w:szCs w:val="16"/>
              </w:rPr>
            </w:pPr>
            <w:r w:rsidRPr="00E11FFB">
              <w:rPr>
                <w:rFonts w:ascii="Avenir" w:eastAsia="Avenir" w:hAnsi="Avenir" w:cs="Avenir"/>
                <w:color w:val="000000"/>
                <w:sz w:val="16"/>
                <w:szCs w:val="16"/>
              </w:rPr>
              <w:t xml:space="preserve">1 Draft 0 du plan </w:t>
            </w:r>
          </w:p>
        </w:tc>
        <w:tc>
          <w:tcPr>
            <w:tcW w:w="1530" w:type="dxa"/>
          </w:tcPr>
          <w:p w14:paraId="4D424CC2" w14:textId="79A1FAA2" w:rsidR="00727654" w:rsidRPr="00E11FFB" w:rsidRDefault="00845176" w:rsidP="00727654">
            <w:pPr>
              <w:rPr>
                <w:b/>
                <w:bCs/>
                <w:sz w:val="16"/>
                <w:szCs w:val="16"/>
              </w:rPr>
            </w:pPr>
            <w:r w:rsidRPr="00E11FFB">
              <w:rPr>
                <w:b/>
                <w:bCs/>
                <w:sz w:val="16"/>
                <w:szCs w:val="16"/>
              </w:rPr>
              <w:t xml:space="preserve">En cours </w:t>
            </w:r>
          </w:p>
        </w:tc>
        <w:tc>
          <w:tcPr>
            <w:tcW w:w="2250" w:type="dxa"/>
          </w:tcPr>
          <w:p w14:paraId="055CD305" w14:textId="0DF82A50" w:rsidR="00727654" w:rsidRPr="00E11FFB" w:rsidRDefault="00845176" w:rsidP="00727654">
            <w:pPr>
              <w:rPr>
                <w:rFonts w:ascii="Avenir" w:eastAsia="Avenir" w:hAnsi="Avenir" w:cs="Avenir"/>
                <w:color w:val="000000"/>
                <w:sz w:val="16"/>
                <w:szCs w:val="16"/>
              </w:rPr>
            </w:pPr>
            <w:r w:rsidRPr="00E11FFB">
              <w:rPr>
                <w:rFonts w:ascii="Avenir" w:eastAsia="Avenir" w:hAnsi="Avenir" w:cs="Avenir"/>
                <w:color w:val="000000"/>
                <w:sz w:val="16"/>
                <w:szCs w:val="16"/>
              </w:rPr>
              <w:t>Elaboration</w:t>
            </w:r>
            <w:r w:rsidR="00380258" w:rsidRPr="00E11FFB">
              <w:rPr>
                <w:rFonts w:ascii="Avenir" w:eastAsia="Avenir" w:hAnsi="Avenir" w:cs="Avenir"/>
                <w:color w:val="000000"/>
                <w:sz w:val="16"/>
                <w:szCs w:val="16"/>
              </w:rPr>
              <w:t xml:space="preserve"> et validation</w:t>
            </w:r>
            <w:r w:rsidRPr="00E11FFB">
              <w:rPr>
                <w:rFonts w:ascii="Avenir" w:eastAsia="Avenir" w:hAnsi="Avenir" w:cs="Avenir"/>
                <w:color w:val="000000"/>
                <w:sz w:val="16"/>
                <w:szCs w:val="16"/>
              </w:rPr>
              <w:t xml:space="preserve"> du plan national d’hydrocarbures</w:t>
            </w:r>
          </w:p>
          <w:p w14:paraId="03879F3F" w14:textId="496C87A5" w:rsidR="00845176" w:rsidRPr="00E11FFB" w:rsidRDefault="00845176" w:rsidP="00727654">
            <w:pPr>
              <w:rPr>
                <w:rFonts w:ascii="Avenir" w:eastAsia="Avenir" w:hAnsi="Avenir" w:cs="Avenir"/>
                <w:color w:val="000000"/>
                <w:sz w:val="16"/>
                <w:szCs w:val="16"/>
              </w:rPr>
            </w:pPr>
            <w:r w:rsidRPr="00E11FFB">
              <w:rPr>
                <w:rFonts w:ascii="Avenir" w:eastAsia="Avenir" w:hAnsi="Avenir" w:cs="Avenir"/>
                <w:color w:val="000000"/>
                <w:sz w:val="16"/>
                <w:szCs w:val="16"/>
              </w:rPr>
              <w:t xml:space="preserve">Accompagnement du projet normes </w:t>
            </w:r>
          </w:p>
        </w:tc>
      </w:tr>
      <w:tr w:rsidR="0051736C" w:rsidRPr="00E11FFB" w14:paraId="4C77CF98" w14:textId="77777777" w:rsidTr="00845176">
        <w:trPr>
          <w:trHeight w:val="143"/>
          <w:jc w:val="center"/>
        </w:trPr>
        <w:tc>
          <w:tcPr>
            <w:tcW w:w="3665" w:type="dxa"/>
          </w:tcPr>
          <w:p w14:paraId="447BF404" w14:textId="1EBC1B82" w:rsidR="0051736C" w:rsidRPr="00E11FFB" w:rsidRDefault="0051736C" w:rsidP="0051736C">
            <w:pPr>
              <w:jc w:val="both"/>
              <w:rPr>
                <w:rFonts w:ascii="Avenir" w:eastAsia="Avenir" w:hAnsi="Avenir" w:cs="Avenir"/>
                <w:color w:val="000000"/>
                <w:sz w:val="16"/>
                <w:szCs w:val="16"/>
              </w:rPr>
            </w:pPr>
            <w:r w:rsidRPr="00E11FFB">
              <w:rPr>
                <w:sz w:val="16"/>
                <w:szCs w:val="16"/>
              </w:rPr>
              <w:t>5.4.1 : Appuyer la Task-Force de pilotage de l'atteinte du processus de réalisation des jalons de LOI</w:t>
            </w:r>
          </w:p>
        </w:tc>
        <w:tc>
          <w:tcPr>
            <w:tcW w:w="840" w:type="dxa"/>
            <w:vMerge w:val="restart"/>
            <w:vAlign w:val="center"/>
          </w:tcPr>
          <w:p w14:paraId="624D0B3A" w14:textId="77777777" w:rsidR="0051736C" w:rsidRPr="00E11FFB" w:rsidRDefault="0051736C" w:rsidP="0051736C">
            <w:pPr>
              <w:rPr>
                <w:rFonts w:ascii="Avenir" w:eastAsia="Avenir" w:hAnsi="Avenir" w:cs="Avenir"/>
                <w:color w:val="000000"/>
                <w:sz w:val="16"/>
                <w:szCs w:val="16"/>
              </w:rPr>
            </w:pPr>
            <w:r w:rsidRPr="00E11FFB">
              <w:rPr>
                <w:rFonts w:ascii="Avenir" w:eastAsia="Avenir" w:hAnsi="Avenir" w:cs="Avenir"/>
                <w:color w:val="000000"/>
                <w:sz w:val="16"/>
                <w:szCs w:val="16"/>
              </w:rPr>
              <w:t>5.4</w:t>
            </w:r>
          </w:p>
        </w:tc>
        <w:tc>
          <w:tcPr>
            <w:tcW w:w="1767" w:type="dxa"/>
            <w:vAlign w:val="center"/>
          </w:tcPr>
          <w:p w14:paraId="40B49EBD" w14:textId="5D7C742F" w:rsidR="0051736C" w:rsidRPr="00E11FFB" w:rsidRDefault="0051736C" w:rsidP="0051736C">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518" w:type="dxa"/>
            <w:vAlign w:val="center"/>
          </w:tcPr>
          <w:p w14:paraId="6C3A9D5D" w14:textId="77777777" w:rsidR="0051736C" w:rsidRPr="00E11FFB" w:rsidRDefault="0051736C" w:rsidP="0051736C">
            <w:pPr>
              <w:rPr>
                <w:rFonts w:ascii="Avenir" w:eastAsia="Avenir" w:hAnsi="Avenir" w:cs="Avenir"/>
                <w:b/>
                <w:color w:val="000000"/>
                <w:sz w:val="16"/>
                <w:szCs w:val="16"/>
              </w:rPr>
            </w:pPr>
            <w:r w:rsidRPr="00E11FFB">
              <w:rPr>
                <w:color w:val="000000"/>
                <w:sz w:val="16"/>
                <w:szCs w:val="16"/>
              </w:rPr>
              <w:t>Rapport d’activité</w:t>
            </w:r>
          </w:p>
        </w:tc>
        <w:tc>
          <w:tcPr>
            <w:tcW w:w="2275" w:type="dxa"/>
          </w:tcPr>
          <w:p w14:paraId="1FB3D76C" w14:textId="1CF830B9" w:rsidR="0051736C" w:rsidRPr="00E11FFB" w:rsidRDefault="0051736C" w:rsidP="0051736C">
            <w:pPr>
              <w:rPr>
                <w:rFonts w:ascii="Avenir" w:eastAsia="Avenir" w:hAnsi="Avenir" w:cs="Avenir"/>
                <w:b/>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1530" w:type="dxa"/>
          </w:tcPr>
          <w:p w14:paraId="515C0D98" w14:textId="43CCF001" w:rsidR="0051736C" w:rsidRPr="00E11FFB" w:rsidRDefault="0051736C" w:rsidP="0051736C">
            <w:pPr>
              <w:rPr>
                <w:rFonts w:ascii="Avenir" w:eastAsia="Avenir" w:hAnsi="Avenir" w:cs="Avenir"/>
                <w:color w:val="000000"/>
                <w:sz w:val="16"/>
                <w:szCs w:val="16"/>
              </w:rPr>
            </w:pPr>
            <w:r w:rsidRPr="00E11FFB">
              <w:rPr>
                <w:b/>
                <w:bCs/>
                <w:sz w:val="16"/>
                <w:szCs w:val="16"/>
              </w:rPr>
              <w:t>Atteint</w:t>
            </w:r>
          </w:p>
        </w:tc>
        <w:tc>
          <w:tcPr>
            <w:tcW w:w="2250" w:type="dxa"/>
          </w:tcPr>
          <w:p w14:paraId="5382655F" w14:textId="28202F4E" w:rsidR="0051736C" w:rsidRPr="00E11FFB" w:rsidRDefault="0051736C" w:rsidP="0051736C">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51736C" w:rsidRPr="00E11FFB" w14:paraId="77819B4B" w14:textId="77777777" w:rsidTr="00845176">
        <w:trPr>
          <w:trHeight w:val="143"/>
          <w:jc w:val="center"/>
        </w:trPr>
        <w:tc>
          <w:tcPr>
            <w:tcW w:w="3665" w:type="dxa"/>
          </w:tcPr>
          <w:p w14:paraId="2B63CB25" w14:textId="6A5CF040" w:rsidR="0051736C" w:rsidRPr="00E11FFB" w:rsidRDefault="0051736C" w:rsidP="0051736C">
            <w:pPr>
              <w:rPr>
                <w:rFonts w:ascii="Avenir" w:eastAsia="Avenir" w:hAnsi="Avenir" w:cs="Avenir"/>
                <w:color w:val="000000"/>
                <w:sz w:val="16"/>
                <w:szCs w:val="16"/>
              </w:rPr>
            </w:pPr>
            <w:r w:rsidRPr="00E11FFB">
              <w:rPr>
                <w:sz w:val="16"/>
                <w:szCs w:val="16"/>
              </w:rPr>
              <w:t>5.4.2 : Appuyer le fonctionnement et la logistique de la Task-Force d'appui à la réalisation des jalons du ministère des Hydrocarbures.</w:t>
            </w:r>
          </w:p>
        </w:tc>
        <w:tc>
          <w:tcPr>
            <w:tcW w:w="840" w:type="dxa"/>
            <w:vMerge/>
            <w:vAlign w:val="center"/>
          </w:tcPr>
          <w:p w14:paraId="2E750483" w14:textId="77777777" w:rsidR="0051736C" w:rsidRPr="00E11FFB" w:rsidRDefault="0051736C" w:rsidP="0051736C">
            <w:pPr>
              <w:rPr>
                <w:rFonts w:ascii="Avenir" w:eastAsia="Avenir" w:hAnsi="Avenir" w:cs="Avenir"/>
                <w:color w:val="000000"/>
                <w:sz w:val="16"/>
                <w:szCs w:val="16"/>
              </w:rPr>
            </w:pPr>
          </w:p>
        </w:tc>
        <w:tc>
          <w:tcPr>
            <w:tcW w:w="1767" w:type="dxa"/>
            <w:vAlign w:val="center"/>
          </w:tcPr>
          <w:p w14:paraId="5A3AE6A9" w14:textId="59BE8147" w:rsidR="0051736C" w:rsidRPr="00E11FFB" w:rsidRDefault="0051736C" w:rsidP="0051736C">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518" w:type="dxa"/>
            <w:vAlign w:val="center"/>
          </w:tcPr>
          <w:p w14:paraId="20AFCFC4" w14:textId="2B43DAA6" w:rsidR="0051736C" w:rsidRPr="00E11FFB" w:rsidRDefault="0051736C" w:rsidP="0051736C">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équipement et formation </w:t>
            </w:r>
          </w:p>
          <w:p w14:paraId="13C25B09" w14:textId="77777777" w:rsidR="0051736C" w:rsidRPr="00E11FFB" w:rsidRDefault="0051736C" w:rsidP="0051736C">
            <w:pPr>
              <w:rPr>
                <w:rFonts w:ascii="Avenir" w:eastAsia="Avenir" w:hAnsi="Avenir" w:cs="Avenir"/>
                <w:bCs/>
                <w:color w:val="000000"/>
                <w:sz w:val="16"/>
                <w:szCs w:val="16"/>
              </w:rPr>
            </w:pPr>
            <w:r w:rsidRPr="00E11FFB">
              <w:rPr>
                <w:bCs/>
                <w:color w:val="000000"/>
                <w:sz w:val="16"/>
                <w:szCs w:val="16"/>
              </w:rPr>
              <w:t>Fourniture de bureau et consommables</w:t>
            </w:r>
          </w:p>
          <w:p w14:paraId="222B3107" w14:textId="77777777" w:rsidR="0051736C" w:rsidRPr="00E11FFB" w:rsidRDefault="0051736C" w:rsidP="0051736C">
            <w:pPr>
              <w:rPr>
                <w:rFonts w:ascii="Avenir" w:eastAsia="Avenir" w:hAnsi="Avenir" w:cs="Avenir"/>
                <w:b/>
                <w:color w:val="000000"/>
                <w:sz w:val="16"/>
                <w:szCs w:val="16"/>
              </w:rPr>
            </w:pPr>
            <w:r w:rsidRPr="00E11FFB">
              <w:rPr>
                <w:bCs/>
                <w:color w:val="000000"/>
                <w:sz w:val="16"/>
                <w:szCs w:val="16"/>
              </w:rPr>
              <w:t>1 véhicule</w:t>
            </w:r>
          </w:p>
        </w:tc>
        <w:tc>
          <w:tcPr>
            <w:tcW w:w="2275" w:type="dxa"/>
          </w:tcPr>
          <w:p w14:paraId="6E049B54" w14:textId="75C38E1D" w:rsidR="0051736C" w:rsidRPr="00E11FFB" w:rsidRDefault="0051736C" w:rsidP="0051736C">
            <w:pPr>
              <w:rPr>
                <w:rFonts w:ascii="Avenir" w:eastAsia="Avenir" w:hAnsi="Avenir" w:cs="Avenir"/>
                <w:b/>
                <w:color w:val="000000"/>
                <w:sz w:val="16"/>
                <w:szCs w:val="16"/>
              </w:rPr>
            </w:pPr>
            <w:r w:rsidRPr="00E11FFB">
              <w:rPr>
                <w:rFonts w:ascii="Avenir" w:eastAsia="Avenir" w:hAnsi="Avenir" w:cs="Avenir"/>
                <w:bCs/>
                <w:color w:val="000000"/>
                <w:sz w:val="16"/>
                <w:szCs w:val="16"/>
              </w:rPr>
              <w:t>Membres de la taskforce équipé et formé</w:t>
            </w:r>
          </w:p>
        </w:tc>
        <w:tc>
          <w:tcPr>
            <w:tcW w:w="1530" w:type="dxa"/>
          </w:tcPr>
          <w:p w14:paraId="41C7D1CA" w14:textId="6A2FD303" w:rsidR="0051736C" w:rsidRPr="00E11FFB" w:rsidRDefault="0051736C" w:rsidP="0051736C">
            <w:pPr>
              <w:rPr>
                <w:color w:val="808080"/>
                <w:sz w:val="16"/>
                <w:szCs w:val="16"/>
              </w:rPr>
            </w:pPr>
            <w:r w:rsidRPr="00E11FFB">
              <w:rPr>
                <w:b/>
                <w:bCs/>
                <w:sz w:val="16"/>
                <w:szCs w:val="16"/>
              </w:rPr>
              <w:t xml:space="preserve">Atteint </w:t>
            </w:r>
          </w:p>
        </w:tc>
        <w:tc>
          <w:tcPr>
            <w:tcW w:w="2250" w:type="dxa"/>
          </w:tcPr>
          <w:p w14:paraId="29C7F7FE" w14:textId="47BF0A42" w:rsidR="0051736C" w:rsidRPr="00E11FFB" w:rsidRDefault="0051736C" w:rsidP="0051736C">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51736C" w:rsidRPr="00E11FFB" w14:paraId="570A367B" w14:textId="77777777" w:rsidTr="00845176">
        <w:trPr>
          <w:trHeight w:val="50"/>
          <w:jc w:val="center"/>
        </w:trPr>
        <w:tc>
          <w:tcPr>
            <w:tcW w:w="3665" w:type="dxa"/>
          </w:tcPr>
          <w:p w14:paraId="422F8C26" w14:textId="49A77307" w:rsidR="0051736C" w:rsidRPr="00E11FFB" w:rsidRDefault="0051736C" w:rsidP="0051736C">
            <w:pPr>
              <w:rPr>
                <w:rFonts w:ascii="Avenir" w:eastAsia="Avenir" w:hAnsi="Avenir" w:cs="Avenir"/>
                <w:color w:val="000000"/>
                <w:sz w:val="16"/>
                <w:szCs w:val="16"/>
              </w:rPr>
            </w:pPr>
            <w:r w:rsidRPr="00E11FFB">
              <w:rPr>
                <w:sz w:val="16"/>
                <w:szCs w:val="16"/>
              </w:rPr>
              <w:t>5.4.3 :  Appuyer les DANTIC du ministère des Hydrocarbures</w:t>
            </w:r>
          </w:p>
        </w:tc>
        <w:tc>
          <w:tcPr>
            <w:tcW w:w="840" w:type="dxa"/>
            <w:vMerge/>
            <w:vAlign w:val="center"/>
          </w:tcPr>
          <w:p w14:paraId="35206A0B" w14:textId="77777777" w:rsidR="0051736C" w:rsidRPr="00E11FFB" w:rsidRDefault="0051736C" w:rsidP="0051736C">
            <w:pPr>
              <w:rPr>
                <w:rFonts w:ascii="Avenir" w:eastAsia="Avenir" w:hAnsi="Avenir" w:cs="Avenir"/>
                <w:color w:val="000000"/>
                <w:sz w:val="16"/>
                <w:szCs w:val="16"/>
              </w:rPr>
            </w:pPr>
          </w:p>
        </w:tc>
        <w:tc>
          <w:tcPr>
            <w:tcW w:w="1767" w:type="dxa"/>
            <w:vAlign w:val="center"/>
          </w:tcPr>
          <w:p w14:paraId="3790F27A" w14:textId="2134E3AC" w:rsidR="0051736C" w:rsidRPr="00E11FFB" w:rsidRDefault="0051736C" w:rsidP="0051736C">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518" w:type="dxa"/>
            <w:vAlign w:val="center"/>
          </w:tcPr>
          <w:p w14:paraId="4EB2FAED" w14:textId="2DD12AE8" w:rsidR="0051736C" w:rsidRPr="00E11FFB" w:rsidRDefault="0051736C" w:rsidP="0051736C">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page d’accueil et le Site web du ministère mis à jour </w:t>
            </w:r>
          </w:p>
          <w:p w14:paraId="43513050" w14:textId="77777777" w:rsidR="0051736C" w:rsidRPr="00E11FFB" w:rsidRDefault="0051736C" w:rsidP="0051736C">
            <w:pPr>
              <w:rPr>
                <w:rFonts w:ascii="Avenir" w:eastAsia="Avenir" w:hAnsi="Avenir" w:cs="Avenir"/>
                <w:b/>
                <w:color w:val="000000"/>
                <w:sz w:val="16"/>
                <w:szCs w:val="16"/>
              </w:rPr>
            </w:pPr>
            <w:r w:rsidRPr="00E11FFB">
              <w:rPr>
                <w:rFonts w:ascii="Avenir" w:eastAsia="Avenir" w:hAnsi="Avenir" w:cs="Avenir"/>
                <w:bCs/>
                <w:color w:val="000000"/>
                <w:sz w:val="16"/>
                <w:szCs w:val="16"/>
              </w:rPr>
              <w:t>Rapport d’activité</w:t>
            </w:r>
          </w:p>
        </w:tc>
        <w:tc>
          <w:tcPr>
            <w:tcW w:w="2275" w:type="dxa"/>
          </w:tcPr>
          <w:p w14:paraId="1CB73B37" w14:textId="350FD03A" w:rsidR="0051736C" w:rsidRPr="00E11FFB" w:rsidRDefault="00430AEF" w:rsidP="0051736C">
            <w:pPr>
              <w:rPr>
                <w:rFonts w:ascii="Avenir" w:eastAsia="Avenir" w:hAnsi="Avenir" w:cs="Avenir"/>
                <w:b/>
                <w:color w:val="000000"/>
                <w:sz w:val="16"/>
                <w:szCs w:val="16"/>
              </w:rPr>
            </w:pPr>
            <w:r w:rsidRPr="00E11FFB">
              <w:rPr>
                <w:rFonts w:ascii="Avenir" w:eastAsia="Avenir" w:hAnsi="Avenir" w:cs="Avenir"/>
                <w:bCs/>
                <w:color w:val="000000"/>
                <w:sz w:val="16"/>
                <w:szCs w:val="16"/>
              </w:rPr>
              <w:t xml:space="preserve">1 </w:t>
            </w:r>
            <w:r w:rsidR="0051736C" w:rsidRPr="00E11FFB">
              <w:rPr>
                <w:rFonts w:ascii="Avenir" w:eastAsia="Avenir" w:hAnsi="Avenir" w:cs="Avenir"/>
                <w:bCs/>
                <w:color w:val="000000"/>
                <w:sz w:val="16"/>
                <w:szCs w:val="16"/>
              </w:rPr>
              <w:t>Site en cours de structuration</w:t>
            </w:r>
          </w:p>
        </w:tc>
        <w:tc>
          <w:tcPr>
            <w:tcW w:w="1530" w:type="dxa"/>
          </w:tcPr>
          <w:p w14:paraId="3C6771C4" w14:textId="27620C29" w:rsidR="0051736C" w:rsidRPr="00E11FFB" w:rsidRDefault="0051736C" w:rsidP="0051736C">
            <w:pPr>
              <w:rPr>
                <w:color w:val="808080"/>
                <w:sz w:val="16"/>
                <w:szCs w:val="16"/>
              </w:rPr>
            </w:pPr>
            <w:r w:rsidRPr="00E11FFB">
              <w:rPr>
                <w:b/>
                <w:bCs/>
                <w:sz w:val="16"/>
                <w:szCs w:val="16"/>
              </w:rPr>
              <w:t xml:space="preserve">Atteint </w:t>
            </w:r>
          </w:p>
        </w:tc>
        <w:tc>
          <w:tcPr>
            <w:tcW w:w="2250" w:type="dxa"/>
          </w:tcPr>
          <w:p w14:paraId="67843C4D" w14:textId="77794BAB" w:rsidR="0051736C" w:rsidRPr="00E11FFB" w:rsidRDefault="0051736C" w:rsidP="0051736C">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tbl>
    <w:p w14:paraId="464278F8" w14:textId="77777777" w:rsidR="00727654" w:rsidRPr="00E11FFB" w:rsidRDefault="00727654" w:rsidP="00B669B6">
      <w:pPr>
        <w:rPr>
          <w:rFonts w:ascii="Avenir" w:eastAsia="Avenir" w:hAnsi="Avenir" w:cs="Avenir"/>
          <w:sz w:val="21"/>
          <w:szCs w:val="21"/>
        </w:rPr>
      </w:pPr>
    </w:p>
    <w:p w14:paraId="11A3F57B" w14:textId="3E27E941" w:rsidR="00B669B6" w:rsidRPr="006D79E9" w:rsidRDefault="00E82414" w:rsidP="006D79E9">
      <w:pPr>
        <w:spacing w:before="240" w:after="5" w:line="276" w:lineRule="auto"/>
        <w:ind w:left="20" w:right="28" w:hanging="10"/>
        <w:jc w:val="both"/>
        <w:rPr>
          <w:rFonts w:ascii="Avenir" w:eastAsia="Avenir" w:hAnsi="Avenir" w:cs="Avenir"/>
          <w:color w:val="000000"/>
        </w:rPr>
      </w:pPr>
      <w:r>
        <w:rPr>
          <w:rFonts w:ascii="Avenir" w:eastAsia="Avenir" w:hAnsi="Avenir" w:cs="Avenir"/>
          <w:color w:val="000000"/>
        </w:rPr>
        <w:t xml:space="preserve">PTBA 2025 </w:t>
      </w:r>
      <w:r w:rsidR="00B669B6" w:rsidRPr="006D79E9">
        <w:rPr>
          <w:rFonts w:ascii="Avenir" w:eastAsia="Avenir" w:hAnsi="Avenir" w:cs="Avenir"/>
          <w:color w:val="000000"/>
        </w:rPr>
        <w:t>ITIE</w:t>
      </w:r>
    </w:p>
    <w:tbl>
      <w:tblPr>
        <w:tblW w:w="146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8"/>
        <w:gridCol w:w="798"/>
        <w:gridCol w:w="1679"/>
        <w:gridCol w:w="2400"/>
        <w:gridCol w:w="2525"/>
        <w:gridCol w:w="1620"/>
        <w:gridCol w:w="1890"/>
      </w:tblGrid>
      <w:tr w:rsidR="00B669B6" w:rsidRPr="00E11FFB" w14:paraId="291A693E" w14:textId="77777777" w:rsidTr="0041599C">
        <w:trPr>
          <w:trHeight w:val="765"/>
          <w:tblHeader/>
          <w:jc w:val="center"/>
        </w:trPr>
        <w:tc>
          <w:tcPr>
            <w:tcW w:w="3758" w:type="dxa"/>
            <w:shd w:val="clear" w:color="auto" w:fill="A9D5E7"/>
          </w:tcPr>
          <w:p w14:paraId="5A0D3A16" w14:textId="77777777" w:rsidR="00B669B6" w:rsidRPr="00E11FFB" w:rsidRDefault="00B669B6" w:rsidP="003A6DE1">
            <w:pPr>
              <w:rPr>
                <w:rFonts w:ascii="Avenir" w:eastAsia="Avenir" w:hAnsi="Avenir" w:cs="Avenir"/>
                <w:b/>
                <w:color w:val="000000"/>
                <w:sz w:val="16"/>
                <w:szCs w:val="16"/>
              </w:rPr>
            </w:pPr>
            <w:bookmarkStart w:id="15" w:name="_Hlk219451009"/>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798" w:type="dxa"/>
            <w:shd w:val="clear" w:color="auto" w:fill="A9D5E7"/>
          </w:tcPr>
          <w:p w14:paraId="487A45FE"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33"/>
            </w:r>
            <w:r w:rsidRPr="00E11FFB">
              <w:rPr>
                <w:rFonts w:ascii="Avenir" w:eastAsia="Avenir" w:hAnsi="Avenir" w:cs="Avenir"/>
                <w:b/>
                <w:color w:val="000000"/>
                <w:sz w:val="16"/>
                <w:szCs w:val="16"/>
              </w:rPr>
              <w:t xml:space="preserve"> (ex. 1.1)</w:t>
            </w:r>
          </w:p>
        </w:tc>
        <w:tc>
          <w:tcPr>
            <w:tcW w:w="1679" w:type="dxa"/>
            <w:shd w:val="clear" w:color="auto" w:fill="A9D5E7"/>
          </w:tcPr>
          <w:p w14:paraId="15DBFF9C"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34"/>
            </w:r>
          </w:p>
        </w:tc>
        <w:tc>
          <w:tcPr>
            <w:tcW w:w="2400" w:type="dxa"/>
            <w:shd w:val="clear" w:color="auto" w:fill="A9D5E7"/>
          </w:tcPr>
          <w:p w14:paraId="33E9D173"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2525" w:type="dxa"/>
            <w:shd w:val="clear" w:color="auto" w:fill="A9D5E7"/>
          </w:tcPr>
          <w:p w14:paraId="2C14F116"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1620" w:type="dxa"/>
            <w:shd w:val="clear" w:color="auto" w:fill="A9D5E7"/>
          </w:tcPr>
          <w:p w14:paraId="3A719755"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1890" w:type="dxa"/>
            <w:shd w:val="clear" w:color="auto" w:fill="A9D5E7"/>
          </w:tcPr>
          <w:p w14:paraId="32C77684"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FF0D96" w:rsidRPr="00E11FFB" w14:paraId="64CA747A" w14:textId="77777777" w:rsidTr="006D79E9">
        <w:trPr>
          <w:trHeight w:val="1732"/>
          <w:jc w:val="center"/>
        </w:trPr>
        <w:tc>
          <w:tcPr>
            <w:tcW w:w="3758" w:type="dxa"/>
          </w:tcPr>
          <w:p w14:paraId="75442758" w14:textId="6139A537" w:rsidR="00FF0D96" w:rsidRPr="00E11FFB" w:rsidRDefault="00FF0D96" w:rsidP="00FF0D96">
            <w:pPr>
              <w:rPr>
                <w:rFonts w:ascii="Avenir" w:eastAsia="Avenir" w:hAnsi="Avenir" w:cs="Avenir"/>
                <w:color w:val="000000"/>
                <w:sz w:val="16"/>
                <w:szCs w:val="16"/>
              </w:rPr>
            </w:pPr>
            <w:r w:rsidRPr="00E11FFB">
              <w:rPr>
                <w:sz w:val="16"/>
                <w:szCs w:val="16"/>
              </w:rPr>
              <w:t>6.1.1 : Sensibiliser et renforcer les capacités des acteurs aux problématiques liées à l’exploitation forestière pour son intégration à l’ITIE (activité n° 32 du PTT 2024-2026).</w:t>
            </w:r>
          </w:p>
        </w:tc>
        <w:tc>
          <w:tcPr>
            <w:tcW w:w="798" w:type="dxa"/>
            <w:vMerge w:val="restart"/>
            <w:vAlign w:val="center"/>
          </w:tcPr>
          <w:p w14:paraId="52A6412C" w14:textId="77777777" w:rsidR="00FF0D96" w:rsidRPr="00E11FFB" w:rsidRDefault="00FF0D96" w:rsidP="00FF0D96">
            <w:pPr>
              <w:rPr>
                <w:rFonts w:ascii="Avenir" w:eastAsia="Avenir" w:hAnsi="Avenir" w:cs="Avenir"/>
                <w:color w:val="000000"/>
                <w:sz w:val="16"/>
                <w:szCs w:val="16"/>
              </w:rPr>
            </w:pPr>
            <w:r w:rsidRPr="00E11FFB">
              <w:rPr>
                <w:rFonts w:ascii="Avenir" w:eastAsia="Avenir" w:hAnsi="Avenir" w:cs="Avenir"/>
                <w:color w:val="000000"/>
                <w:sz w:val="16"/>
                <w:szCs w:val="16"/>
              </w:rPr>
              <w:t xml:space="preserve">      </w:t>
            </w:r>
          </w:p>
          <w:p w14:paraId="4F1F0588" w14:textId="77777777" w:rsidR="00FF0D96" w:rsidRPr="00E11FFB" w:rsidRDefault="00FF0D96" w:rsidP="00FF0D96">
            <w:pPr>
              <w:rPr>
                <w:rFonts w:ascii="Avenir" w:eastAsia="Avenir" w:hAnsi="Avenir" w:cs="Avenir"/>
                <w:color w:val="000000"/>
                <w:sz w:val="16"/>
                <w:szCs w:val="16"/>
              </w:rPr>
            </w:pPr>
          </w:p>
          <w:p w14:paraId="7424165C" w14:textId="77777777" w:rsidR="00FF0D96" w:rsidRPr="00E11FFB" w:rsidRDefault="00FF0D96" w:rsidP="00FF0D96">
            <w:pPr>
              <w:rPr>
                <w:rFonts w:ascii="Avenir" w:eastAsia="Avenir" w:hAnsi="Avenir" w:cs="Avenir"/>
                <w:color w:val="000000"/>
                <w:sz w:val="16"/>
                <w:szCs w:val="16"/>
              </w:rPr>
            </w:pPr>
          </w:p>
          <w:p w14:paraId="277AAD1A" w14:textId="77777777" w:rsidR="00FF0D96" w:rsidRPr="00E11FFB" w:rsidRDefault="00FF0D96" w:rsidP="00FF0D96">
            <w:pPr>
              <w:rPr>
                <w:rFonts w:ascii="Avenir" w:eastAsia="Avenir" w:hAnsi="Avenir" w:cs="Avenir"/>
                <w:color w:val="000000"/>
                <w:sz w:val="16"/>
                <w:szCs w:val="16"/>
              </w:rPr>
            </w:pPr>
          </w:p>
          <w:p w14:paraId="284F84A8" w14:textId="77777777" w:rsidR="00FF0D96" w:rsidRPr="00E11FFB" w:rsidRDefault="00FF0D96" w:rsidP="00FF0D96">
            <w:pPr>
              <w:rPr>
                <w:rFonts w:ascii="Avenir" w:eastAsia="Avenir" w:hAnsi="Avenir" w:cs="Avenir"/>
                <w:color w:val="000000"/>
                <w:sz w:val="16"/>
                <w:szCs w:val="16"/>
              </w:rPr>
            </w:pPr>
          </w:p>
          <w:p w14:paraId="0DA0DC14" w14:textId="77777777" w:rsidR="00FF0D96" w:rsidRPr="00E11FFB" w:rsidRDefault="00FF0D96" w:rsidP="00FF0D96">
            <w:pPr>
              <w:rPr>
                <w:rFonts w:ascii="Avenir" w:eastAsia="Avenir" w:hAnsi="Avenir" w:cs="Avenir"/>
                <w:color w:val="000000"/>
                <w:sz w:val="16"/>
                <w:szCs w:val="16"/>
              </w:rPr>
            </w:pPr>
          </w:p>
          <w:p w14:paraId="6F27A3D5" w14:textId="77777777" w:rsidR="00FF0D96" w:rsidRPr="00E11FFB" w:rsidRDefault="00FF0D96" w:rsidP="00FF0D96">
            <w:pPr>
              <w:rPr>
                <w:rFonts w:ascii="Avenir" w:eastAsia="Avenir" w:hAnsi="Avenir" w:cs="Avenir"/>
                <w:color w:val="000000"/>
                <w:sz w:val="16"/>
                <w:szCs w:val="16"/>
              </w:rPr>
            </w:pPr>
          </w:p>
          <w:p w14:paraId="5EC527E6" w14:textId="77777777" w:rsidR="00FF0D96" w:rsidRPr="00E11FFB" w:rsidRDefault="00FF0D96" w:rsidP="00FF0D96">
            <w:pPr>
              <w:rPr>
                <w:rFonts w:ascii="Avenir" w:eastAsia="Avenir" w:hAnsi="Avenir" w:cs="Avenir"/>
                <w:color w:val="000000"/>
                <w:sz w:val="16"/>
                <w:szCs w:val="16"/>
              </w:rPr>
            </w:pPr>
          </w:p>
          <w:p w14:paraId="4C9896C5" w14:textId="77777777" w:rsidR="00FF0D96" w:rsidRPr="00E11FFB" w:rsidRDefault="00FF0D96" w:rsidP="00FF0D96">
            <w:pPr>
              <w:rPr>
                <w:rFonts w:ascii="Avenir" w:eastAsia="Avenir" w:hAnsi="Avenir" w:cs="Avenir"/>
                <w:color w:val="000000"/>
                <w:sz w:val="16"/>
                <w:szCs w:val="16"/>
              </w:rPr>
            </w:pPr>
            <w:r w:rsidRPr="00E11FFB">
              <w:rPr>
                <w:rFonts w:ascii="Avenir" w:eastAsia="Avenir" w:hAnsi="Avenir" w:cs="Avenir"/>
                <w:color w:val="000000"/>
                <w:sz w:val="16"/>
                <w:szCs w:val="16"/>
              </w:rPr>
              <w:t xml:space="preserve">6.1 </w:t>
            </w:r>
          </w:p>
        </w:tc>
        <w:tc>
          <w:tcPr>
            <w:tcW w:w="1679" w:type="dxa"/>
            <w:vAlign w:val="center"/>
          </w:tcPr>
          <w:p w14:paraId="14DCD2D8" w14:textId="629CC567" w:rsidR="00FF0D96" w:rsidRPr="00E11FFB" w:rsidRDefault="00FF0D96" w:rsidP="00FF0D96">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400" w:type="dxa"/>
            <w:vAlign w:val="center"/>
          </w:tcPr>
          <w:p w14:paraId="769162AF" w14:textId="77777777" w:rsidR="00FF0D96" w:rsidRPr="00E11FFB" w:rsidRDefault="00FF0D96" w:rsidP="00FF0D96">
            <w:pPr>
              <w:rPr>
                <w:rFonts w:ascii="Avenir" w:eastAsia="Avenir" w:hAnsi="Avenir" w:cs="Avenir"/>
                <w:color w:val="000000"/>
                <w:sz w:val="16"/>
                <w:szCs w:val="16"/>
              </w:rPr>
            </w:pPr>
            <w:r w:rsidRPr="00E11FFB">
              <w:rPr>
                <w:sz w:val="16"/>
                <w:szCs w:val="16"/>
              </w:rPr>
              <w:t>60 % de délégués forêt qui participent à l'ITIE</w:t>
            </w:r>
          </w:p>
        </w:tc>
        <w:tc>
          <w:tcPr>
            <w:tcW w:w="2525" w:type="dxa"/>
          </w:tcPr>
          <w:p w14:paraId="676BF385" w14:textId="4924D89D" w:rsidR="00E47673" w:rsidRPr="00E11FFB" w:rsidRDefault="00A85717" w:rsidP="00E47673">
            <w:pPr>
              <w:rPr>
                <w:rFonts w:ascii="Avenir" w:eastAsia="Avenir" w:hAnsi="Avenir" w:cs="Avenir"/>
                <w:color w:val="000000"/>
                <w:sz w:val="16"/>
                <w:szCs w:val="16"/>
              </w:rPr>
            </w:pPr>
            <w:r w:rsidRPr="00E11FFB">
              <w:rPr>
                <w:rFonts w:ascii="Avenir" w:eastAsia="Avenir" w:hAnsi="Avenir" w:cs="Avenir"/>
                <w:color w:val="000000"/>
                <w:sz w:val="16"/>
                <w:szCs w:val="16"/>
              </w:rPr>
              <w:t>Sensibilisation</w:t>
            </w:r>
            <w:r w:rsidR="00B73113" w:rsidRPr="00E11FFB">
              <w:rPr>
                <w:rFonts w:ascii="Avenir" w:eastAsia="Avenir" w:hAnsi="Avenir" w:cs="Avenir"/>
                <w:color w:val="000000"/>
                <w:sz w:val="16"/>
                <w:szCs w:val="16"/>
              </w:rPr>
              <w:t xml:space="preserve"> </w:t>
            </w:r>
            <w:r w:rsidRPr="00E11FFB">
              <w:rPr>
                <w:rFonts w:ascii="Avenir" w:eastAsia="Avenir" w:hAnsi="Avenir" w:cs="Avenir"/>
                <w:color w:val="000000"/>
                <w:sz w:val="16"/>
                <w:szCs w:val="16"/>
              </w:rPr>
              <w:t xml:space="preserve">dans huit provinces </w:t>
            </w:r>
            <w:r w:rsidR="00B73113" w:rsidRPr="00E11FFB">
              <w:rPr>
                <w:rFonts w:ascii="Avenir" w:eastAsia="Avenir" w:hAnsi="Avenir" w:cs="Avenir"/>
                <w:color w:val="000000"/>
                <w:sz w:val="16"/>
                <w:szCs w:val="16"/>
              </w:rPr>
              <w:t xml:space="preserve">sur la norme ITIE sur les problématiques liées à </w:t>
            </w:r>
            <w:r w:rsidR="00E47673" w:rsidRPr="00E11FFB">
              <w:rPr>
                <w:rFonts w:ascii="Avenir" w:eastAsia="Avenir" w:hAnsi="Avenir" w:cs="Avenir"/>
                <w:color w:val="000000"/>
                <w:sz w:val="16"/>
                <w:szCs w:val="16"/>
              </w:rPr>
              <w:t xml:space="preserve">intégration de ITIE dans </w:t>
            </w:r>
            <w:r w:rsidR="00B73113" w:rsidRPr="00E11FFB">
              <w:rPr>
                <w:rFonts w:ascii="Avenir" w:eastAsia="Avenir" w:hAnsi="Avenir" w:cs="Avenir"/>
                <w:color w:val="000000"/>
                <w:sz w:val="16"/>
                <w:szCs w:val="16"/>
              </w:rPr>
              <w:t>l’exploitation forestière ; sensibilisation sur le code forestier et ses mesures d’application</w:t>
            </w:r>
            <w:r w:rsidR="00E47673" w:rsidRPr="00E11FFB">
              <w:rPr>
                <w:rFonts w:ascii="Avenir" w:eastAsia="Avenir" w:hAnsi="Avenir" w:cs="Avenir"/>
                <w:color w:val="000000"/>
                <w:sz w:val="16"/>
                <w:szCs w:val="16"/>
              </w:rPr>
              <w:t> ; (exploitants, société civile, étatique</w:t>
            </w:r>
            <w:r w:rsidR="000A3DA0" w:rsidRPr="00E11FFB">
              <w:rPr>
                <w:rFonts w:ascii="Avenir" w:eastAsia="Avenir" w:hAnsi="Avenir" w:cs="Avenir"/>
                <w:color w:val="000000"/>
                <w:sz w:val="16"/>
                <w:szCs w:val="16"/>
              </w:rPr>
              <w:t>s</w:t>
            </w:r>
            <w:r w:rsidR="00E47673" w:rsidRPr="00E11FFB">
              <w:rPr>
                <w:rFonts w:ascii="Avenir" w:eastAsia="Avenir" w:hAnsi="Avenir" w:cs="Avenir"/>
                <w:color w:val="000000"/>
                <w:sz w:val="16"/>
                <w:szCs w:val="16"/>
              </w:rPr>
              <w:t>, entreprise</w:t>
            </w:r>
            <w:r w:rsidR="000A3DA0" w:rsidRPr="00E11FFB">
              <w:rPr>
                <w:rFonts w:ascii="Avenir" w:eastAsia="Avenir" w:hAnsi="Avenir" w:cs="Avenir"/>
                <w:color w:val="000000"/>
                <w:sz w:val="16"/>
                <w:szCs w:val="16"/>
              </w:rPr>
              <w:t>s</w:t>
            </w:r>
            <w:r w:rsidR="00E47673" w:rsidRPr="00E11FFB">
              <w:rPr>
                <w:rFonts w:ascii="Avenir" w:eastAsia="Avenir" w:hAnsi="Avenir" w:cs="Avenir"/>
                <w:color w:val="000000"/>
                <w:sz w:val="16"/>
                <w:szCs w:val="16"/>
              </w:rPr>
              <w:t>, 100% des parties sensibilisées</w:t>
            </w:r>
            <w:r w:rsidR="00B14909" w:rsidRPr="00E11FFB">
              <w:rPr>
                <w:rFonts w:ascii="Avenir" w:eastAsia="Avenir" w:hAnsi="Avenir" w:cs="Avenir"/>
                <w:color w:val="000000"/>
                <w:sz w:val="16"/>
                <w:szCs w:val="16"/>
              </w:rPr>
              <w:t xml:space="preserve">). </w:t>
            </w:r>
          </w:p>
          <w:p w14:paraId="4283D8F2" w14:textId="360D1B80" w:rsidR="0041599C" w:rsidRPr="00E11FFB" w:rsidRDefault="0041599C" w:rsidP="00FF0D96">
            <w:pPr>
              <w:rPr>
                <w:rFonts w:ascii="Avenir" w:eastAsia="Avenir" w:hAnsi="Avenir" w:cs="Avenir"/>
                <w:color w:val="000000"/>
                <w:sz w:val="16"/>
                <w:szCs w:val="16"/>
              </w:rPr>
            </w:pPr>
          </w:p>
        </w:tc>
        <w:tc>
          <w:tcPr>
            <w:tcW w:w="1620" w:type="dxa"/>
          </w:tcPr>
          <w:p w14:paraId="5726A20A" w14:textId="13CBDFB5" w:rsidR="00FF0D96" w:rsidRPr="00E11FFB" w:rsidRDefault="000A3DA0" w:rsidP="00FF0D96">
            <w:pPr>
              <w:rPr>
                <w:b/>
                <w:bCs/>
                <w:sz w:val="16"/>
                <w:szCs w:val="16"/>
              </w:rPr>
            </w:pPr>
            <w:r w:rsidRPr="00E11FFB">
              <w:rPr>
                <w:b/>
                <w:bCs/>
                <w:sz w:val="16"/>
                <w:szCs w:val="16"/>
              </w:rPr>
              <w:t xml:space="preserve">En cours </w:t>
            </w:r>
          </w:p>
        </w:tc>
        <w:tc>
          <w:tcPr>
            <w:tcW w:w="1890" w:type="dxa"/>
          </w:tcPr>
          <w:p w14:paraId="586FBA86" w14:textId="77777777" w:rsidR="00FF0D96" w:rsidRPr="00E11FFB" w:rsidRDefault="003043E5" w:rsidP="000A3DA0">
            <w:pPr>
              <w:rPr>
                <w:rFonts w:ascii="Avenir" w:eastAsia="Avenir" w:hAnsi="Avenir" w:cs="Avenir"/>
                <w:color w:val="000000"/>
                <w:sz w:val="16"/>
                <w:szCs w:val="16"/>
              </w:rPr>
            </w:pPr>
            <w:r w:rsidRPr="00E11FFB">
              <w:rPr>
                <w:rFonts w:ascii="Avenir" w:eastAsia="Avenir" w:hAnsi="Avenir" w:cs="Avenir"/>
                <w:color w:val="000000"/>
                <w:sz w:val="16"/>
                <w:szCs w:val="16"/>
              </w:rPr>
              <w:t>Les délégués form</w:t>
            </w:r>
            <w:r w:rsidR="000A3DA0" w:rsidRPr="00E11FFB">
              <w:rPr>
                <w:rFonts w:ascii="Avenir" w:eastAsia="Avenir" w:hAnsi="Avenir" w:cs="Avenir"/>
                <w:color w:val="000000"/>
                <w:sz w:val="16"/>
                <w:szCs w:val="16"/>
              </w:rPr>
              <w:t xml:space="preserve">és </w:t>
            </w:r>
            <w:r w:rsidRPr="00E11FFB">
              <w:rPr>
                <w:rFonts w:ascii="Avenir" w:eastAsia="Avenir" w:hAnsi="Avenir" w:cs="Avenir"/>
                <w:color w:val="000000"/>
                <w:sz w:val="16"/>
                <w:szCs w:val="16"/>
              </w:rPr>
              <w:t>participent dans l’intégration ITIE dans le secteur forestier</w:t>
            </w:r>
          </w:p>
          <w:p w14:paraId="00234994" w14:textId="4C882964" w:rsidR="000A3DA0" w:rsidRPr="00E11FFB" w:rsidRDefault="000A3DA0" w:rsidP="000A3DA0">
            <w:pPr>
              <w:rPr>
                <w:rFonts w:ascii="Avenir" w:eastAsia="Avenir" w:hAnsi="Avenir" w:cs="Avenir"/>
                <w:color w:val="000000"/>
                <w:sz w:val="16"/>
                <w:szCs w:val="16"/>
              </w:rPr>
            </w:pPr>
            <w:r w:rsidRPr="00E11FFB">
              <w:rPr>
                <w:rFonts w:ascii="Avenir" w:eastAsia="Avenir" w:hAnsi="Avenir" w:cs="Avenir"/>
                <w:color w:val="000000"/>
                <w:sz w:val="16"/>
                <w:szCs w:val="16"/>
              </w:rPr>
              <w:t xml:space="preserve">Sensibilisation des acteurs et entreprises de Kinshasa et Boende (problématique du secteur et cadre légal) </w:t>
            </w:r>
          </w:p>
        </w:tc>
      </w:tr>
      <w:tr w:rsidR="00FF0D96" w:rsidRPr="00E11FFB" w14:paraId="09AA0CAA" w14:textId="77777777" w:rsidTr="0041599C">
        <w:trPr>
          <w:trHeight w:val="549"/>
          <w:jc w:val="center"/>
        </w:trPr>
        <w:tc>
          <w:tcPr>
            <w:tcW w:w="3758" w:type="dxa"/>
          </w:tcPr>
          <w:p w14:paraId="45E351A0" w14:textId="571B6607" w:rsidR="00FF0D96" w:rsidRPr="00E11FFB" w:rsidRDefault="00FF0D96" w:rsidP="00FF0D96">
            <w:pPr>
              <w:rPr>
                <w:rFonts w:ascii="Avenir" w:eastAsia="Avenir" w:hAnsi="Avenir" w:cs="Avenir"/>
                <w:color w:val="000000"/>
                <w:sz w:val="16"/>
                <w:szCs w:val="16"/>
              </w:rPr>
            </w:pPr>
            <w:r w:rsidRPr="00E11FFB">
              <w:rPr>
                <w:sz w:val="16"/>
                <w:szCs w:val="16"/>
              </w:rPr>
              <w:t>6.1.2 : Produire et publier le rapport sur le secteur forestier (activité n° 33 du PTT 2024-2026).</w:t>
            </w:r>
          </w:p>
        </w:tc>
        <w:tc>
          <w:tcPr>
            <w:tcW w:w="798" w:type="dxa"/>
            <w:vMerge/>
            <w:vAlign w:val="center"/>
          </w:tcPr>
          <w:p w14:paraId="3CBF3F2B" w14:textId="77777777" w:rsidR="00FF0D96" w:rsidRPr="00E11FFB" w:rsidRDefault="00FF0D96" w:rsidP="00FF0D96">
            <w:pPr>
              <w:rPr>
                <w:rFonts w:ascii="Avenir" w:eastAsia="Avenir" w:hAnsi="Avenir" w:cs="Avenir"/>
                <w:color w:val="000000"/>
                <w:sz w:val="16"/>
                <w:szCs w:val="16"/>
              </w:rPr>
            </w:pPr>
          </w:p>
        </w:tc>
        <w:tc>
          <w:tcPr>
            <w:tcW w:w="1679" w:type="dxa"/>
            <w:vAlign w:val="center"/>
          </w:tcPr>
          <w:p w14:paraId="0FE71882" w14:textId="337A456E" w:rsidR="00FF0D96" w:rsidRPr="00E11FFB" w:rsidRDefault="00FF0D96" w:rsidP="00FF0D96">
            <w:pPr>
              <w:rPr>
                <w:rFonts w:ascii="Avenir" w:eastAsia="Avenir" w:hAnsi="Avenir" w:cs="Avenir"/>
                <w:color w:val="000000"/>
                <w:sz w:val="16"/>
                <w:szCs w:val="16"/>
              </w:rPr>
            </w:pPr>
            <w:r w:rsidRPr="00E11FFB">
              <w:rPr>
                <w:rFonts w:ascii="Avenir" w:eastAsia="Avenir" w:hAnsi="Avenir" w:cs="Avenir"/>
                <w:b/>
                <w:color w:val="000000"/>
                <w:sz w:val="16"/>
                <w:szCs w:val="16"/>
              </w:rPr>
              <w:t>Du 01/04/2025 au 30/12/2025</w:t>
            </w:r>
          </w:p>
        </w:tc>
        <w:tc>
          <w:tcPr>
            <w:tcW w:w="2400" w:type="dxa"/>
            <w:vAlign w:val="center"/>
          </w:tcPr>
          <w:p w14:paraId="2FA3FC6F" w14:textId="77777777" w:rsidR="00FF0D96" w:rsidRPr="00E11FFB" w:rsidRDefault="00FF0D96" w:rsidP="00FF0D96">
            <w:pPr>
              <w:rPr>
                <w:rFonts w:ascii="Avenir" w:eastAsia="Avenir" w:hAnsi="Avenir" w:cs="Avenir"/>
                <w:color w:val="000000"/>
                <w:sz w:val="16"/>
                <w:szCs w:val="16"/>
              </w:rPr>
            </w:pPr>
            <w:r w:rsidRPr="00E11FFB">
              <w:rPr>
                <w:sz w:val="16"/>
                <w:szCs w:val="16"/>
              </w:rPr>
              <w:t>Publication du Rapport ITIE 2023 sur le secteur forestier</w:t>
            </w:r>
          </w:p>
        </w:tc>
        <w:tc>
          <w:tcPr>
            <w:tcW w:w="2525" w:type="dxa"/>
          </w:tcPr>
          <w:p w14:paraId="4117F38F" w14:textId="5FD28A2A" w:rsidR="00FF0D96" w:rsidRPr="00E11FFB" w:rsidRDefault="003043E5" w:rsidP="00FF0D96">
            <w:pPr>
              <w:rPr>
                <w:rFonts w:ascii="Avenir" w:eastAsia="Avenir" w:hAnsi="Avenir" w:cs="Avenir"/>
                <w:color w:val="000000"/>
                <w:sz w:val="16"/>
                <w:szCs w:val="16"/>
              </w:rPr>
            </w:pPr>
            <w:r w:rsidRPr="00E11FFB">
              <w:rPr>
                <w:rFonts w:ascii="Avenir" w:eastAsia="Avenir" w:hAnsi="Avenir" w:cs="Avenir"/>
                <w:color w:val="000000"/>
                <w:sz w:val="16"/>
                <w:szCs w:val="16"/>
              </w:rPr>
              <w:t>Elaboration des TDRs</w:t>
            </w:r>
            <w:r w:rsidR="004A6EBB" w:rsidRPr="00E11FFB">
              <w:rPr>
                <w:rFonts w:ascii="Avenir" w:eastAsia="Avenir" w:hAnsi="Avenir" w:cs="Avenir"/>
                <w:color w:val="000000"/>
                <w:sz w:val="16"/>
                <w:szCs w:val="16"/>
              </w:rPr>
              <w:t xml:space="preserve"> et leur validation par le Comité Exécutif de l'ITIE-RDC</w:t>
            </w:r>
          </w:p>
        </w:tc>
        <w:tc>
          <w:tcPr>
            <w:tcW w:w="1620" w:type="dxa"/>
          </w:tcPr>
          <w:p w14:paraId="4EE7887E" w14:textId="5E3D7B71" w:rsidR="00FF0D96" w:rsidRPr="00E11FFB" w:rsidRDefault="004A6EBB" w:rsidP="00FF0D96">
            <w:pPr>
              <w:rPr>
                <w:b/>
                <w:bCs/>
                <w:sz w:val="16"/>
                <w:szCs w:val="16"/>
              </w:rPr>
            </w:pPr>
            <w:r w:rsidRPr="00E11FFB">
              <w:rPr>
                <w:b/>
                <w:bCs/>
                <w:sz w:val="16"/>
                <w:szCs w:val="16"/>
              </w:rPr>
              <w:t xml:space="preserve">En cours </w:t>
            </w:r>
          </w:p>
        </w:tc>
        <w:tc>
          <w:tcPr>
            <w:tcW w:w="1890" w:type="dxa"/>
          </w:tcPr>
          <w:p w14:paraId="236C37EC" w14:textId="55DE59CC" w:rsidR="00E62614" w:rsidRPr="00E11FFB" w:rsidRDefault="00E62614" w:rsidP="00FF0D96">
            <w:pPr>
              <w:rPr>
                <w:rFonts w:ascii="Avenir" w:eastAsia="Avenir" w:hAnsi="Avenir" w:cs="Avenir"/>
                <w:color w:val="000000"/>
                <w:sz w:val="16"/>
                <w:szCs w:val="16"/>
              </w:rPr>
            </w:pPr>
            <w:r w:rsidRPr="00E11FFB">
              <w:rPr>
                <w:rFonts w:ascii="Avenir" w:eastAsia="Avenir" w:hAnsi="Avenir" w:cs="Avenir"/>
                <w:color w:val="000000"/>
                <w:sz w:val="16"/>
                <w:szCs w:val="16"/>
              </w:rPr>
              <w:t>Formation et accompagnement des parties déclarantes à la télédéclaration à l’ITIE ; l'élaboration des rapports du secteur forestier par exercice (2022 &amp; 2023).</w:t>
            </w:r>
          </w:p>
        </w:tc>
      </w:tr>
      <w:tr w:rsidR="00FF0D96" w:rsidRPr="00E11FFB" w14:paraId="573D652C" w14:textId="77777777" w:rsidTr="0041599C">
        <w:trPr>
          <w:trHeight w:val="559"/>
          <w:jc w:val="center"/>
        </w:trPr>
        <w:tc>
          <w:tcPr>
            <w:tcW w:w="3758" w:type="dxa"/>
          </w:tcPr>
          <w:p w14:paraId="5BB48483" w14:textId="694704B0" w:rsidR="00FF0D96" w:rsidRPr="00E11FFB" w:rsidRDefault="00FF0D96" w:rsidP="00FF0D96">
            <w:pPr>
              <w:rPr>
                <w:rFonts w:ascii="Avenir" w:eastAsia="Avenir" w:hAnsi="Avenir" w:cs="Avenir"/>
                <w:color w:val="000000"/>
                <w:sz w:val="16"/>
                <w:szCs w:val="16"/>
              </w:rPr>
            </w:pPr>
            <w:r w:rsidRPr="00E11FFB">
              <w:rPr>
                <w:sz w:val="16"/>
                <w:szCs w:val="16"/>
              </w:rPr>
              <w:t>6.1.3 : Susciter le débat public sur la gestion des ressources naturelles (activité n° 35 du PTT 2024-2025).</w:t>
            </w:r>
          </w:p>
        </w:tc>
        <w:tc>
          <w:tcPr>
            <w:tcW w:w="798" w:type="dxa"/>
            <w:vMerge/>
            <w:vAlign w:val="center"/>
          </w:tcPr>
          <w:p w14:paraId="374C7C9E" w14:textId="77777777" w:rsidR="00FF0D96" w:rsidRPr="00E11FFB" w:rsidRDefault="00FF0D96" w:rsidP="00FF0D96">
            <w:pPr>
              <w:rPr>
                <w:rFonts w:ascii="Avenir" w:eastAsia="Avenir" w:hAnsi="Avenir" w:cs="Avenir"/>
                <w:color w:val="000000"/>
                <w:sz w:val="16"/>
                <w:szCs w:val="16"/>
              </w:rPr>
            </w:pPr>
          </w:p>
        </w:tc>
        <w:tc>
          <w:tcPr>
            <w:tcW w:w="1679" w:type="dxa"/>
            <w:vAlign w:val="center"/>
          </w:tcPr>
          <w:p w14:paraId="0C5589E0" w14:textId="4A68E05E" w:rsidR="00FF0D96" w:rsidRPr="00E11FFB" w:rsidRDefault="00FF0D96" w:rsidP="00FF0D96">
            <w:pPr>
              <w:rPr>
                <w:rFonts w:ascii="Avenir" w:eastAsia="Avenir" w:hAnsi="Avenir" w:cs="Avenir"/>
                <w:color w:val="000000"/>
                <w:sz w:val="16"/>
                <w:szCs w:val="16"/>
              </w:rPr>
            </w:pPr>
            <w:r w:rsidRPr="00E11FFB">
              <w:rPr>
                <w:rFonts w:ascii="Avenir" w:eastAsia="Avenir" w:hAnsi="Avenir" w:cs="Avenir"/>
                <w:b/>
                <w:color w:val="000000"/>
                <w:sz w:val="16"/>
                <w:szCs w:val="16"/>
              </w:rPr>
              <w:t>Du 01/04/2025 au 30/09/2025</w:t>
            </w:r>
          </w:p>
        </w:tc>
        <w:tc>
          <w:tcPr>
            <w:tcW w:w="2400" w:type="dxa"/>
            <w:vAlign w:val="center"/>
          </w:tcPr>
          <w:p w14:paraId="48970CFF" w14:textId="77777777" w:rsidR="00FF0D96" w:rsidRPr="00E11FFB" w:rsidRDefault="00FF0D96" w:rsidP="00FF0D96">
            <w:pPr>
              <w:rPr>
                <w:rFonts w:ascii="Avenir" w:eastAsia="Avenir" w:hAnsi="Avenir" w:cs="Avenir"/>
                <w:color w:val="000000"/>
                <w:sz w:val="16"/>
                <w:szCs w:val="16"/>
              </w:rPr>
            </w:pPr>
            <w:r w:rsidRPr="00E11FFB">
              <w:rPr>
                <w:sz w:val="16"/>
                <w:szCs w:val="16"/>
              </w:rPr>
              <w:t>60% des acteurs du secteur forestier qui participent à l'ITIE</w:t>
            </w:r>
          </w:p>
        </w:tc>
        <w:tc>
          <w:tcPr>
            <w:tcW w:w="2525" w:type="dxa"/>
          </w:tcPr>
          <w:p w14:paraId="65DA7C6F" w14:textId="415D87F5" w:rsidR="00FF0D96" w:rsidRPr="00E11FFB" w:rsidRDefault="000A3DA0" w:rsidP="00FF0D96">
            <w:pPr>
              <w:rPr>
                <w:rFonts w:ascii="Avenir" w:eastAsia="Avenir" w:hAnsi="Avenir" w:cs="Avenir"/>
                <w:color w:val="000000"/>
                <w:sz w:val="16"/>
                <w:szCs w:val="16"/>
              </w:rPr>
            </w:pPr>
            <w:r w:rsidRPr="00E11FFB">
              <w:rPr>
                <w:rFonts w:ascii="Avenir" w:eastAsia="Avenir" w:hAnsi="Avenir" w:cs="Avenir"/>
                <w:color w:val="000000"/>
                <w:sz w:val="16"/>
                <w:szCs w:val="16"/>
              </w:rPr>
              <w:t>Activité non réalisée en attendant la finalisation des activités 6.1.2 et 6.1.1</w:t>
            </w:r>
            <w:r w:rsidR="004A6EBB" w:rsidRPr="00E11FFB">
              <w:rPr>
                <w:rFonts w:ascii="Avenir" w:eastAsia="Avenir" w:hAnsi="Avenir" w:cs="Avenir"/>
                <w:color w:val="000000"/>
                <w:sz w:val="16"/>
                <w:szCs w:val="16"/>
              </w:rPr>
              <w:t xml:space="preserve"> </w:t>
            </w:r>
          </w:p>
        </w:tc>
        <w:tc>
          <w:tcPr>
            <w:tcW w:w="1620" w:type="dxa"/>
          </w:tcPr>
          <w:p w14:paraId="09E49A73" w14:textId="6436F058" w:rsidR="00FF0D96" w:rsidRPr="00E11FFB" w:rsidRDefault="000A3DA0" w:rsidP="00FF0D96">
            <w:pPr>
              <w:rPr>
                <w:b/>
                <w:bCs/>
                <w:sz w:val="16"/>
                <w:szCs w:val="16"/>
              </w:rPr>
            </w:pPr>
            <w:r w:rsidRPr="00E11FFB">
              <w:rPr>
                <w:b/>
                <w:bCs/>
                <w:sz w:val="16"/>
                <w:szCs w:val="16"/>
              </w:rPr>
              <w:t xml:space="preserve">Non entamé </w:t>
            </w:r>
            <w:r w:rsidR="004A6EBB" w:rsidRPr="00E11FFB">
              <w:rPr>
                <w:b/>
                <w:bCs/>
                <w:sz w:val="16"/>
                <w:szCs w:val="16"/>
              </w:rPr>
              <w:t xml:space="preserve"> </w:t>
            </w:r>
          </w:p>
        </w:tc>
        <w:tc>
          <w:tcPr>
            <w:tcW w:w="1890" w:type="dxa"/>
          </w:tcPr>
          <w:p w14:paraId="07B76A7F" w14:textId="77777777" w:rsidR="004A6EBB" w:rsidRPr="00E11FFB" w:rsidRDefault="004A6EBB" w:rsidP="004A6EBB">
            <w:pPr>
              <w:rPr>
                <w:rFonts w:ascii="Avenir" w:eastAsia="Avenir" w:hAnsi="Avenir" w:cs="Avenir"/>
                <w:color w:val="000000"/>
                <w:sz w:val="16"/>
                <w:szCs w:val="16"/>
              </w:rPr>
            </w:pPr>
            <w:r w:rsidRPr="00E11FFB">
              <w:rPr>
                <w:rFonts w:ascii="Avenir" w:eastAsia="Avenir" w:hAnsi="Avenir" w:cs="Avenir"/>
                <w:color w:val="000000"/>
                <w:sz w:val="16"/>
                <w:szCs w:val="16"/>
              </w:rPr>
              <w:t>Organiser des débats publics sur le Rapport publié à Kinshasa.</w:t>
            </w:r>
          </w:p>
          <w:p w14:paraId="2205E560" w14:textId="01C48F2E" w:rsidR="00FF0D96" w:rsidRPr="00E11FFB" w:rsidRDefault="004A6EBB" w:rsidP="004A6EBB">
            <w:pPr>
              <w:rPr>
                <w:rFonts w:ascii="Avenir" w:eastAsia="Avenir" w:hAnsi="Avenir" w:cs="Avenir"/>
                <w:color w:val="000000"/>
                <w:sz w:val="16"/>
                <w:szCs w:val="16"/>
              </w:rPr>
            </w:pPr>
            <w:r w:rsidRPr="00E11FFB">
              <w:rPr>
                <w:rFonts w:ascii="Avenir" w:eastAsia="Avenir" w:hAnsi="Avenir" w:cs="Avenir"/>
                <w:color w:val="000000"/>
                <w:sz w:val="16"/>
                <w:szCs w:val="16"/>
              </w:rPr>
              <w:t>Disséminer des rapports ITIE-RDC du secteur forestier dans les provinces</w:t>
            </w:r>
          </w:p>
        </w:tc>
      </w:tr>
      <w:tr w:rsidR="00FF0D96" w:rsidRPr="00E11FFB" w14:paraId="090405D1" w14:textId="77777777" w:rsidTr="0041599C">
        <w:trPr>
          <w:trHeight w:val="919"/>
          <w:jc w:val="center"/>
        </w:trPr>
        <w:tc>
          <w:tcPr>
            <w:tcW w:w="3758" w:type="dxa"/>
            <w:vAlign w:val="center"/>
          </w:tcPr>
          <w:p w14:paraId="695F25E5" w14:textId="5BC03417" w:rsidR="00FF0D96" w:rsidRPr="00E11FFB" w:rsidRDefault="00FF0D96" w:rsidP="00FF0D96">
            <w:pPr>
              <w:rPr>
                <w:rFonts w:ascii="Avenir" w:eastAsia="Avenir" w:hAnsi="Avenir" w:cs="Avenir"/>
                <w:color w:val="000000"/>
                <w:sz w:val="16"/>
                <w:szCs w:val="16"/>
              </w:rPr>
            </w:pPr>
            <w:r w:rsidRPr="00E11FFB">
              <w:rPr>
                <w:sz w:val="16"/>
                <w:szCs w:val="16"/>
              </w:rPr>
              <w:t>6.1.4 : Publier tous les contrats du secteur forestier</w:t>
            </w:r>
          </w:p>
        </w:tc>
        <w:tc>
          <w:tcPr>
            <w:tcW w:w="798" w:type="dxa"/>
            <w:vMerge/>
            <w:vAlign w:val="center"/>
          </w:tcPr>
          <w:p w14:paraId="023DA507" w14:textId="77777777" w:rsidR="00FF0D96" w:rsidRPr="00E11FFB" w:rsidRDefault="00FF0D96" w:rsidP="00FF0D96">
            <w:pPr>
              <w:rPr>
                <w:rFonts w:ascii="Avenir" w:eastAsia="Avenir" w:hAnsi="Avenir" w:cs="Avenir"/>
                <w:color w:val="000000"/>
                <w:sz w:val="16"/>
                <w:szCs w:val="16"/>
              </w:rPr>
            </w:pPr>
          </w:p>
        </w:tc>
        <w:tc>
          <w:tcPr>
            <w:tcW w:w="1679" w:type="dxa"/>
            <w:vAlign w:val="center"/>
          </w:tcPr>
          <w:p w14:paraId="11F0A110" w14:textId="0ECEFE5D" w:rsidR="00FF0D96" w:rsidRPr="00E11FFB" w:rsidRDefault="00FF0D96" w:rsidP="00FF0D96">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400" w:type="dxa"/>
            <w:vAlign w:val="center"/>
          </w:tcPr>
          <w:p w14:paraId="575F9A09" w14:textId="77777777" w:rsidR="00FF0D96" w:rsidRPr="00E11FFB" w:rsidRDefault="00FF0D96" w:rsidP="00FF0D96">
            <w:pPr>
              <w:rPr>
                <w:rFonts w:ascii="Avenir" w:eastAsia="Avenir" w:hAnsi="Avenir" w:cs="Avenir"/>
                <w:b/>
                <w:color w:val="000000"/>
                <w:sz w:val="16"/>
                <w:szCs w:val="16"/>
              </w:rPr>
            </w:pPr>
            <w:r w:rsidRPr="00E11FFB">
              <w:rPr>
                <w:sz w:val="16"/>
                <w:szCs w:val="16"/>
              </w:rPr>
              <w:t>Publication des contrats de concessions d'exploitation industrielle des forêts et de conservation des forêts (2023-2024-2025)</w:t>
            </w:r>
          </w:p>
        </w:tc>
        <w:tc>
          <w:tcPr>
            <w:tcW w:w="2525" w:type="dxa"/>
          </w:tcPr>
          <w:p w14:paraId="09A53718" w14:textId="07F50404" w:rsidR="00FF0D96" w:rsidRPr="00E11FFB" w:rsidRDefault="004A6EBB" w:rsidP="006546DB">
            <w:pPr>
              <w:rPr>
                <w:rFonts w:ascii="Avenir" w:eastAsia="Avenir" w:hAnsi="Avenir" w:cs="Avenir"/>
                <w:b/>
                <w:color w:val="000000"/>
                <w:sz w:val="16"/>
                <w:szCs w:val="16"/>
                <w:highlight w:val="yellow"/>
              </w:rPr>
            </w:pPr>
            <w:r w:rsidRPr="00E11FFB">
              <w:rPr>
                <w:rFonts w:ascii="Avenir" w:eastAsia="Avenir" w:hAnsi="Avenir" w:cs="Avenir"/>
                <w:bCs/>
                <w:color w:val="000000"/>
                <w:sz w:val="16"/>
                <w:szCs w:val="16"/>
              </w:rPr>
              <w:t xml:space="preserve">Identification des contrats disponibles au ST/ITIE-RDC (Etat des lieux) </w:t>
            </w:r>
          </w:p>
        </w:tc>
        <w:tc>
          <w:tcPr>
            <w:tcW w:w="1620" w:type="dxa"/>
          </w:tcPr>
          <w:p w14:paraId="223F55CF" w14:textId="3C214032" w:rsidR="00FF0D96" w:rsidRPr="00E11FFB" w:rsidRDefault="004A6EBB" w:rsidP="00FF0D96">
            <w:pPr>
              <w:rPr>
                <w:b/>
                <w:bCs/>
                <w:sz w:val="16"/>
                <w:szCs w:val="16"/>
              </w:rPr>
            </w:pPr>
            <w:r w:rsidRPr="00E11FFB">
              <w:rPr>
                <w:b/>
                <w:bCs/>
                <w:sz w:val="16"/>
                <w:szCs w:val="16"/>
              </w:rPr>
              <w:t xml:space="preserve">En cours </w:t>
            </w:r>
          </w:p>
        </w:tc>
        <w:tc>
          <w:tcPr>
            <w:tcW w:w="1890" w:type="dxa"/>
          </w:tcPr>
          <w:p w14:paraId="72CBA19D" w14:textId="7FF61A3E" w:rsidR="00FF0D96" w:rsidRPr="00E11FFB" w:rsidRDefault="004A6EBB" w:rsidP="004A6EBB">
            <w:pPr>
              <w:rPr>
                <w:rFonts w:ascii="Avenir" w:eastAsia="Avenir" w:hAnsi="Avenir" w:cs="Avenir"/>
                <w:color w:val="000000"/>
                <w:sz w:val="16"/>
                <w:szCs w:val="16"/>
              </w:rPr>
            </w:pPr>
            <w:r w:rsidRPr="00E11FFB">
              <w:rPr>
                <w:rFonts w:ascii="Avenir" w:eastAsia="Avenir" w:hAnsi="Avenir" w:cs="Avenir"/>
                <w:color w:val="000000"/>
                <w:sz w:val="16"/>
                <w:szCs w:val="16"/>
              </w:rPr>
              <w:t>Publier les contrats des concessions forestières sur le site web du ST – ITIE ; Sensibiliser les structures du Ministère de l'EDD sur la publication des contrats et leurs annexes et Accompagner le Ministère de l’EDD à développer un cadastre et un registre forestiers en ligne similaire à ceux des Ministères des Mines et des Hydrocarbures.</w:t>
            </w:r>
          </w:p>
        </w:tc>
      </w:tr>
      <w:tr w:rsidR="00FF0D96" w:rsidRPr="00E11FFB" w14:paraId="69C5465A" w14:textId="77777777" w:rsidTr="0041599C">
        <w:trPr>
          <w:trHeight w:val="729"/>
          <w:jc w:val="center"/>
        </w:trPr>
        <w:tc>
          <w:tcPr>
            <w:tcW w:w="3758" w:type="dxa"/>
            <w:vAlign w:val="center"/>
          </w:tcPr>
          <w:p w14:paraId="7A5FC71D" w14:textId="40EE09E5" w:rsidR="00FF0D96" w:rsidRPr="00E11FFB" w:rsidRDefault="00FF0D96" w:rsidP="00FF0D96">
            <w:pPr>
              <w:rPr>
                <w:sz w:val="16"/>
                <w:szCs w:val="16"/>
              </w:rPr>
            </w:pPr>
            <w:r w:rsidRPr="00E11FFB">
              <w:rPr>
                <w:sz w:val="16"/>
                <w:szCs w:val="16"/>
              </w:rPr>
              <w:t>6.2.1 : Démontrer la mise en œuvre des obligations légales de réalisation des évaluations environnementales et sociales.</w:t>
            </w:r>
          </w:p>
        </w:tc>
        <w:tc>
          <w:tcPr>
            <w:tcW w:w="798" w:type="dxa"/>
            <w:vAlign w:val="center"/>
          </w:tcPr>
          <w:p w14:paraId="47669979" w14:textId="77777777" w:rsidR="00FF0D96" w:rsidRPr="00E11FFB" w:rsidRDefault="00FF0D96" w:rsidP="00FF0D96">
            <w:pPr>
              <w:rPr>
                <w:rFonts w:ascii="Avenir" w:eastAsia="Avenir" w:hAnsi="Avenir" w:cs="Avenir"/>
                <w:color w:val="000000"/>
                <w:sz w:val="16"/>
                <w:szCs w:val="16"/>
              </w:rPr>
            </w:pPr>
            <w:r w:rsidRPr="00E11FFB">
              <w:rPr>
                <w:rFonts w:ascii="Avenir" w:eastAsia="Avenir" w:hAnsi="Avenir" w:cs="Avenir"/>
                <w:color w:val="000000"/>
                <w:sz w:val="16"/>
                <w:szCs w:val="16"/>
              </w:rPr>
              <w:t>6.2</w:t>
            </w:r>
          </w:p>
        </w:tc>
        <w:tc>
          <w:tcPr>
            <w:tcW w:w="1679" w:type="dxa"/>
            <w:vAlign w:val="center"/>
          </w:tcPr>
          <w:p w14:paraId="461A8D33" w14:textId="2FB30219" w:rsidR="00FF0D96" w:rsidRPr="00E11FFB" w:rsidRDefault="00FF0D96" w:rsidP="00FF0D96">
            <w:pPr>
              <w:rPr>
                <w:rFonts w:ascii="Avenir" w:eastAsia="Avenir" w:hAnsi="Avenir" w:cs="Avenir"/>
                <w:b/>
                <w:color w:val="000000"/>
                <w:sz w:val="16"/>
                <w:szCs w:val="16"/>
              </w:rPr>
            </w:pPr>
            <w:r w:rsidRPr="00E11FFB">
              <w:rPr>
                <w:rFonts w:ascii="Avenir" w:eastAsia="Avenir" w:hAnsi="Avenir" w:cs="Avenir"/>
                <w:b/>
                <w:color w:val="000000"/>
                <w:sz w:val="16"/>
                <w:szCs w:val="16"/>
              </w:rPr>
              <w:t>Du 01/04/2025 au 30/09/2025</w:t>
            </w:r>
          </w:p>
        </w:tc>
        <w:tc>
          <w:tcPr>
            <w:tcW w:w="2400" w:type="dxa"/>
            <w:vAlign w:val="center"/>
          </w:tcPr>
          <w:p w14:paraId="03A7B9FE" w14:textId="77777777" w:rsidR="00FF0D96" w:rsidRPr="00E11FFB" w:rsidRDefault="00FF0D96" w:rsidP="00FF0D96">
            <w:pPr>
              <w:rPr>
                <w:rFonts w:ascii="Avenir" w:eastAsia="Avenir" w:hAnsi="Avenir" w:cs="Avenir"/>
                <w:b/>
                <w:color w:val="000000"/>
                <w:sz w:val="16"/>
                <w:szCs w:val="16"/>
              </w:rPr>
            </w:pPr>
            <w:r w:rsidRPr="00E11FFB">
              <w:rPr>
                <w:sz w:val="16"/>
                <w:szCs w:val="16"/>
              </w:rPr>
              <w:t>Publication du Rapport le respect par les entreprises forestières, de leurs obligations environnementales et sociales</w:t>
            </w:r>
          </w:p>
        </w:tc>
        <w:tc>
          <w:tcPr>
            <w:tcW w:w="2525" w:type="dxa"/>
          </w:tcPr>
          <w:p w14:paraId="5496FE4B" w14:textId="2C20B204" w:rsidR="00FF0D96" w:rsidRPr="00E11FFB" w:rsidRDefault="00CE2172" w:rsidP="00584C27">
            <w:pPr>
              <w:rPr>
                <w:rFonts w:ascii="Avenir" w:eastAsia="Avenir" w:hAnsi="Avenir" w:cs="Avenir"/>
                <w:bCs/>
                <w:color w:val="000000"/>
                <w:sz w:val="16"/>
                <w:szCs w:val="16"/>
                <w:highlight w:val="yellow"/>
              </w:rPr>
            </w:pPr>
            <w:r w:rsidRPr="00E11FFB">
              <w:rPr>
                <w:rFonts w:ascii="Avenir" w:eastAsia="Avenir" w:hAnsi="Avenir" w:cs="Avenir"/>
                <w:bCs/>
                <w:color w:val="000000"/>
                <w:sz w:val="16"/>
                <w:szCs w:val="16"/>
              </w:rPr>
              <w:t xml:space="preserve">Réunions de concertation, </w:t>
            </w:r>
            <w:r w:rsidR="00790AB0" w:rsidRPr="00E11FFB">
              <w:rPr>
                <w:rFonts w:ascii="Avenir" w:eastAsia="Avenir" w:hAnsi="Avenir" w:cs="Avenir"/>
                <w:bCs/>
                <w:color w:val="000000"/>
                <w:sz w:val="16"/>
                <w:szCs w:val="16"/>
              </w:rPr>
              <w:t xml:space="preserve">production de TDRs de recrutement de consultant pour la </w:t>
            </w:r>
            <w:r w:rsidRPr="00E11FFB">
              <w:rPr>
                <w:rFonts w:ascii="Avenir" w:eastAsia="Avenir" w:hAnsi="Avenir" w:cs="Avenir"/>
                <w:bCs/>
                <w:color w:val="000000"/>
                <w:sz w:val="16"/>
                <w:szCs w:val="16"/>
              </w:rPr>
              <w:t xml:space="preserve">définition des besoins et du périmètre de l'évaluation </w:t>
            </w:r>
          </w:p>
        </w:tc>
        <w:tc>
          <w:tcPr>
            <w:tcW w:w="1620" w:type="dxa"/>
          </w:tcPr>
          <w:p w14:paraId="3FA665DA" w14:textId="059A3C0A" w:rsidR="00FF0D96" w:rsidRPr="00E11FFB" w:rsidRDefault="00584C27" w:rsidP="00FF0D96">
            <w:pPr>
              <w:rPr>
                <w:b/>
                <w:bCs/>
                <w:sz w:val="16"/>
                <w:szCs w:val="16"/>
              </w:rPr>
            </w:pPr>
            <w:r w:rsidRPr="00E11FFB">
              <w:rPr>
                <w:b/>
                <w:bCs/>
                <w:sz w:val="16"/>
                <w:szCs w:val="16"/>
              </w:rPr>
              <w:t xml:space="preserve">En cours </w:t>
            </w:r>
          </w:p>
        </w:tc>
        <w:tc>
          <w:tcPr>
            <w:tcW w:w="1890" w:type="dxa"/>
          </w:tcPr>
          <w:p w14:paraId="6D9E3788" w14:textId="456B85D8" w:rsidR="00FF0D96" w:rsidRPr="00E11FFB" w:rsidRDefault="00CE2172" w:rsidP="00CE2172">
            <w:pPr>
              <w:rPr>
                <w:rFonts w:ascii="Avenir" w:eastAsia="Avenir" w:hAnsi="Avenir" w:cs="Avenir"/>
                <w:color w:val="000000"/>
                <w:sz w:val="16"/>
                <w:szCs w:val="16"/>
              </w:rPr>
            </w:pPr>
            <w:r w:rsidRPr="00E11FFB">
              <w:rPr>
                <w:rFonts w:ascii="Avenir" w:eastAsia="Avenir" w:hAnsi="Avenir" w:cs="Avenir"/>
                <w:color w:val="000000"/>
                <w:sz w:val="16"/>
                <w:szCs w:val="16"/>
              </w:rPr>
              <w:t xml:space="preserve">Evaluation du niveau de mise en œuvre des obligations socio-environnementales ; consultation des parties prenantes sur le draft 0 de l'évaluation et Elaboration du rapport et organisation des ateliers de validation. </w:t>
            </w:r>
          </w:p>
        </w:tc>
      </w:tr>
      <w:tr w:rsidR="00CE2172" w:rsidRPr="00E11FFB" w14:paraId="61E2626C" w14:textId="77777777" w:rsidTr="0041599C">
        <w:trPr>
          <w:trHeight w:val="549"/>
          <w:jc w:val="center"/>
        </w:trPr>
        <w:tc>
          <w:tcPr>
            <w:tcW w:w="3758" w:type="dxa"/>
            <w:vAlign w:val="center"/>
          </w:tcPr>
          <w:p w14:paraId="5028E4E7" w14:textId="27509108" w:rsidR="00CE2172" w:rsidRPr="00E11FFB" w:rsidRDefault="00CE2172" w:rsidP="00CE2172">
            <w:pPr>
              <w:rPr>
                <w:sz w:val="16"/>
                <w:szCs w:val="16"/>
              </w:rPr>
            </w:pPr>
            <w:r w:rsidRPr="00E11FFB">
              <w:rPr>
                <w:sz w:val="16"/>
                <w:szCs w:val="16"/>
              </w:rPr>
              <w:t>6.3.1 : Appuyer la Task-Force de pilotage de l'atteinte du processus de réalisation des jalons de LOI.</w:t>
            </w:r>
          </w:p>
        </w:tc>
        <w:tc>
          <w:tcPr>
            <w:tcW w:w="798" w:type="dxa"/>
            <w:vMerge w:val="restart"/>
            <w:vAlign w:val="center"/>
          </w:tcPr>
          <w:p w14:paraId="4BE25592" w14:textId="77777777" w:rsidR="00CE2172" w:rsidRPr="00E11FFB" w:rsidRDefault="00CE2172" w:rsidP="00CE2172">
            <w:pPr>
              <w:rPr>
                <w:rFonts w:ascii="Avenir" w:eastAsia="Avenir" w:hAnsi="Avenir" w:cs="Avenir"/>
                <w:color w:val="000000"/>
                <w:sz w:val="16"/>
                <w:szCs w:val="16"/>
              </w:rPr>
            </w:pPr>
            <w:r w:rsidRPr="00E11FFB">
              <w:rPr>
                <w:rFonts w:ascii="Avenir" w:eastAsia="Avenir" w:hAnsi="Avenir" w:cs="Avenir"/>
                <w:color w:val="000000"/>
                <w:sz w:val="16"/>
                <w:szCs w:val="16"/>
              </w:rPr>
              <w:t>6.3</w:t>
            </w:r>
          </w:p>
        </w:tc>
        <w:tc>
          <w:tcPr>
            <w:tcW w:w="1679" w:type="dxa"/>
            <w:vAlign w:val="center"/>
          </w:tcPr>
          <w:p w14:paraId="44F9B235" w14:textId="155D7502" w:rsidR="00CE2172" w:rsidRPr="00E11FFB" w:rsidRDefault="00CE2172" w:rsidP="00CE2172">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00" w:type="dxa"/>
            <w:vAlign w:val="center"/>
          </w:tcPr>
          <w:p w14:paraId="3A3671DF" w14:textId="77777777" w:rsidR="00CE2172" w:rsidRPr="00E11FFB" w:rsidRDefault="00CE2172" w:rsidP="00CE2172">
            <w:pPr>
              <w:rPr>
                <w:rFonts w:ascii="Avenir" w:eastAsia="Avenir" w:hAnsi="Avenir" w:cs="Avenir"/>
                <w:bCs/>
                <w:sz w:val="16"/>
                <w:szCs w:val="16"/>
              </w:rPr>
            </w:pPr>
            <w:r w:rsidRPr="00E11FFB">
              <w:rPr>
                <w:rFonts w:ascii="Avenir" w:eastAsia="Avenir" w:hAnsi="Avenir" w:cs="Avenir"/>
                <w:bCs/>
                <w:sz w:val="16"/>
                <w:szCs w:val="16"/>
              </w:rPr>
              <w:t>Rapport d’activité</w:t>
            </w:r>
          </w:p>
        </w:tc>
        <w:tc>
          <w:tcPr>
            <w:tcW w:w="2525" w:type="dxa"/>
          </w:tcPr>
          <w:p w14:paraId="55BB50F3" w14:textId="065D048C" w:rsidR="00CE2172" w:rsidRPr="00E11FFB" w:rsidRDefault="00CE2172" w:rsidP="00CE2172">
            <w:pPr>
              <w:rPr>
                <w:rFonts w:ascii="Avenir" w:eastAsia="Avenir" w:hAnsi="Avenir" w:cs="Avenir"/>
                <w:bCs/>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1620" w:type="dxa"/>
          </w:tcPr>
          <w:p w14:paraId="0E1D6B6C" w14:textId="3984142D" w:rsidR="00CE2172" w:rsidRPr="00E11FFB" w:rsidRDefault="00CE2172" w:rsidP="00CE2172">
            <w:pPr>
              <w:rPr>
                <w:b/>
                <w:bCs/>
                <w:sz w:val="16"/>
                <w:szCs w:val="16"/>
              </w:rPr>
            </w:pPr>
            <w:r w:rsidRPr="00E11FFB">
              <w:rPr>
                <w:b/>
                <w:bCs/>
                <w:sz w:val="16"/>
                <w:szCs w:val="16"/>
              </w:rPr>
              <w:t>Atteint</w:t>
            </w:r>
          </w:p>
        </w:tc>
        <w:tc>
          <w:tcPr>
            <w:tcW w:w="1890" w:type="dxa"/>
          </w:tcPr>
          <w:p w14:paraId="19AECC5A" w14:textId="1B06C75C" w:rsidR="00CE2172" w:rsidRPr="00E11FFB" w:rsidRDefault="00CE2172" w:rsidP="00CE2172">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CE2172" w:rsidRPr="00E11FFB" w14:paraId="68E2A11C" w14:textId="77777777" w:rsidTr="0041599C">
        <w:trPr>
          <w:trHeight w:val="749"/>
          <w:jc w:val="center"/>
        </w:trPr>
        <w:tc>
          <w:tcPr>
            <w:tcW w:w="3758" w:type="dxa"/>
            <w:vAlign w:val="center"/>
          </w:tcPr>
          <w:p w14:paraId="44E6BF3F" w14:textId="3FDEA04A" w:rsidR="00CE2172" w:rsidRPr="00E11FFB" w:rsidRDefault="00CE2172" w:rsidP="00CE2172">
            <w:pPr>
              <w:contextualSpacing/>
              <w:rPr>
                <w:sz w:val="16"/>
                <w:szCs w:val="16"/>
              </w:rPr>
            </w:pPr>
            <w:r w:rsidRPr="00E11FFB">
              <w:rPr>
                <w:sz w:val="16"/>
                <w:szCs w:val="16"/>
              </w:rPr>
              <w:t>6.3.2 : Appuyer le fonctionnement et la logistique de la Task-Force d'appui à la réalisation des jalons sous ITIE.</w:t>
            </w:r>
            <w:r w:rsidRPr="00E11FFB">
              <w:rPr>
                <w:sz w:val="16"/>
                <w:szCs w:val="16"/>
              </w:rPr>
              <w:br w:type="page"/>
            </w:r>
            <w:r w:rsidRPr="00E11FFB">
              <w:rPr>
                <w:sz w:val="16"/>
                <w:szCs w:val="16"/>
              </w:rPr>
              <w:br w:type="page"/>
            </w:r>
          </w:p>
          <w:p w14:paraId="6343B0F2" w14:textId="77777777" w:rsidR="00CE2172" w:rsidRPr="00E11FFB" w:rsidRDefault="00CE2172" w:rsidP="00CE2172">
            <w:pPr>
              <w:rPr>
                <w:sz w:val="16"/>
                <w:szCs w:val="16"/>
              </w:rPr>
            </w:pPr>
          </w:p>
        </w:tc>
        <w:tc>
          <w:tcPr>
            <w:tcW w:w="798" w:type="dxa"/>
            <w:vMerge/>
            <w:vAlign w:val="center"/>
          </w:tcPr>
          <w:p w14:paraId="36E824AF" w14:textId="77777777" w:rsidR="00CE2172" w:rsidRPr="00E11FFB" w:rsidRDefault="00CE2172" w:rsidP="00CE2172">
            <w:pPr>
              <w:rPr>
                <w:rFonts w:ascii="Avenir" w:eastAsia="Avenir" w:hAnsi="Avenir" w:cs="Avenir"/>
                <w:color w:val="000000"/>
                <w:sz w:val="16"/>
                <w:szCs w:val="16"/>
              </w:rPr>
            </w:pPr>
          </w:p>
        </w:tc>
        <w:tc>
          <w:tcPr>
            <w:tcW w:w="1679" w:type="dxa"/>
            <w:vAlign w:val="center"/>
          </w:tcPr>
          <w:p w14:paraId="02D40F37" w14:textId="62E172B0" w:rsidR="00CE2172" w:rsidRPr="00E11FFB" w:rsidRDefault="00CE2172" w:rsidP="00CE2172">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00" w:type="dxa"/>
            <w:vAlign w:val="center"/>
          </w:tcPr>
          <w:p w14:paraId="1C5868F4" w14:textId="76D916CE" w:rsidR="00CE2172" w:rsidRPr="00E11FFB" w:rsidRDefault="00CE2172" w:rsidP="00CE2172">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équipement et formation </w:t>
            </w:r>
          </w:p>
          <w:p w14:paraId="06BF266C" w14:textId="77777777" w:rsidR="00CE2172" w:rsidRPr="00E11FFB" w:rsidRDefault="00CE2172" w:rsidP="00CE2172">
            <w:pPr>
              <w:rPr>
                <w:rFonts w:ascii="Avenir" w:eastAsia="Avenir" w:hAnsi="Avenir" w:cs="Avenir"/>
                <w:bCs/>
                <w:color w:val="000000"/>
                <w:sz w:val="16"/>
                <w:szCs w:val="16"/>
              </w:rPr>
            </w:pPr>
            <w:r w:rsidRPr="00E11FFB">
              <w:rPr>
                <w:bCs/>
                <w:color w:val="000000"/>
                <w:sz w:val="16"/>
                <w:szCs w:val="16"/>
              </w:rPr>
              <w:t>Fourniture de bureau et consommables</w:t>
            </w:r>
          </w:p>
          <w:p w14:paraId="6E31B62D" w14:textId="77777777" w:rsidR="00CE2172" w:rsidRPr="00E11FFB" w:rsidRDefault="00CE2172" w:rsidP="00CE2172">
            <w:pPr>
              <w:rPr>
                <w:rFonts w:ascii="Avenir" w:eastAsia="Avenir" w:hAnsi="Avenir" w:cs="Avenir"/>
                <w:b/>
                <w:color w:val="000000"/>
                <w:sz w:val="16"/>
                <w:szCs w:val="16"/>
              </w:rPr>
            </w:pPr>
            <w:r w:rsidRPr="00E11FFB">
              <w:rPr>
                <w:bCs/>
                <w:color w:val="000000"/>
                <w:sz w:val="16"/>
                <w:szCs w:val="16"/>
              </w:rPr>
              <w:t>1 véhicule</w:t>
            </w:r>
          </w:p>
        </w:tc>
        <w:tc>
          <w:tcPr>
            <w:tcW w:w="2525" w:type="dxa"/>
          </w:tcPr>
          <w:p w14:paraId="0426DE5A" w14:textId="6E1AD30F" w:rsidR="00CE2172" w:rsidRPr="00E11FFB" w:rsidRDefault="00CE2172" w:rsidP="00CE2172">
            <w:pPr>
              <w:rPr>
                <w:rFonts w:ascii="Avenir" w:eastAsia="Avenir" w:hAnsi="Avenir" w:cs="Avenir"/>
                <w:bCs/>
                <w:color w:val="000000"/>
                <w:sz w:val="16"/>
                <w:szCs w:val="16"/>
              </w:rPr>
            </w:pPr>
            <w:r w:rsidRPr="00E11FFB">
              <w:rPr>
                <w:rFonts w:ascii="Avenir" w:eastAsia="Avenir" w:hAnsi="Avenir" w:cs="Avenir"/>
                <w:bCs/>
                <w:color w:val="000000"/>
                <w:sz w:val="16"/>
                <w:szCs w:val="16"/>
              </w:rPr>
              <w:t>Membres de la taskforce équipé et formé</w:t>
            </w:r>
          </w:p>
        </w:tc>
        <w:tc>
          <w:tcPr>
            <w:tcW w:w="1620" w:type="dxa"/>
          </w:tcPr>
          <w:p w14:paraId="622CDBDD" w14:textId="161FE0F6" w:rsidR="00CE2172" w:rsidRPr="00E11FFB" w:rsidRDefault="00CE2172" w:rsidP="00CE2172">
            <w:pPr>
              <w:rPr>
                <w:b/>
                <w:bCs/>
                <w:sz w:val="16"/>
                <w:szCs w:val="16"/>
              </w:rPr>
            </w:pPr>
            <w:r w:rsidRPr="00E11FFB">
              <w:rPr>
                <w:b/>
                <w:bCs/>
                <w:sz w:val="16"/>
                <w:szCs w:val="16"/>
              </w:rPr>
              <w:t xml:space="preserve">Atteint </w:t>
            </w:r>
          </w:p>
        </w:tc>
        <w:tc>
          <w:tcPr>
            <w:tcW w:w="1890" w:type="dxa"/>
          </w:tcPr>
          <w:p w14:paraId="6DFB9DD3" w14:textId="6005F03E" w:rsidR="00CE2172" w:rsidRPr="00E11FFB" w:rsidRDefault="00CE2172" w:rsidP="00CE2172">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CE2172" w:rsidRPr="00E11FFB" w14:paraId="3CC10046" w14:textId="77777777" w:rsidTr="0041599C">
        <w:trPr>
          <w:trHeight w:val="389"/>
          <w:jc w:val="center"/>
        </w:trPr>
        <w:tc>
          <w:tcPr>
            <w:tcW w:w="3758" w:type="dxa"/>
          </w:tcPr>
          <w:p w14:paraId="594B99F2" w14:textId="37B5982A" w:rsidR="00CE2172" w:rsidRPr="00E11FFB" w:rsidRDefault="00CE2172" w:rsidP="00CE2172">
            <w:pPr>
              <w:rPr>
                <w:sz w:val="16"/>
                <w:szCs w:val="16"/>
              </w:rPr>
            </w:pPr>
            <w:r w:rsidRPr="00E11FFB">
              <w:rPr>
                <w:sz w:val="16"/>
                <w:szCs w:val="16"/>
              </w:rPr>
              <w:t>6.3.3 : Appuyer les DANTIC de l'ITIE.</w:t>
            </w:r>
          </w:p>
        </w:tc>
        <w:tc>
          <w:tcPr>
            <w:tcW w:w="798" w:type="dxa"/>
            <w:vMerge/>
            <w:vAlign w:val="center"/>
          </w:tcPr>
          <w:p w14:paraId="445DAC89" w14:textId="77777777" w:rsidR="00CE2172" w:rsidRPr="00E11FFB" w:rsidRDefault="00CE2172" w:rsidP="00CE2172">
            <w:pPr>
              <w:rPr>
                <w:rFonts w:ascii="Avenir" w:eastAsia="Avenir" w:hAnsi="Avenir" w:cs="Avenir"/>
                <w:color w:val="000000"/>
                <w:sz w:val="16"/>
                <w:szCs w:val="16"/>
              </w:rPr>
            </w:pPr>
          </w:p>
        </w:tc>
        <w:tc>
          <w:tcPr>
            <w:tcW w:w="1679" w:type="dxa"/>
            <w:vAlign w:val="center"/>
          </w:tcPr>
          <w:p w14:paraId="58B0D285" w14:textId="4B753424" w:rsidR="00CE2172" w:rsidRPr="00E11FFB" w:rsidRDefault="00CE2172" w:rsidP="00CE2172">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00" w:type="dxa"/>
            <w:vAlign w:val="center"/>
          </w:tcPr>
          <w:p w14:paraId="12890E7D" w14:textId="77777777" w:rsidR="00CE2172" w:rsidRPr="00E11FFB" w:rsidRDefault="00CE2172" w:rsidP="00CE2172">
            <w:pPr>
              <w:rPr>
                <w:rFonts w:ascii="Avenir" w:eastAsia="Avenir" w:hAnsi="Avenir" w:cs="Avenir"/>
                <w:bCs/>
                <w:color w:val="000000"/>
                <w:sz w:val="16"/>
                <w:szCs w:val="16"/>
              </w:rPr>
            </w:pPr>
            <w:r w:rsidRPr="00E11FFB">
              <w:rPr>
                <w:rFonts w:ascii="Avenir" w:eastAsia="Avenir" w:hAnsi="Avenir" w:cs="Avenir"/>
                <w:bCs/>
                <w:sz w:val="16"/>
                <w:szCs w:val="16"/>
              </w:rPr>
              <w:t>Rapport d’activité</w:t>
            </w:r>
          </w:p>
        </w:tc>
        <w:tc>
          <w:tcPr>
            <w:tcW w:w="2525" w:type="dxa"/>
          </w:tcPr>
          <w:p w14:paraId="2EFD808B" w14:textId="5EDE612C" w:rsidR="00CE2172" w:rsidRPr="00E11FFB" w:rsidRDefault="00CE2172" w:rsidP="00CE2172">
            <w:pPr>
              <w:rPr>
                <w:rFonts w:ascii="Avenir" w:eastAsia="Avenir" w:hAnsi="Avenir" w:cs="Avenir"/>
                <w:bCs/>
                <w:color w:val="000000"/>
                <w:sz w:val="16"/>
                <w:szCs w:val="16"/>
              </w:rPr>
            </w:pPr>
            <w:r w:rsidRPr="00E11FFB">
              <w:rPr>
                <w:rFonts w:ascii="Avenir" w:eastAsia="Avenir" w:hAnsi="Avenir" w:cs="Avenir"/>
                <w:bCs/>
                <w:color w:val="000000"/>
                <w:sz w:val="16"/>
                <w:szCs w:val="16"/>
              </w:rPr>
              <w:t>Site en cours de structuration</w:t>
            </w:r>
          </w:p>
        </w:tc>
        <w:tc>
          <w:tcPr>
            <w:tcW w:w="1620" w:type="dxa"/>
          </w:tcPr>
          <w:p w14:paraId="4E3911A3" w14:textId="1442CF58" w:rsidR="00CE2172" w:rsidRPr="00E11FFB" w:rsidRDefault="00CE2172" w:rsidP="00CE2172">
            <w:pPr>
              <w:rPr>
                <w:b/>
                <w:bCs/>
                <w:sz w:val="16"/>
                <w:szCs w:val="16"/>
              </w:rPr>
            </w:pPr>
            <w:r w:rsidRPr="00E11FFB">
              <w:rPr>
                <w:b/>
                <w:bCs/>
                <w:sz w:val="16"/>
                <w:szCs w:val="16"/>
              </w:rPr>
              <w:t xml:space="preserve">Atteint </w:t>
            </w:r>
          </w:p>
        </w:tc>
        <w:tc>
          <w:tcPr>
            <w:tcW w:w="1890" w:type="dxa"/>
          </w:tcPr>
          <w:p w14:paraId="7E667C71" w14:textId="62192E32" w:rsidR="00CE2172" w:rsidRPr="00E11FFB" w:rsidRDefault="00CE2172" w:rsidP="00CE2172">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bookmarkEnd w:id="15"/>
    </w:tbl>
    <w:p w14:paraId="1AD11742" w14:textId="77777777" w:rsidR="003C3A56" w:rsidRPr="00E11FFB" w:rsidRDefault="003C3A56" w:rsidP="00B669B6">
      <w:pPr>
        <w:pStyle w:val="Lgende"/>
        <w:keepNext/>
      </w:pPr>
    </w:p>
    <w:p w14:paraId="533455C5" w14:textId="2D95C73F" w:rsidR="00B669B6" w:rsidRPr="006D79E9" w:rsidRDefault="00E82414" w:rsidP="006D79E9">
      <w:pPr>
        <w:spacing w:before="240" w:after="5" w:line="276" w:lineRule="auto"/>
        <w:ind w:left="20" w:right="28" w:hanging="10"/>
        <w:jc w:val="both"/>
        <w:rPr>
          <w:rFonts w:ascii="Avenir" w:eastAsia="Avenir" w:hAnsi="Avenir" w:cs="Avenir"/>
          <w:color w:val="000000"/>
        </w:rPr>
      </w:pPr>
      <w:r>
        <w:rPr>
          <w:rFonts w:ascii="Avenir" w:eastAsia="Avenir" w:hAnsi="Avenir" w:cs="Avenir"/>
          <w:color w:val="000000"/>
        </w:rPr>
        <w:t xml:space="preserve">PTBA 2025 </w:t>
      </w:r>
      <w:r w:rsidR="00B669B6" w:rsidRPr="006D79E9">
        <w:rPr>
          <w:rFonts w:ascii="Avenir" w:eastAsia="Avenir" w:hAnsi="Avenir" w:cs="Avenir"/>
          <w:color w:val="000000"/>
        </w:rPr>
        <w:t>ACE</w:t>
      </w:r>
    </w:p>
    <w:tbl>
      <w:tblPr>
        <w:tblW w:w="145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68"/>
        <w:gridCol w:w="778"/>
        <w:gridCol w:w="1764"/>
        <w:gridCol w:w="2430"/>
        <w:gridCol w:w="2520"/>
        <w:gridCol w:w="1620"/>
        <w:gridCol w:w="1795"/>
      </w:tblGrid>
      <w:tr w:rsidR="00B669B6" w:rsidRPr="00E11FFB" w14:paraId="365301DB" w14:textId="77777777" w:rsidTr="00F42201">
        <w:trPr>
          <w:trHeight w:val="766"/>
          <w:tblHeader/>
          <w:jc w:val="center"/>
        </w:trPr>
        <w:tc>
          <w:tcPr>
            <w:tcW w:w="3668" w:type="dxa"/>
            <w:shd w:val="clear" w:color="auto" w:fill="A9D5E7"/>
          </w:tcPr>
          <w:p w14:paraId="19CB4654"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u w:val="single"/>
              </w:rPr>
              <w:t>Activité</w:t>
            </w:r>
            <w:r w:rsidRPr="00E11FFB">
              <w:rPr>
                <w:rFonts w:ascii="Avenir" w:eastAsia="Avenir" w:hAnsi="Avenir" w:cs="Avenir"/>
                <w:b/>
                <w:color w:val="000000"/>
                <w:sz w:val="16"/>
                <w:szCs w:val="16"/>
              </w:rPr>
              <w:t xml:space="preserve"> prévue dans le PTBA </w:t>
            </w:r>
            <w:r w:rsidRPr="00E11FFB">
              <w:rPr>
                <w:rFonts w:ascii="Avenir" w:eastAsia="Avenir" w:hAnsi="Avenir" w:cs="Avenir"/>
                <w:b/>
                <w:sz w:val="16"/>
                <w:szCs w:val="16"/>
              </w:rPr>
              <w:t>2025</w:t>
            </w:r>
          </w:p>
        </w:tc>
        <w:tc>
          <w:tcPr>
            <w:tcW w:w="778" w:type="dxa"/>
            <w:shd w:val="clear" w:color="auto" w:fill="A9D5E7"/>
          </w:tcPr>
          <w:p w14:paraId="2655BD3D"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Produit</w:t>
            </w:r>
            <w:r w:rsidRPr="00E11FFB">
              <w:rPr>
                <w:rFonts w:ascii="Avenir" w:eastAsia="Avenir" w:hAnsi="Avenir" w:cs="Avenir"/>
                <w:b/>
                <w:i/>
                <w:color w:val="000000"/>
                <w:sz w:val="20"/>
                <w:szCs w:val="20"/>
                <w:vertAlign w:val="superscript"/>
              </w:rPr>
              <w:footnoteReference w:id="35"/>
            </w:r>
            <w:r w:rsidRPr="00E11FFB">
              <w:rPr>
                <w:rFonts w:ascii="Avenir" w:eastAsia="Avenir" w:hAnsi="Avenir" w:cs="Avenir"/>
                <w:b/>
                <w:color w:val="000000"/>
                <w:sz w:val="16"/>
                <w:szCs w:val="16"/>
              </w:rPr>
              <w:t xml:space="preserve"> (ex. 1.1)</w:t>
            </w:r>
          </w:p>
        </w:tc>
        <w:tc>
          <w:tcPr>
            <w:tcW w:w="1764" w:type="dxa"/>
            <w:shd w:val="clear" w:color="auto" w:fill="A9D5E7"/>
          </w:tcPr>
          <w:p w14:paraId="424993E5"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Chronologie prévue pour cette activité</w:t>
            </w:r>
            <w:r w:rsidRPr="00E11FFB">
              <w:rPr>
                <w:rFonts w:ascii="Avenir" w:eastAsia="Avenir" w:hAnsi="Avenir" w:cs="Avenir"/>
                <w:b/>
                <w:i/>
                <w:color w:val="000000"/>
                <w:sz w:val="16"/>
                <w:szCs w:val="16"/>
                <w:vertAlign w:val="superscript"/>
              </w:rPr>
              <w:footnoteReference w:id="36"/>
            </w:r>
          </w:p>
        </w:tc>
        <w:tc>
          <w:tcPr>
            <w:tcW w:w="2430" w:type="dxa"/>
            <w:shd w:val="clear" w:color="auto" w:fill="A9D5E7"/>
          </w:tcPr>
          <w:p w14:paraId="1BBB7DA7"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Cible prévue dans le PTBA 2025</w:t>
            </w:r>
          </w:p>
        </w:tc>
        <w:tc>
          <w:tcPr>
            <w:tcW w:w="2520" w:type="dxa"/>
            <w:shd w:val="clear" w:color="auto" w:fill="A9D5E7"/>
          </w:tcPr>
          <w:p w14:paraId="02D031C2"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Valeur atteinte fin 2025</w:t>
            </w:r>
          </w:p>
        </w:tc>
        <w:tc>
          <w:tcPr>
            <w:tcW w:w="1620" w:type="dxa"/>
            <w:shd w:val="clear" w:color="auto" w:fill="A9D5E7"/>
          </w:tcPr>
          <w:p w14:paraId="08119AE6"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Statut </w:t>
            </w:r>
            <w:r w:rsidRPr="00E11FFB">
              <w:rPr>
                <w:rFonts w:ascii="Avenir" w:eastAsia="Avenir" w:hAnsi="Avenir" w:cs="Avenir"/>
                <w:b/>
                <w:sz w:val="16"/>
                <w:szCs w:val="16"/>
              </w:rPr>
              <w:t>à la fin de la période de rapportage</w:t>
            </w:r>
          </w:p>
        </w:tc>
        <w:tc>
          <w:tcPr>
            <w:tcW w:w="1795" w:type="dxa"/>
            <w:shd w:val="clear" w:color="auto" w:fill="A9D5E7"/>
          </w:tcPr>
          <w:p w14:paraId="26701E9C" w14:textId="77777777" w:rsidR="00B669B6" w:rsidRPr="00E11FFB" w:rsidRDefault="00B669B6" w:rsidP="003A6DE1">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et/ou défis attendus </w:t>
            </w:r>
            <w:r w:rsidRPr="00E11FFB">
              <w:rPr>
                <w:rFonts w:ascii="Avenir" w:eastAsia="Avenir" w:hAnsi="Avenir" w:cs="Avenir"/>
                <w:b/>
                <w:sz w:val="16"/>
                <w:szCs w:val="16"/>
              </w:rPr>
              <w:t>au cours de l’année suivante</w:t>
            </w:r>
          </w:p>
        </w:tc>
      </w:tr>
      <w:tr w:rsidR="00D744E4" w:rsidRPr="00E11FFB" w14:paraId="194D6BD6" w14:textId="77777777" w:rsidTr="00F42201">
        <w:trPr>
          <w:jc w:val="center"/>
        </w:trPr>
        <w:tc>
          <w:tcPr>
            <w:tcW w:w="3668" w:type="dxa"/>
            <w:vAlign w:val="center"/>
          </w:tcPr>
          <w:p w14:paraId="297B0C2F" w14:textId="37869451" w:rsidR="00D744E4" w:rsidRPr="00E11FFB" w:rsidRDefault="00D744E4" w:rsidP="00D744E4">
            <w:pPr>
              <w:rPr>
                <w:rFonts w:ascii="Avenir" w:eastAsia="Avenir" w:hAnsi="Avenir" w:cs="Avenir"/>
                <w:color w:val="000000"/>
                <w:sz w:val="16"/>
                <w:szCs w:val="16"/>
              </w:rPr>
            </w:pPr>
            <w:bookmarkStart w:id="16" w:name="_Hlk219273344"/>
            <w:r w:rsidRPr="00E11FFB">
              <w:rPr>
                <w:sz w:val="16"/>
                <w:szCs w:val="16"/>
              </w:rPr>
              <w:t>7.1.1 : Démontrer la mise en œuvre de obligations légales de réalisation des évaluations environnementales et sociales. Budget placé sous ITIE.</w:t>
            </w:r>
            <w:bookmarkEnd w:id="16"/>
          </w:p>
        </w:tc>
        <w:tc>
          <w:tcPr>
            <w:tcW w:w="778" w:type="dxa"/>
            <w:vMerge w:val="restart"/>
            <w:vAlign w:val="center"/>
          </w:tcPr>
          <w:p w14:paraId="708F2C28" w14:textId="77777777"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 xml:space="preserve">7.1 </w:t>
            </w:r>
          </w:p>
        </w:tc>
        <w:tc>
          <w:tcPr>
            <w:tcW w:w="1764" w:type="dxa"/>
            <w:vAlign w:val="center"/>
          </w:tcPr>
          <w:p w14:paraId="3F9DE681" w14:textId="47095CDA" w:rsidR="00D744E4" w:rsidRPr="00E11FFB" w:rsidRDefault="00D744E4" w:rsidP="00D744E4">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430" w:type="dxa"/>
          </w:tcPr>
          <w:p w14:paraId="27A0B2F7" w14:textId="0B8708FB" w:rsidR="00D744E4" w:rsidRPr="00E11FFB" w:rsidRDefault="00D744E4" w:rsidP="00D744E4">
            <w:pPr>
              <w:rPr>
                <w:rFonts w:ascii="Avenir" w:eastAsia="Avenir" w:hAnsi="Avenir" w:cs="Avenir"/>
                <w:color w:val="000000"/>
                <w:sz w:val="16"/>
                <w:szCs w:val="16"/>
              </w:rPr>
            </w:pPr>
            <w:r w:rsidRPr="00E11FFB">
              <w:rPr>
                <w:color w:val="000000"/>
                <w:sz w:val="16"/>
                <w:szCs w:val="16"/>
              </w:rPr>
              <w:t>Une Task force ACE mise en place, fonctionnelle dans le suivi des opérateurs sectoriels appelés à la réalisation des EIES. (6 projets suivi de préférence dans le PIREDD)</w:t>
            </w:r>
          </w:p>
        </w:tc>
        <w:tc>
          <w:tcPr>
            <w:tcW w:w="2520" w:type="dxa"/>
          </w:tcPr>
          <w:p w14:paraId="22F2546A" w14:textId="31B278B2"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Une équipe mise en place avec ITIE</w:t>
            </w:r>
          </w:p>
          <w:p w14:paraId="5AFE67E0" w14:textId="5440BF84"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Réunion des préparations et validation des TDRS</w:t>
            </w:r>
          </w:p>
        </w:tc>
        <w:tc>
          <w:tcPr>
            <w:tcW w:w="1620" w:type="dxa"/>
          </w:tcPr>
          <w:p w14:paraId="6CE3D46A" w14:textId="04AE75A1" w:rsidR="00D744E4" w:rsidRPr="00E11FFB" w:rsidRDefault="00807442" w:rsidP="00D744E4">
            <w:pPr>
              <w:rPr>
                <w:rFonts w:ascii="Avenir" w:eastAsia="Avenir" w:hAnsi="Avenir" w:cs="Avenir"/>
                <w:b/>
                <w:bCs/>
                <w:sz w:val="16"/>
                <w:szCs w:val="16"/>
              </w:rPr>
            </w:pPr>
            <w:r w:rsidRPr="00E11FFB">
              <w:rPr>
                <w:b/>
                <w:bCs/>
                <w:sz w:val="16"/>
                <w:szCs w:val="16"/>
              </w:rPr>
              <w:t>Atteint</w:t>
            </w:r>
            <w:r w:rsidR="00D744E4" w:rsidRPr="00E11FFB">
              <w:rPr>
                <w:b/>
                <w:bCs/>
                <w:sz w:val="16"/>
                <w:szCs w:val="16"/>
              </w:rPr>
              <w:t xml:space="preserve"> </w:t>
            </w:r>
          </w:p>
        </w:tc>
        <w:tc>
          <w:tcPr>
            <w:tcW w:w="1795" w:type="dxa"/>
          </w:tcPr>
          <w:p w14:paraId="7B58D0C1" w14:textId="5AB01B2F"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 xml:space="preserve">Evaluation du niveau de mise en œuvre des obligations socio-environnementales ; consultation des parties prenantes sur le draft 0 de l'évaluation et Elaboration du rapport et organisation des ateliers de validation. </w:t>
            </w:r>
          </w:p>
        </w:tc>
      </w:tr>
      <w:tr w:rsidR="00D744E4" w:rsidRPr="00E11FFB" w14:paraId="21AE5423" w14:textId="77777777" w:rsidTr="00F42201">
        <w:trPr>
          <w:jc w:val="center"/>
        </w:trPr>
        <w:tc>
          <w:tcPr>
            <w:tcW w:w="3668" w:type="dxa"/>
            <w:vAlign w:val="center"/>
          </w:tcPr>
          <w:p w14:paraId="4A2E9DA0" w14:textId="77777777" w:rsidR="00D744E4" w:rsidRPr="00E11FFB" w:rsidRDefault="00D744E4" w:rsidP="00D744E4">
            <w:pPr>
              <w:rPr>
                <w:rFonts w:ascii="Avenir" w:eastAsia="Avenir" w:hAnsi="Avenir" w:cs="Avenir"/>
                <w:color w:val="000000"/>
                <w:sz w:val="16"/>
                <w:szCs w:val="16"/>
              </w:rPr>
            </w:pPr>
            <w:r w:rsidRPr="00E11FFB">
              <w:rPr>
                <w:sz w:val="16"/>
                <w:szCs w:val="16"/>
              </w:rPr>
              <w:t>7.1.2 : Assurer l'instruction et l'évaluation des études.</w:t>
            </w:r>
          </w:p>
        </w:tc>
        <w:tc>
          <w:tcPr>
            <w:tcW w:w="778" w:type="dxa"/>
            <w:vMerge/>
            <w:vAlign w:val="center"/>
          </w:tcPr>
          <w:p w14:paraId="7961D565" w14:textId="77777777" w:rsidR="00D744E4" w:rsidRPr="00E11FFB" w:rsidRDefault="00D744E4" w:rsidP="00D744E4">
            <w:pPr>
              <w:rPr>
                <w:rFonts w:ascii="Avenir" w:eastAsia="Avenir" w:hAnsi="Avenir" w:cs="Avenir"/>
                <w:color w:val="000000"/>
                <w:sz w:val="16"/>
                <w:szCs w:val="16"/>
              </w:rPr>
            </w:pPr>
          </w:p>
        </w:tc>
        <w:tc>
          <w:tcPr>
            <w:tcW w:w="1764" w:type="dxa"/>
            <w:vAlign w:val="center"/>
          </w:tcPr>
          <w:p w14:paraId="39446E77" w14:textId="2E8987DC" w:rsidR="00D744E4" w:rsidRPr="00E11FFB" w:rsidRDefault="00D744E4" w:rsidP="00D744E4">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430" w:type="dxa"/>
          </w:tcPr>
          <w:p w14:paraId="114E9EEE" w14:textId="77777777" w:rsidR="00D744E4" w:rsidRPr="00E11FFB" w:rsidRDefault="00D744E4" w:rsidP="00D744E4">
            <w:pPr>
              <w:rPr>
                <w:rFonts w:ascii="Avenir" w:eastAsia="Avenir" w:hAnsi="Avenir" w:cs="Avenir"/>
                <w:color w:val="000000"/>
                <w:sz w:val="16"/>
                <w:szCs w:val="16"/>
              </w:rPr>
            </w:pPr>
            <w:r w:rsidRPr="00E11FFB">
              <w:rPr>
                <w:sz w:val="16"/>
                <w:szCs w:val="16"/>
              </w:rPr>
              <w:t>Au moins 12 EIES menées en relation avec la protection des aires protégées, priorité dans les PIREDD.</w:t>
            </w:r>
          </w:p>
        </w:tc>
        <w:tc>
          <w:tcPr>
            <w:tcW w:w="2520" w:type="dxa"/>
          </w:tcPr>
          <w:p w14:paraId="1033BFD2" w14:textId="472493C0"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 xml:space="preserve">11 EIES réalisées dans et autour des zones des aires protégées </w:t>
            </w:r>
          </w:p>
        </w:tc>
        <w:tc>
          <w:tcPr>
            <w:tcW w:w="1620" w:type="dxa"/>
          </w:tcPr>
          <w:p w14:paraId="2C5286F9" w14:textId="7463BC2F" w:rsidR="00D744E4" w:rsidRPr="00E11FFB" w:rsidRDefault="00D40E1D" w:rsidP="00D744E4">
            <w:pPr>
              <w:rPr>
                <w:rFonts w:ascii="Avenir" w:eastAsia="Avenir" w:hAnsi="Avenir" w:cs="Avenir"/>
                <w:b/>
                <w:bCs/>
                <w:sz w:val="16"/>
                <w:szCs w:val="16"/>
              </w:rPr>
            </w:pPr>
            <w:r w:rsidRPr="00E11FFB">
              <w:rPr>
                <w:b/>
                <w:bCs/>
                <w:sz w:val="16"/>
                <w:szCs w:val="16"/>
              </w:rPr>
              <w:t>En cours</w:t>
            </w:r>
          </w:p>
        </w:tc>
        <w:tc>
          <w:tcPr>
            <w:tcW w:w="1795" w:type="dxa"/>
          </w:tcPr>
          <w:p w14:paraId="7510D452" w14:textId="35B1FD36"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Certificats à livrer après intégration des commentaires par les promoteurs endéans 3mois (à dater du 30 Septembre 2025)</w:t>
            </w:r>
          </w:p>
        </w:tc>
      </w:tr>
      <w:tr w:rsidR="00D744E4" w:rsidRPr="00E11FFB" w14:paraId="09C514AA" w14:textId="77777777" w:rsidTr="00F42201">
        <w:trPr>
          <w:jc w:val="center"/>
        </w:trPr>
        <w:tc>
          <w:tcPr>
            <w:tcW w:w="3668" w:type="dxa"/>
            <w:vAlign w:val="center"/>
          </w:tcPr>
          <w:p w14:paraId="37DE906B" w14:textId="441FDC0F" w:rsidR="00D744E4" w:rsidRPr="00E11FFB" w:rsidRDefault="00D744E4" w:rsidP="00D744E4">
            <w:pPr>
              <w:rPr>
                <w:rFonts w:ascii="Avenir" w:eastAsia="Avenir" w:hAnsi="Avenir" w:cs="Avenir"/>
                <w:color w:val="000000"/>
                <w:sz w:val="16"/>
                <w:szCs w:val="16"/>
              </w:rPr>
            </w:pPr>
            <w:r w:rsidRPr="00E11FFB">
              <w:rPr>
                <w:sz w:val="16"/>
                <w:szCs w:val="16"/>
              </w:rPr>
              <w:t>7.1.3 : Suivi et contrôle environnemental du PGES</w:t>
            </w:r>
          </w:p>
        </w:tc>
        <w:tc>
          <w:tcPr>
            <w:tcW w:w="778" w:type="dxa"/>
            <w:vMerge/>
            <w:vAlign w:val="center"/>
          </w:tcPr>
          <w:p w14:paraId="70571A35" w14:textId="77777777" w:rsidR="00D744E4" w:rsidRPr="00E11FFB" w:rsidRDefault="00D744E4" w:rsidP="00D744E4">
            <w:pPr>
              <w:rPr>
                <w:rFonts w:ascii="Avenir" w:eastAsia="Avenir" w:hAnsi="Avenir" w:cs="Avenir"/>
                <w:color w:val="000000"/>
                <w:sz w:val="16"/>
                <w:szCs w:val="16"/>
              </w:rPr>
            </w:pPr>
          </w:p>
        </w:tc>
        <w:tc>
          <w:tcPr>
            <w:tcW w:w="1764" w:type="dxa"/>
            <w:vAlign w:val="center"/>
          </w:tcPr>
          <w:p w14:paraId="58954C14" w14:textId="1DD03FED" w:rsidR="00D744E4" w:rsidRPr="00E11FFB" w:rsidRDefault="00D744E4" w:rsidP="00D744E4">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430" w:type="dxa"/>
          </w:tcPr>
          <w:p w14:paraId="72947999" w14:textId="77777777" w:rsidR="00D744E4" w:rsidRPr="00E11FFB" w:rsidRDefault="00D744E4" w:rsidP="00D744E4">
            <w:pPr>
              <w:rPr>
                <w:rFonts w:ascii="Avenir" w:eastAsia="Avenir" w:hAnsi="Avenir" w:cs="Avenir"/>
                <w:color w:val="000000"/>
                <w:sz w:val="16"/>
                <w:szCs w:val="16"/>
              </w:rPr>
            </w:pPr>
            <w:r w:rsidRPr="00E11FFB">
              <w:rPr>
                <w:color w:val="000000"/>
                <w:sz w:val="16"/>
                <w:szCs w:val="16"/>
              </w:rPr>
              <w:t>Task force ACE appuyée pour le suivi dans la réalisation du projet Normes REDD+ dans les secteurs des Mines et des Hydrocarbures</w:t>
            </w:r>
          </w:p>
        </w:tc>
        <w:tc>
          <w:tcPr>
            <w:tcW w:w="2520" w:type="dxa"/>
          </w:tcPr>
          <w:p w14:paraId="7132537A" w14:textId="24B8BC5F" w:rsidR="00D744E4" w:rsidRPr="00E11FFB" w:rsidRDefault="00195B52" w:rsidP="00195B52">
            <w:pPr>
              <w:rPr>
                <w:rFonts w:ascii="Avenir" w:eastAsia="Avenir" w:hAnsi="Avenir" w:cs="Avenir"/>
                <w:color w:val="000000"/>
                <w:sz w:val="16"/>
                <w:szCs w:val="16"/>
              </w:rPr>
            </w:pPr>
            <w:r w:rsidRPr="00E11FFB">
              <w:rPr>
                <w:rFonts w:ascii="Avenir" w:eastAsia="Avenir" w:hAnsi="Avenir" w:cs="Avenir"/>
                <w:color w:val="000000"/>
                <w:sz w:val="16"/>
                <w:szCs w:val="16"/>
              </w:rPr>
              <w:t xml:space="preserve">4 </w:t>
            </w:r>
            <w:r w:rsidR="005A7E66" w:rsidRPr="00E11FFB">
              <w:rPr>
                <w:rFonts w:ascii="Avenir" w:eastAsia="Avenir" w:hAnsi="Avenir" w:cs="Avenir"/>
                <w:color w:val="000000"/>
                <w:sz w:val="16"/>
                <w:szCs w:val="16"/>
              </w:rPr>
              <w:t>missions de suivi PGES réalisées</w:t>
            </w:r>
          </w:p>
          <w:p w14:paraId="723888F4" w14:textId="6921DDCE" w:rsidR="00195B52" w:rsidRPr="00E11FFB" w:rsidRDefault="00195B52" w:rsidP="00195B52">
            <w:pPr>
              <w:rPr>
                <w:rFonts w:ascii="Avenir" w:eastAsia="Avenir" w:hAnsi="Avenir" w:cs="Avenir"/>
                <w:color w:val="000000"/>
                <w:sz w:val="16"/>
                <w:szCs w:val="16"/>
              </w:rPr>
            </w:pPr>
            <w:r w:rsidRPr="00E11FFB">
              <w:rPr>
                <w:rFonts w:ascii="Avenir" w:eastAsia="Avenir" w:hAnsi="Avenir" w:cs="Avenir"/>
                <w:color w:val="000000"/>
                <w:sz w:val="16"/>
                <w:szCs w:val="16"/>
              </w:rPr>
              <w:t xml:space="preserve">Réunions avec Mines et hydrocarbures, GIZ sur les normes du secteur. </w:t>
            </w:r>
          </w:p>
          <w:p w14:paraId="4509D6B9" w14:textId="3FFDDA7D" w:rsidR="00195B52" w:rsidRPr="00E11FFB" w:rsidRDefault="00195B52" w:rsidP="00195B52">
            <w:pPr>
              <w:rPr>
                <w:rFonts w:ascii="Avenir" w:eastAsia="Avenir" w:hAnsi="Avenir" w:cs="Avenir"/>
                <w:color w:val="000000"/>
                <w:sz w:val="16"/>
                <w:szCs w:val="16"/>
              </w:rPr>
            </w:pPr>
          </w:p>
        </w:tc>
        <w:tc>
          <w:tcPr>
            <w:tcW w:w="1620" w:type="dxa"/>
          </w:tcPr>
          <w:p w14:paraId="257F3FAA" w14:textId="6D0E6FC5" w:rsidR="00D744E4" w:rsidRPr="00E11FFB" w:rsidRDefault="0084180C" w:rsidP="00D744E4">
            <w:pPr>
              <w:rPr>
                <w:b/>
                <w:bCs/>
                <w:sz w:val="16"/>
                <w:szCs w:val="16"/>
              </w:rPr>
            </w:pPr>
            <w:r w:rsidRPr="00E11FFB">
              <w:rPr>
                <w:b/>
                <w:bCs/>
                <w:sz w:val="16"/>
                <w:szCs w:val="16"/>
              </w:rPr>
              <w:t xml:space="preserve">Atteint </w:t>
            </w:r>
          </w:p>
        </w:tc>
        <w:tc>
          <w:tcPr>
            <w:tcW w:w="1795" w:type="dxa"/>
          </w:tcPr>
          <w:p w14:paraId="1DBA290A" w14:textId="01941F4F" w:rsidR="00D744E4" w:rsidRPr="00E11FFB" w:rsidRDefault="005A7E66" w:rsidP="00D744E4">
            <w:pPr>
              <w:rPr>
                <w:rFonts w:ascii="Avenir" w:eastAsia="Avenir" w:hAnsi="Avenir" w:cs="Avenir"/>
                <w:color w:val="000000"/>
                <w:sz w:val="16"/>
                <w:szCs w:val="16"/>
              </w:rPr>
            </w:pPr>
            <w:r w:rsidRPr="00E11FFB">
              <w:rPr>
                <w:rFonts w:ascii="Avenir" w:eastAsia="Avenir" w:hAnsi="Avenir" w:cs="Avenir"/>
                <w:color w:val="000000"/>
                <w:sz w:val="16"/>
                <w:szCs w:val="16"/>
              </w:rPr>
              <w:t xml:space="preserve">13 missions supplémentaires planifiées. </w:t>
            </w:r>
            <w:r w:rsidR="00D32D31" w:rsidRPr="00E11FFB">
              <w:rPr>
                <w:rFonts w:ascii="Avenir" w:eastAsia="Avenir" w:hAnsi="Avenir" w:cs="Avenir"/>
                <w:color w:val="000000"/>
                <w:sz w:val="16"/>
                <w:szCs w:val="16"/>
              </w:rPr>
              <w:t xml:space="preserve">Publication d’un </w:t>
            </w:r>
            <w:r w:rsidR="00D32D31" w:rsidRPr="00E11FFB">
              <w:rPr>
                <w:rFonts w:ascii="Calibri" w:hAnsi="Calibri" w:cs="Calibri"/>
                <w:sz w:val="16"/>
                <w:szCs w:val="16"/>
                <w:lang w:eastAsia="fr-CD"/>
              </w:rPr>
              <w:t>rapport annuel</w:t>
            </w:r>
          </w:p>
        </w:tc>
      </w:tr>
      <w:tr w:rsidR="00D744E4" w:rsidRPr="00E11FFB" w14:paraId="4461437C" w14:textId="77777777" w:rsidTr="00F42201">
        <w:trPr>
          <w:jc w:val="center"/>
        </w:trPr>
        <w:tc>
          <w:tcPr>
            <w:tcW w:w="3668" w:type="dxa"/>
            <w:vAlign w:val="center"/>
          </w:tcPr>
          <w:p w14:paraId="68B681CA" w14:textId="7BB85017" w:rsidR="00D744E4" w:rsidRPr="00E11FFB" w:rsidRDefault="00D744E4" w:rsidP="00D744E4">
            <w:pPr>
              <w:rPr>
                <w:rFonts w:ascii="Avenir" w:eastAsia="Avenir" w:hAnsi="Avenir" w:cs="Avenir"/>
                <w:color w:val="000000"/>
                <w:sz w:val="16"/>
                <w:szCs w:val="16"/>
              </w:rPr>
            </w:pPr>
            <w:r w:rsidRPr="00E11FFB">
              <w:rPr>
                <w:sz w:val="16"/>
                <w:szCs w:val="16"/>
              </w:rPr>
              <w:t>7.2.1 : Exiger les EIES pour les investissements miniers et d'hydrocarbures dans la zone tampon d'aires protégées ainsi que l'application des mesures de sauvegardes ES.</w:t>
            </w:r>
          </w:p>
        </w:tc>
        <w:tc>
          <w:tcPr>
            <w:tcW w:w="778" w:type="dxa"/>
            <w:vAlign w:val="center"/>
          </w:tcPr>
          <w:p w14:paraId="3C9E1FE3" w14:textId="77777777"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7.2</w:t>
            </w:r>
          </w:p>
        </w:tc>
        <w:tc>
          <w:tcPr>
            <w:tcW w:w="1764" w:type="dxa"/>
            <w:vAlign w:val="center"/>
          </w:tcPr>
          <w:p w14:paraId="193A2AD3" w14:textId="02989EE8" w:rsidR="00D744E4" w:rsidRPr="00E11FFB" w:rsidRDefault="00D744E4" w:rsidP="00D744E4">
            <w:pPr>
              <w:rPr>
                <w:rFonts w:ascii="Avenir" w:eastAsia="Avenir" w:hAnsi="Avenir" w:cs="Avenir"/>
                <w:color w:val="000000"/>
                <w:sz w:val="16"/>
                <w:szCs w:val="16"/>
              </w:rPr>
            </w:pPr>
            <w:r w:rsidRPr="00E11FFB">
              <w:rPr>
                <w:rFonts w:ascii="Avenir" w:eastAsia="Avenir" w:hAnsi="Avenir" w:cs="Avenir"/>
                <w:b/>
                <w:color w:val="000000"/>
                <w:sz w:val="16"/>
                <w:szCs w:val="16"/>
              </w:rPr>
              <w:t>Du 01/04/2025 au 31/12/2025</w:t>
            </w:r>
          </w:p>
        </w:tc>
        <w:tc>
          <w:tcPr>
            <w:tcW w:w="2430" w:type="dxa"/>
          </w:tcPr>
          <w:p w14:paraId="67898E95" w14:textId="77777777" w:rsidR="00D744E4" w:rsidRPr="00E11FFB" w:rsidRDefault="00D744E4" w:rsidP="00D744E4">
            <w:pPr>
              <w:rPr>
                <w:rFonts w:ascii="Avenir" w:eastAsia="Avenir" w:hAnsi="Avenir" w:cs="Avenir"/>
                <w:b/>
                <w:color w:val="000000"/>
                <w:sz w:val="16"/>
                <w:szCs w:val="16"/>
              </w:rPr>
            </w:pPr>
            <w:r w:rsidRPr="00E11FFB">
              <w:rPr>
                <w:color w:val="000000"/>
                <w:sz w:val="16"/>
                <w:szCs w:val="16"/>
              </w:rPr>
              <w:t>Task force ACE appuyée pour le suivi dans la réalisation du projet Normes REDD+ dans les secteurs des Mines et des Hydrocarbures.</w:t>
            </w:r>
          </w:p>
        </w:tc>
        <w:tc>
          <w:tcPr>
            <w:tcW w:w="2520" w:type="dxa"/>
          </w:tcPr>
          <w:p w14:paraId="2442E3FF" w14:textId="44C02C2E" w:rsidR="00D744E4" w:rsidRPr="00E11FFB" w:rsidRDefault="00D32D31" w:rsidP="00D744E4">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atelier de vulgarisation des textes règlementaires </w:t>
            </w:r>
          </w:p>
          <w:p w14:paraId="38EF42EF" w14:textId="6154C3FB" w:rsidR="00D32D31" w:rsidRPr="00E11FFB" w:rsidRDefault="00195B52" w:rsidP="00D744E4">
            <w:pPr>
              <w:rPr>
                <w:rFonts w:ascii="Avenir" w:eastAsia="Avenir" w:hAnsi="Avenir" w:cs="Avenir"/>
                <w:bCs/>
                <w:color w:val="000000"/>
                <w:sz w:val="16"/>
                <w:szCs w:val="16"/>
              </w:rPr>
            </w:pPr>
            <w:r w:rsidRPr="00E11FFB">
              <w:rPr>
                <w:rFonts w:ascii="Avenir" w:eastAsia="Avenir" w:hAnsi="Avenir" w:cs="Avenir"/>
                <w:bCs/>
                <w:color w:val="000000"/>
                <w:sz w:val="16"/>
                <w:szCs w:val="16"/>
              </w:rPr>
              <w:t>4</w:t>
            </w:r>
            <w:r w:rsidR="00D32D31" w:rsidRPr="00E11FFB">
              <w:rPr>
                <w:rFonts w:ascii="Avenir" w:eastAsia="Avenir" w:hAnsi="Avenir" w:cs="Avenir"/>
                <w:bCs/>
                <w:color w:val="000000"/>
                <w:sz w:val="16"/>
                <w:szCs w:val="16"/>
              </w:rPr>
              <w:t xml:space="preserve"> missions de contre vérification en province</w:t>
            </w:r>
            <w:r w:rsidRPr="00E11FFB">
              <w:rPr>
                <w:rFonts w:ascii="Avenir" w:eastAsia="Avenir" w:hAnsi="Avenir" w:cs="Avenir"/>
                <w:bCs/>
                <w:color w:val="000000"/>
                <w:sz w:val="16"/>
                <w:szCs w:val="16"/>
              </w:rPr>
              <w:t xml:space="preserve"> et installation des brigades de contrôle</w:t>
            </w:r>
          </w:p>
          <w:p w14:paraId="232FD13B" w14:textId="192D6E36" w:rsidR="00D32D31" w:rsidRPr="00E11FFB" w:rsidRDefault="00D32D31" w:rsidP="00D744E4">
            <w:pPr>
              <w:rPr>
                <w:rFonts w:ascii="Avenir" w:eastAsia="Avenir" w:hAnsi="Avenir" w:cs="Avenir"/>
                <w:bCs/>
                <w:color w:val="000000"/>
                <w:sz w:val="16"/>
                <w:szCs w:val="16"/>
              </w:rPr>
            </w:pPr>
          </w:p>
        </w:tc>
        <w:tc>
          <w:tcPr>
            <w:tcW w:w="1620" w:type="dxa"/>
          </w:tcPr>
          <w:p w14:paraId="7C7A9BDF" w14:textId="7D3EBC40" w:rsidR="00D744E4" w:rsidRPr="00E11FFB" w:rsidRDefault="0084180C" w:rsidP="00D744E4">
            <w:pPr>
              <w:rPr>
                <w:rFonts w:ascii="Avenir" w:eastAsia="Avenir" w:hAnsi="Avenir" w:cs="Avenir"/>
                <w:b/>
                <w:bCs/>
                <w:sz w:val="16"/>
                <w:szCs w:val="16"/>
              </w:rPr>
            </w:pPr>
            <w:r w:rsidRPr="00E11FFB">
              <w:rPr>
                <w:b/>
                <w:bCs/>
                <w:sz w:val="16"/>
                <w:szCs w:val="16"/>
              </w:rPr>
              <w:t>Atteint</w:t>
            </w:r>
          </w:p>
        </w:tc>
        <w:tc>
          <w:tcPr>
            <w:tcW w:w="1795" w:type="dxa"/>
          </w:tcPr>
          <w:p w14:paraId="74B5C64A" w14:textId="2CC03B0A" w:rsidR="00D32D31" w:rsidRPr="00E11FFB" w:rsidRDefault="00D32D31" w:rsidP="00D32D31">
            <w:pPr>
              <w:rPr>
                <w:rFonts w:ascii="Avenir" w:eastAsia="Avenir" w:hAnsi="Avenir" w:cs="Avenir"/>
                <w:color w:val="000000"/>
                <w:sz w:val="16"/>
                <w:szCs w:val="16"/>
              </w:rPr>
            </w:pPr>
            <w:r w:rsidRPr="00E11FFB">
              <w:rPr>
                <w:rFonts w:ascii="Avenir" w:eastAsia="Avenir" w:hAnsi="Avenir" w:cs="Avenir"/>
                <w:color w:val="000000"/>
                <w:sz w:val="16"/>
                <w:szCs w:val="16"/>
              </w:rPr>
              <w:t xml:space="preserve">Vulgarisation des textes légaux et réglementaires en vigueur en la matière IES en province ; </w:t>
            </w:r>
          </w:p>
          <w:p w14:paraId="06BAB93E" w14:textId="1593A83E" w:rsidR="00D744E4" w:rsidRPr="00E11FFB" w:rsidRDefault="00D32D31" w:rsidP="00D32D31">
            <w:pPr>
              <w:rPr>
                <w:rFonts w:ascii="Avenir" w:eastAsia="Avenir" w:hAnsi="Avenir" w:cs="Avenir"/>
                <w:color w:val="000000"/>
                <w:sz w:val="16"/>
                <w:szCs w:val="16"/>
              </w:rPr>
            </w:pPr>
            <w:r w:rsidRPr="00E11FFB">
              <w:rPr>
                <w:rFonts w:ascii="Avenir" w:eastAsia="Avenir" w:hAnsi="Avenir" w:cs="Avenir"/>
                <w:color w:val="000000"/>
                <w:sz w:val="16"/>
                <w:szCs w:val="16"/>
              </w:rPr>
              <w:t>Contre-vérification des données de terrain par les services compétents par l'installation des Brigades de surveillance environnementale pérenne à travers le pays (7 provinces).</w:t>
            </w:r>
          </w:p>
        </w:tc>
      </w:tr>
      <w:tr w:rsidR="00D744E4" w:rsidRPr="00E11FFB" w14:paraId="205B62E5" w14:textId="77777777" w:rsidTr="00F42201">
        <w:trPr>
          <w:jc w:val="center"/>
        </w:trPr>
        <w:tc>
          <w:tcPr>
            <w:tcW w:w="3668" w:type="dxa"/>
            <w:vAlign w:val="center"/>
          </w:tcPr>
          <w:p w14:paraId="6266BC38" w14:textId="4A4F20FA" w:rsidR="00D744E4" w:rsidRPr="00E11FFB" w:rsidRDefault="00D744E4" w:rsidP="00D744E4">
            <w:pPr>
              <w:rPr>
                <w:sz w:val="16"/>
                <w:szCs w:val="16"/>
              </w:rPr>
            </w:pPr>
            <w:r w:rsidRPr="00E11FFB">
              <w:rPr>
                <w:sz w:val="16"/>
                <w:szCs w:val="16"/>
              </w:rPr>
              <w:t>7.3.1 : Assurer le suivi de la mise en œuvre et des réalisations.</w:t>
            </w:r>
          </w:p>
        </w:tc>
        <w:tc>
          <w:tcPr>
            <w:tcW w:w="778" w:type="dxa"/>
            <w:vAlign w:val="center"/>
          </w:tcPr>
          <w:p w14:paraId="1A4F97D3" w14:textId="77777777" w:rsidR="00D744E4" w:rsidRPr="00E11FFB" w:rsidRDefault="00D744E4" w:rsidP="00D744E4">
            <w:pPr>
              <w:rPr>
                <w:rFonts w:ascii="Avenir" w:eastAsia="Avenir" w:hAnsi="Avenir" w:cs="Avenir"/>
                <w:color w:val="000000"/>
                <w:sz w:val="16"/>
                <w:szCs w:val="16"/>
              </w:rPr>
            </w:pPr>
            <w:r w:rsidRPr="00E11FFB">
              <w:rPr>
                <w:rFonts w:ascii="Avenir" w:eastAsia="Avenir" w:hAnsi="Avenir" w:cs="Avenir"/>
                <w:color w:val="000000"/>
                <w:sz w:val="16"/>
                <w:szCs w:val="16"/>
              </w:rPr>
              <w:t>7.3</w:t>
            </w:r>
          </w:p>
        </w:tc>
        <w:tc>
          <w:tcPr>
            <w:tcW w:w="1764" w:type="dxa"/>
            <w:vAlign w:val="center"/>
          </w:tcPr>
          <w:p w14:paraId="7A802735" w14:textId="7BBFDEA5" w:rsidR="00D744E4" w:rsidRPr="00E11FFB" w:rsidRDefault="00D744E4" w:rsidP="00D744E4">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30" w:type="dxa"/>
            <w:vAlign w:val="center"/>
          </w:tcPr>
          <w:p w14:paraId="107BF1CD" w14:textId="77777777" w:rsidR="00D744E4" w:rsidRPr="00E11FFB" w:rsidRDefault="00D744E4" w:rsidP="00D744E4">
            <w:pPr>
              <w:rPr>
                <w:bCs/>
                <w:color w:val="000000"/>
                <w:sz w:val="16"/>
                <w:szCs w:val="16"/>
              </w:rPr>
            </w:pPr>
            <w:r w:rsidRPr="00E11FFB">
              <w:rPr>
                <w:rFonts w:ascii="Avenir" w:eastAsia="Avenir" w:hAnsi="Avenir" w:cs="Avenir"/>
                <w:bCs/>
                <w:color w:val="000000"/>
                <w:sz w:val="16"/>
                <w:szCs w:val="16"/>
              </w:rPr>
              <w:t xml:space="preserve">1 </w:t>
            </w:r>
            <w:r w:rsidRPr="00E11FFB">
              <w:rPr>
                <w:bCs/>
                <w:color w:val="000000"/>
                <w:sz w:val="16"/>
                <w:szCs w:val="16"/>
              </w:rPr>
              <w:t>rapport de réunion de suivi</w:t>
            </w:r>
          </w:p>
          <w:p w14:paraId="216D06E1" w14:textId="7BF2A544" w:rsidR="00181D8A" w:rsidRPr="00E11FFB" w:rsidRDefault="00181D8A" w:rsidP="00D744E4">
            <w:pPr>
              <w:rPr>
                <w:rFonts w:ascii="Avenir" w:eastAsia="Avenir" w:hAnsi="Avenir" w:cs="Avenir"/>
                <w:bCs/>
                <w:color w:val="000000"/>
                <w:sz w:val="16"/>
                <w:szCs w:val="16"/>
              </w:rPr>
            </w:pPr>
            <w:r w:rsidRPr="00E11FFB">
              <w:rPr>
                <w:bCs/>
                <w:color w:val="000000"/>
                <w:sz w:val="16"/>
                <w:szCs w:val="16"/>
              </w:rPr>
              <w:t>Manuel d’opérations et de procédures des évaluations environnementales et sociales</w:t>
            </w:r>
          </w:p>
        </w:tc>
        <w:tc>
          <w:tcPr>
            <w:tcW w:w="2520" w:type="dxa"/>
          </w:tcPr>
          <w:p w14:paraId="74CE4A7D" w14:textId="77777777" w:rsidR="00D744E4" w:rsidRPr="00E11FFB" w:rsidRDefault="00171557" w:rsidP="00D744E4">
            <w:pPr>
              <w:rPr>
                <w:rFonts w:ascii="Avenir" w:eastAsia="Avenir" w:hAnsi="Avenir" w:cs="Avenir"/>
                <w:bCs/>
                <w:color w:val="000000"/>
                <w:sz w:val="16"/>
                <w:szCs w:val="16"/>
              </w:rPr>
            </w:pPr>
            <w:r w:rsidRPr="00E11FFB">
              <w:rPr>
                <w:rFonts w:ascii="Avenir" w:eastAsia="Avenir" w:hAnsi="Avenir" w:cs="Avenir"/>
                <w:bCs/>
                <w:color w:val="000000"/>
                <w:sz w:val="16"/>
                <w:szCs w:val="16"/>
              </w:rPr>
              <w:t>3 Réunions de suivi de projet normes REDD+ dans le secteur de mine et hydrocarbure avec la GIZ </w:t>
            </w:r>
          </w:p>
          <w:p w14:paraId="6EADAB7E" w14:textId="0D3B475B" w:rsidR="00181D8A" w:rsidRPr="00E11FFB" w:rsidRDefault="00181D8A" w:rsidP="00D744E4">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Manuel d’opération </w:t>
            </w:r>
            <w:r w:rsidR="00195B52" w:rsidRPr="00E11FFB">
              <w:rPr>
                <w:rFonts w:ascii="Avenir" w:eastAsia="Avenir" w:hAnsi="Avenir" w:cs="Avenir"/>
                <w:bCs/>
                <w:color w:val="000000"/>
                <w:sz w:val="16"/>
                <w:szCs w:val="16"/>
              </w:rPr>
              <w:t>révisé</w:t>
            </w:r>
          </w:p>
        </w:tc>
        <w:tc>
          <w:tcPr>
            <w:tcW w:w="1620" w:type="dxa"/>
          </w:tcPr>
          <w:p w14:paraId="17990519" w14:textId="4E3EC091" w:rsidR="00D744E4" w:rsidRPr="00E11FFB" w:rsidRDefault="0084180C" w:rsidP="00D744E4">
            <w:pPr>
              <w:rPr>
                <w:b/>
                <w:bCs/>
                <w:sz w:val="16"/>
                <w:szCs w:val="16"/>
              </w:rPr>
            </w:pPr>
            <w:r w:rsidRPr="00E11FFB">
              <w:rPr>
                <w:b/>
                <w:bCs/>
                <w:sz w:val="16"/>
                <w:szCs w:val="16"/>
              </w:rPr>
              <w:t>Atteint</w:t>
            </w:r>
          </w:p>
        </w:tc>
        <w:tc>
          <w:tcPr>
            <w:tcW w:w="1795" w:type="dxa"/>
          </w:tcPr>
          <w:p w14:paraId="64656187" w14:textId="7969DF4F" w:rsidR="00D744E4" w:rsidRPr="00E11FFB" w:rsidRDefault="00181D8A" w:rsidP="00D744E4">
            <w:pPr>
              <w:rPr>
                <w:rFonts w:ascii="Avenir" w:eastAsia="Avenir" w:hAnsi="Avenir" w:cs="Avenir"/>
                <w:color w:val="000000"/>
                <w:sz w:val="16"/>
                <w:szCs w:val="16"/>
              </w:rPr>
            </w:pPr>
            <w:r w:rsidRPr="00E11FFB">
              <w:rPr>
                <w:rFonts w:ascii="Avenir" w:eastAsia="Avenir" w:hAnsi="Avenir" w:cs="Avenir"/>
                <w:color w:val="000000"/>
                <w:sz w:val="16"/>
                <w:szCs w:val="16"/>
              </w:rPr>
              <w:t>Appui de la Task force ACE au suivi et à la réalisation du projet Normes REDD+ dans les secteurs des Mines et des Hydrocarbures</w:t>
            </w:r>
          </w:p>
        </w:tc>
      </w:tr>
      <w:tr w:rsidR="00CA7A6E" w:rsidRPr="00E11FFB" w14:paraId="4B228F08" w14:textId="77777777" w:rsidTr="00F42201">
        <w:trPr>
          <w:jc w:val="center"/>
        </w:trPr>
        <w:tc>
          <w:tcPr>
            <w:tcW w:w="3668" w:type="dxa"/>
            <w:vAlign w:val="center"/>
          </w:tcPr>
          <w:p w14:paraId="6CED9F6A" w14:textId="09F3F0F9" w:rsidR="00CA7A6E" w:rsidRPr="00E11FFB" w:rsidRDefault="00CA7A6E" w:rsidP="00CA7A6E">
            <w:pPr>
              <w:rPr>
                <w:sz w:val="16"/>
                <w:szCs w:val="16"/>
              </w:rPr>
            </w:pPr>
            <w:r w:rsidRPr="00E11FFB">
              <w:rPr>
                <w:sz w:val="16"/>
                <w:szCs w:val="16"/>
              </w:rPr>
              <w:t>7.4.1 : Appuyer la Task-Force de pilotage de l'atteinte du processus de réalisation des jalons de LOI sous ACE.</w:t>
            </w:r>
          </w:p>
        </w:tc>
        <w:tc>
          <w:tcPr>
            <w:tcW w:w="778" w:type="dxa"/>
            <w:vMerge w:val="restart"/>
            <w:vAlign w:val="center"/>
          </w:tcPr>
          <w:p w14:paraId="7309967F" w14:textId="77777777" w:rsidR="00CA7A6E" w:rsidRPr="00E11FFB" w:rsidRDefault="00CA7A6E" w:rsidP="00CA7A6E">
            <w:pPr>
              <w:rPr>
                <w:rFonts w:ascii="Avenir" w:eastAsia="Avenir" w:hAnsi="Avenir" w:cs="Avenir"/>
                <w:color w:val="000000"/>
                <w:sz w:val="16"/>
                <w:szCs w:val="16"/>
              </w:rPr>
            </w:pPr>
          </w:p>
        </w:tc>
        <w:tc>
          <w:tcPr>
            <w:tcW w:w="1764" w:type="dxa"/>
            <w:vAlign w:val="center"/>
          </w:tcPr>
          <w:p w14:paraId="51DF830B" w14:textId="5C55FE67" w:rsidR="00CA7A6E" w:rsidRPr="00E11FFB" w:rsidRDefault="00CA7A6E" w:rsidP="00CA7A6E">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30" w:type="dxa"/>
            <w:vAlign w:val="center"/>
          </w:tcPr>
          <w:p w14:paraId="06B30F0C" w14:textId="77777777" w:rsidR="00CA7A6E" w:rsidRPr="00E11FFB" w:rsidRDefault="00CA7A6E" w:rsidP="00CA7A6E">
            <w:pPr>
              <w:rPr>
                <w:rFonts w:ascii="Avenir" w:eastAsia="Avenir" w:hAnsi="Avenir" w:cs="Avenir"/>
                <w:bCs/>
                <w:color w:val="000000"/>
                <w:sz w:val="16"/>
                <w:szCs w:val="16"/>
              </w:rPr>
            </w:pPr>
            <w:r w:rsidRPr="00E11FFB">
              <w:rPr>
                <w:rFonts w:ascii="Avenir" w:eastAsia="Avenir" w:hAnsi="Avenir" w:cs="Avenir"/>
                <w:bCs/>
                <w:sz w:val="16"/>
                <w:szCs w:val="16"/>
              </w:rPr>
              <w:t>Rapport d’activité</w:t>
            </w:r>
          </w:p>
        </w:tc>
        <w:tc>
          <w:tcPr>
            <w:tcW w:w="2520" w:type="dxa"/>
          </w:tcPr>
          <w:p w14:paraId="1E54EEDE" w14:textId="1002D91B" w:rsidR="00CA7A6E" w:rsidRPr="00E11FFB" w:rsidRDefault="00CA7A6E" w:rsidP="00CA7A6E">
            <w:pPr>
              <w:rPr>
                <w:rFonts w:ascii="Avenir" w:eastAsia="Avenir" w:hAnsi="Avenir" w:cs="Avenir"/>
                <w:bCs/>
                <w:color w:val="000000"/>
                <w:sz w:val="16"/>
                <w:szCs w:val="16"/>
              </w:rPr>
            </w:pPr>
            <w:r w:rsidRPr="00E11FFB">
              <w:rPr>
                <w:rFonts w:ascii="Avenir" w:eastAsia="Avenir" w:hAnsi="Avenir" w:cs="Avenir"/>
                <w:bCs/>
                <w:color w:val="000000"/>
                <w:sz w:val="16"/>
                <w:szCs w:val="16"/>
              </w:rPr>
              <w:t>Rapports individuels des membres de la task-force pour la période d’avril à décembre 2025</w:t>
            </w:r>
          </w:p>
        </w:tc>
        <w:tc>
          <w:tcPr>
            <w:tcW w:w="1620" w:type="dxa"/>
          </w:tcPr>
          <w:p w14:paraId="3B5C7445" w14:textId="584F8F30" w:rsidR="00CA7A6E" w:rsidRPr="00E11FFB" w:rsidRDefault="00CA7A6E" w:rsidP="00CA7A6E">
            <w:pPr>
              <w:rPr>
                <w:b/>
                <w:bCs/>
                <w:sz w:val="16"/>
                <w:szCs w:val="16"/>
              </w:rPr>
            </w:pPr>
            <w:r w:rsidRPr="00E11FFB">
              <w:rPr>
                <w:b/>
                <w:bCs/>
                <w:sz w:val="16"/>
                <w:szCs w:val="16"/>
              </w:rPr>
              <w:t>Atteint</w:t>
            </w:r>
          </w:p>
        </w:tc>
        <w:tc>
          <w:tcPr>
            <w:tcW w:w="1795" w:type="dxa"/>
          </w:tcPr>
          <w:p w14:paraId="64E548B1" w14:textId="7F351A7C" w:rsidR="00CA7A6E" w:rsidRPr="00E11FFB" w:rsidRDefault="00CA7A6E" w:rsidP="00CA7A6E">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des activités des jalons de la task-force et production des rapports mensuels pour chaque membre. </w:t>
            </w:r>
          </w:p>
        </w:tc>
      </w:tr>
      <w:tr w:rsidR="00CA7A6E" w:rsidRPr="00E11FFB" w14:paraId="20279A5F" w14:textId="77777777" w:rsidTr="00F42201">
        <w:trPr>
          <w:jc w:val="center"/>
        </w:trPr>
        <w:tc>
          <w:tcPr>
            <w:tcW w:w="3668" w:type="dxa"/>
            <w:vAlign w:val="center"/>
          </w:tcPr>
          <w:p w14:paraId="07D612DB" w14:textId="3DBD35B2" w:rsidR="00CA7A6E" w:rsidRPr="00E11FFB" w:rsidRDefault="00CA7A6E" w:rsidP="00CA7A6E">
            <w:pPr>
              <w:rPr>
                <w:sz w:val="16"/>
                <w:szCs w:val="16"/>
              </w:rPr>
            </w:pPr>
            <w:r w:rsidRPr="00E11FFB">
              <w:rPr>
                <w:sz w:val="16"/>
                <w:szCs w:val="16"/>
              </w:rPr>
              <w:t>7.4.2 : Appuyer le fonctionnement et la logistique de la Task-Force d'appui à la réalisation des jalons sous ACE</w:t>
            </w:r>
            <w:r w:rsidRPr="00E11FFB">
              <w:rPr>
                <w:sz w:val="16"/>
                <w:szCs w:val="16"/>
              </w:rPr>
              <w:br/>
            </w:r>
          </w:p>
        </w:tc>
        <w:tc>
          <w:tcPr>
            <w:tcW w:w="778" w:type="dxa"/>
            <w:vMerge/>
            <w:vAlign w:val="center"/>
          </w:tcPr>
          <w:p w14:paraId="3A9E1315" w14:textId="77777777" w:rsidR="00CA7A6E" w:rsidRPr="00E11FFB" w:rsidRDefault="00CA7A6E" w:rsidP="00CA7A6E">
            <w:pPr>
              <w:rPr>
                <w:rFonts w:ascii="Avenir" w:eastAsia="Avenir" w:hAnsi="Avenir" w:cs="Avenir"/>
                <w:color w:val="000000"/>
                <w:sz w:val="16"/>
                <w:szCs w:val="16"/>
              </w:rPr>
            </w:pPr>
          </w:p>
        </w:tc>
        <w:tc>
          <w:tcPr>
            <w:tcW w:w="1764" w:type="dxa"/>
            <w:vAlign w:val="center"/>
          </w:tcPr>
          <w:p w14:paraId="5D4ED6F5" w14:textId="0B10EFCF" w:rsidR="00CA7A6E" w:rsidRPr="00E11FFB" w:rsidRDefault="00CA7A6E" w:rsidP="00CA7A6E">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30" w:type="dxa"/>
            <w:vAlign w:val="center"/>
          </w:tcPr>
          <w:p w14:paraId="34995609" w14:textId="4B9C042D" w:rsidR="00CA7A6E" w:rsidRPr="00E11FFB" w:rsidRDefault="00CA7A6E" w:rsidP="00CA7A6E">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équipement et formation </w:t>
            </w:r>
          </w:p>
          <w:p w14:paraId="798679B9" w14:textId="77777777" w:rsidR="00CA7A6E" w:rsidRPr="00E11FFB" w:rsidRDefault="00CA7A6E" w:rsidP="00CA7A6E">
            <w:pPr>
              <w:rPr>
                <w:rFonts w:ascii="Avenir" w:eastAsia="Avenir" w:hAnsi="Avenir" w:cs="Avenir"/>
                <w:bCs/>
                <w:color w:val="000000"/>
                <w:sz w:val="16"/>
                <w:szCs w:val="16"/>
              </w:rPr>
            </w:pPr>
            <w:r w:rsidRPr="00E11FFB">
              <w:rPr>
                <w:bCs/>
                <w:color w:val="000000"/>
                <w:sz w:val="16"/>
                <w:szCs w:val="16"/>
              </w:rPr>
              <w:t>Fourniture de bureau et consommables</w:t>
            </w:r>
          </w:p>
          <w:p w14:paraId="36F8A1F9" w14:textId="77777777" w:rsidR="00CA7A6E" w:rsidRPr="00E11FFB" w:rsidRDefault="00CA7A6E" w:rsidP="00CA7A6E">
            <w:pPr>
              <w:rPr>
                <w:rFonts w:ascii="Avenir" w:eastAsia="Avenir" w:hAnsi="Avenir" w:cs="Avenir"/>
                <w:b/>
                <w:color w:val="000000"/>
                <w:sz w:val="16"/>
                <w:szCs w:val="16"/>
              </w:rPr>
            </w:pPr>
            <w:r w:rsidRPr="00E11FFB">
              <w:rPr>
                <w:bCs/>
                <w:color w:val="000000"/>
                <w:sz w:val="16"/>
                <w:szCs w:val="16"/>
              </w:rPr>
              <w:t>1 véhicule</w:t>
            </w:r>
          </w:p>
        </w:tc>
        <w:tc>
          <w:tcPr>
            <w:tcW w:w="2520" w:type="dxa"/>
          </w:tcPr>
          <w:p w14:paraId="7B6A995B" w14:textId="3345FABD" w:rsidR="00CA7A6E" w:rsidRPr="00E11FFB" w:rsidRDefault="00CA7A6E" w:rsidP="00CA7A6E">
            <w:pPr>
              <w:rPr>
                <w:rFonts w:ascii="Avenir" w:eastAsia="Avenir" w:hAnsi="Avenir" w:cs="Avenir"/>
                <w:bCs/>
                <w:color w:val="000000"/>
                <w:sz w:val="16"/>
                <w:szCs w:val="16"/>
              </w:rPr>
            </w:pPr>
            <w:r w:rsidRPr="00E11FFB">
              <w:rPr>
                <w:rFonts w:ascii="Avenir" w:eastAsia="Avenir" w:hAnsi="Avenir" w:cs="Avenir"/>
                <w:bCs/>
                <w:color w:val="000000"/>
                <w:sz w:val="16"/>
                <w:szCs w:val="16"/>
              </w:rPr>
              <w:t>Membres de la taskforce équipé et formé</w:t>
            </w:r>
          </w:p>
        </w:tc>
        <w:tc>
          <w:tcPr>
            <w:tcW w:w="1620" w:type="dxa"/>
          </w:tcPr>
          <w:p w14:paraId="438A3856" w14:textId="1EB0E986" w:rsidR="00CA7A6E" w:rsidRPr="00E11FFB" w:rsidRDefault="00CA7A6E" w:rsidP="00CA7A6E">
            <w:pPr>
              <w:rPr>
                <w:b/>
                <w:bCs/>
                <w:sz w:val="16"/>
                <w:szCs w:val="16"/>
              </w:rPr>
            </w:pPr>
            <w:r w:rsidRPr="00E11FFB">
              <w:rPr>
                <w:b/>
                <w:bCs/>
                <w:sz w:val="16"/>
                <w:szCs w:val="16"/>
              </w:rPr>
              <w:t xml:space="preserve">Atteint </w:t>
            </w:r>
          </w:p>
        </w:tc>
        <w:tc>
          <w:tcPr>
            <w:tcW w:w="1795" w:type="dxa"/>
          </w:tcPr>
          <w:p w14:paraId="28A013E2" w14:textId="03FB6A63" w:rsidR="00CA7A6E" w:rsidRPr="00E11FFB" w:rsidRDefault="00CA7A6E" w:rsidP="00CA7A6E">
            <w:pPr>
              <w:rPr>
                <w:rFonts w:ascii="Avenir" w:eastAsia="Avenir" w:hAnsi="Avenir" w:cs="Avenir"/>
                <w:color w:val="000000"/>
                <w:sz w:val="16"/>
                <w:szCs w:val="16"/>
              </w:rPr>
            </w:pPr>
            <w:r w:rsidRPr="00E11FFB">
              <w:rPr>
                <w:rFonts w:ascii="Avenir" w:eastAsia="Avenir" w:hAnsi="Avenir" w:cs="Avenir"/>
                <w:color w:val="000000"/>
                <w:sz w:val="16"/>
                <w:szCs w:val="16"/>
              </w:rPr>
              <w:t xml:space="preserve">Formation continue des membres de la task-force. </w:t>
            </w:r>
          </w:p>
        </w:tc>
      </w:tr>
      <w:tr w:rsidR="00CA7A6E" w:rsidRPr="00E11FFB" w14:paraId="3E4FF0BB" w14:textId="77777777" w:rsidTr="00F42201">
        <w:trPr>
          <w:jc w:val="center"/>
        </w:trPr>
        <w:tc>
          <w:tcPr>
            <w:tcW w:w="3668" w:type="dxa"/>
            <w:vAlign w:val="center"/>
          </w:tcPr>
          <w:p w14:paraId="2A59FD1D" w14:textId="77777777" w:rsidR="00CA7A6E" w:rsidRPr="00E11FFB" w:rsidRDefault="00CA7A6E" w:rsidP="00CA7A6E">
            <w:pPr>
              <w:rPr>
                <w:sz w:val="16"/>
                <w:szCs w:val="16"/>
              </w:rPr>
            </w:pPr>
            <w:r w:rsidRPr="00E11FFB">
              <w:rPr>
                <w:sz w:val="16"/>
                <w:szCs w:val="16"/>
              </w:rPr>
              <w:t>Activité 7.4.3 : Appuyer les DANTIC de l'ACE.</w:t>
            </w:r>
          </w:p>
        </w:tc>
        <w:tc>
          <w:tcPr>
            <w:tcW w:w="778" w:type="dxa"/>
          </w:tcPr>
          <w:p w14:paraId="595009C4" w14:textId="77777777" w:rsidR="00CA7A6E" w:rsidRPr="00E11FFB" w:rsidRDefault="00CA7A6E" w:rsidP="00CA7A6E">
            <w:pPr>
              <w:rPr>
                <w:rFonts w:ascii="Avenir" w:eastAsia="Avenir" w:hAnsi="Avenir" w:cs="Avenir"/>
                <w:color w:val="000000"/>
                <w:sz w:val="16"/>
                <w:szCs w:val="16"/>
              </w:rPr>
            </w:pPr>
            <w:r w:rsidRPr="00E11FFB">
              <w:rPr>
                <w:rFonts w:ascii="Avenir" w:eastAsia="Avenir" w:hAnsi="Avenir" w:cs="Avenir"/>
                <w:color w:val="000000"/>
                <w:sz w:val="16"/>
                <w:szCs w:val="16"/>
              </w:rPr>
              <w:t>7.4</w:t>
            </w:r>
          </w:p>
        </w:tc>
        <w:tc>
          <w:tcPr>
            <w:tcW w:w="1764" w:type="dxa"/>
            <w:vAlign w:val="center"/>
          </w:tcPr>
          <w:p w14:paraId="6E9381F0" w14:textId="73E35CFB" w:rsidR="00CA7A6E" w:rsidRPr="00E11FFB" w:rsidRDefault="00CA7A6E" w:rsidP="00CA7A6E">
            <w:pPr>
              <w:rPr>
                <w:rFonts w:ascii="Avenir" w:eastAsia="Avenir" w:hAnsi="Avenir" w:cs="Avenir"/>
                <w:b/>
                <w:color w:val="000000"/>
                <w:sz w:val="16"/>
                <w:szCs w:val="16"/>
              </w:rPr>
            </w:pPr>
            <w:r w:rsidRPr="00E11FFB">
              <w:rPr>
                <w:rFonts w:ascii="Avenir" w:eastAsia="Avenir" w:hAnsi="Avenir" w:cs="Avenir"/>
                <w:b/>
                <w:color w:val="000000"/>
                <w:sz w:val="16"/>
                <w:szCs w:val="16"/>
              </w:rPr>
              <w:t>Du 01/04/2025 au 31/12/2025</w:t>
            </w:r>
          </w:p>
        </w:tc>
        <w:tc>
          <w:tcPr>
            <w:tcW w:w="2430" w:type="dxa"/>
            <w:vAlign w:val="center"/>
          </w:tcPr>
          <w:p w14:paraId="2BECB6F2" w14:textId="77777777" w:rsidR="00CA7A6E" w:rsidRPr="00E11FFB" w:rsidRDefault="00CA7A6E" w:rsidP="00CA7A6E">
            <w:pPr>
              <w:rPr>
                <w:rFonts w:ascii="Avenir" w:eastAsia="Avenir" w:hAnsi="Avenir" w:cs="Avenir"/>
                <w:bCs/>
                <w:sz w:val="16"/>
                <w:szCs w:val="16"/>
              </w:rPr>
            </w:pPr>
            <w:r w:rsidRPr="00E11FFB">
              <w:rPr>
                <w:rFonts w:ascii="Avenir" w:eastAsia="Avenir" w:hAnsi="Avenir" w:cs="Avenir"/>
                <w:bCs/>
                <w:sz w:val="16"/>
                <w:szCs w:val="16"/>
              </w:rPr>
              <w:t>Rapport d’activité</w:t>
            </w:r>
          </w:p>
        </w:tc>
        <w:tc>
          <w:tcPr>
            <w:tcW w:w="2520" w:type="dxa"/>
          </w:tcPr>
          <w:p w14:paraId="333324FA" w14:textId="5F2D0DFD" w:rsidR="00CA7A6E" w:rsidRPr="00E11FFB" w:rsidRDefault="00CA7A6E" w:rsidP="00CA7A6E">
            <w:pPr>
              <w:rPr>
                <w:rFonts w:ascii="Avenir" w:eastAsia="Avenir" w:hAnsi="Avenir" w:cs="Avenir"/>
                <w:bCs/>
                <w:color w:val="000000"/>
                <w:sz w:val="16"/>
                <w:szCs w:val="16"/>
              </w:rPr>
            </w:pPr>
            <w:r w:rsidRPr="00E11FFB">
              <w:rPr>
                <w:rFonts w:ascii="Avenir" w:eastAsia="Avenir" w:hAnsi="Avenir" w:cs="Avenir"/>
                <w:bCs/>
                <w:color w:val="000000"/>
                <w:sz w:val="16"/>
                <w:szCs w:val="16"/>
              </w:rPr>
              <w:t>Site en cours de structuration</w:t>
            </w:r>
          </w:p>
        </w:tc>
        <w:tc>
          <w:tcPr>
            <w:tcW w:w="1620" w:type="dxa"/>
          </w:tcPr>
          <w:p w14:paraId="4C1E541A" w14:textId="538ECCFA" w:rsidR="00CA7A6E" w:rsidRPr="00E11FFB" w:rsidRDefault="0084180C" w:rsidP="00CA7A6E">
            <w:pPr>
              <w:rPr>
                <w:b/>
                <w:bCs/>
                <w:sz w:val="16"/>
                <w:szCs w:val="16"/>
              </w:rPr>
            </w:pPr>
            <w:r w:rsidRPr="00E11FFB">
              <w:rPr>
                <w:b/>
                <w:bCs/>
                <w:sz w:val="16"/>
                <w:szCs w:val="16"/>
              </w:rPr>
              <w:t xml:space="preserve">En cours </w:t>
            </w:r>
            <w:r w:rsidR="00CA7A6E" w:rsidRPr="00E11FFB">
              <w:rPr>
                <w:b/>
                <w:bCs/>
                <w:sz w:val="16"/>
                <w:szCs w:val="16"/>
              </w:rPr>
              <w:t xml:space="preserve"> </w:t>
            </w:r>
          </w:p>
        </w:tc>
        <w:tc>
          <w:tcPr>
            <w:tcW w:w="1795" w:type="dxa"/>
          </w:tcPr>
          <w:p w14:paraId="428D35A6" w14:textId="354E05E1" w:rsidR="00CA7A6E" w:rsidRPr="00E11FFB" w:rsidRDefault="00CA7A6E" w:rsidP="00CA7A6E">
            <w:pPr>
              <w:rPr>
                <w:rFonts w:ascii="Avenir" w:eastAsia="Avenir" w:hAnsi="Avenir" w:cs="Avenir"/>
                <w:color w:val="000000"/>
                <w:sz w:val="16"/>
                <w:szCs w:val="16"/>
              </w:rPr>
            </w:pPr>
            <w:r w:rsidRPr="00E11FFB">
              <w:rPr>
                <w:rFonts w:ascii="Avenir" w:eastAsia="Avenir" w:hAnsi="Avenir" w:cs="Avenir"/>
                <w:color w:val="000000"/>
                <w:sz w:val="16"/>
                <w:szCs w:val="16"/>
              </w:rPr>
              <w:t xml:space="preserve">Suivi de la structuration du site et publication des résultats du projet. </w:t>
            </w:r>
          </w:p>
        </w:tc>
      </w:tr>
    </w:tbl>
    <w:p w14:paraId="230D0558" w14:textId="77777777" w:rsidR="00B669B6" w:rsidRPr="00E11FFB" w:rsidRDefault="00B669B6" w:rsidP="00B669B6">
      <w:pPr>
        <w:tabs>
          <w:tab w:val="left" w:pos="4101"/>
        </w:tabs>
        <w:rPr>
          <w:rFonts w:ascii="Avenir" w:eastAsia="Avenir" w:hAnsi="Avenir" w:cs="Avenir"/>
          <w:color w:val="000000"/>
          <w:sz w:val="21"/>
          <w:szCs w:val="21"/>
        </w:rPr>
      </w:pPr>
    </w:p>
    <w:p w14:paraId="7DC6F7E5" w14:textId="47DBE110" w:rsidR="00B669B6" w:rsidRPr="00E11FFB" w:rsidRDefault="00B669B6" w:rsidP="00B669B6">
      <w:pPr>
        <w:tabs>
          <w:tab w:val="left" w:pos="4101"/>
        </w:tabs>
        <w:rPr>
          <w:rFonts w:ascii="Avenir" w:eastAsia="Avenir" w:hAnsi="Avenir" w:cs="Avenir"/>
          <w:sz w:val="21"/>
          <w:szCs w:val="21"/>
        </w:rPr>
        <w:sectPr w:rsidR="00B669B6" w:rsidRPr="00E11FFB" w:rsidSect="00107E6A">
          <w:headerReference w:type="first" r:id="rId25"/>
          <w:pgSz w:w="16840" w:h="11900" w:orient="landscape"/>
          <w:pgMar w:top="1579" w:right="1961" w:bottom="1557" w:left="1493" w:header="1020" w:footer="1115" w:gutter="0"/>
          <w:pgNumType w:start="0"/>
          <w:cols w:space="720"/>
          <w:titlePg/>
        </w:sectPr>
      </w:pPr>
      <w:r w:rsidRPr="00E11FFB">
        <w:rPr>
          <w:rFonts w:ascii="Avenir" w:eastAsia="Avenir" w:hAnsi="Avenir" w:cs="Avenir"/>
          <w:sz w:val="21"/>
          <w:szCs w:val="21"/>
        </w:rPr>
        <w:tab/>
      </w:r>
    </w:p>
    <w:p w14:paraId="5520F970" w14:textId="77777777" w:rsidR="0024617D" w:rsidRPr="00E11FFB" w:rsidRDefault="00C83F85">
      <w:pPr>
        <w:pStyle w:val="Titre1"/>
        <w:numPr>
          <w:ilvl w:val="0"/>
          <w:numId w:val="1"/>
        </w:numPr>
      </w:pPr>
      <w:bookmarkStart w:id="17" w:name="_Toc224044710"/>
      <w:r w:rsidRPr="00E11FFB">
        <w:t>Résultats du Projet</w:t>
      </w:r>
      <w:bookmarkEnd w:id="17"/>
    </w:p>
    <w:p w14:paraId="6D0E113B" w14:textId="77777777" w:rsidR="0024617D" w:rsidRPr="00E11FFB" w:rsidRDefault="00C83F85">
      <w:pPr>
        <w:pStyle w:val="Titre2"/>
      </w:pPr>
      <w:bookmarkStart w:id="18" w:name="_Toc224044711"/>
      <w:r w:rsidRPr="00E11FFB">
        <w:t>5.1 Contributions du projet à l’atteinte des indicateurs du cadre de résultats de CAFI</w:t>
      </w:r>
      <w:bookmarkEnd w:id="18"/>
    </w:p>
    <w:p w14:paraId="4FB7F294" w14:textId="77777777" w:rsidR="0024617D" w:rsidRPr="00E11FFB" w:rsidRDefault="0024617D">
      <w:pPr>
        <w:jc w:val="both"/>
        <w:rPr>
          <w:rFonts w:ascii="Avenir" w:eastAsia="Avenir" w:hAnsi="Avenir" w:cs="Avenir"/>
          <w:i/>
          <w:color w:val="000000"/>
          <w:sz w:val="20"/>
          <w:szCs w:val="20"/>
        </w:rPr>
      </w:pPr>
    </w:p>
    <w:tbl>
      <w:tblPr>
        <w:tblStyle w:val="18"/>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1210"/>
        <w:gridCol w:w="1203"/>
        <w:gridCol w:w="1203"/>
        <w:gridCol w:w="1204"/>
        <w:gridCol w:w="1285"/>
        <w:gridCol w:w="1316"/>
        <w:gridCol w:w="1333"/>
      </w:tblGrid>
      <w:tr w:rsidR="0024617D" w:rsidRPr="00E11FFB" w14:paraId="367B8D40" w14:textId="77777777">
        <w:trPr>
          <w:trHeight w:val="426"/>
          <w:jc w:val="center"/>
        </w:trPr>
        <w:tc>
          <w:tcPr>
            <w:tcW w:w="8754" w:type="dxa"/>
            <w:gridSpan w:val="7"/>
            <w:tcBorders>
              <w:top w:val="single" w:sz="4" w:space="0" w:color="000000"/>
              <w:left w:val="single" w:sz="4" w:space="0" w:color="000000"/>
              <w:bottom w:val="single" w:sz="4" w:space="0" w:color="000000"/>
              <w:right w:val="single" w:sz="4" w:space="0" w:color="000000"/>
            </w:tcBorders>
            <w:shd w:val="clear" w:color="auto" w:fill="FFFFFF"/>
          </w:tcPr>
          <w:p w14:paraId="6072FDB2" w14:textId="77777777" w:rsidR="0024617D" w:rsidRPr="00E11FFB" w:rsidRDefault="00C83F85">
            <w:pPr>
              <w:spacing w:after="5" w:line="271" w:lineRule="auto"/>
              <w:jc w:val="center"/>
              <w:rPr>
                <w:rFonts w:ascii="Avenir" w:eastAsia="Avenir" w:hAnsi="Avenir" w:cs="Avenir"/>
                <w:b/>
                <w:sz w:val="28"/>
                <w:szCs w:val="28"/>
              </w:rPr>
            </w:pPr>
            <w:r w:rsidRPr="00E11FFB">
              <w:rPr>
                <w:rFonts w:ascii="Avenir" w:eastAsia="Avenir" w:hAnsi="Avenir" w:cs="Avenir"/>
                <w:b/>
                <w:sz w:val="28"/>
                <w:szCs w:val="28"/>
              </w:rPr>
              <w:t xml:space="preserve">Effets CAFI </w:t>
            </w:r>
          </w:p>
        </w:tc>
      </w:tr>
      <w:tr w:rsidR="0024617D" w:rsidRPr="00E11FFB" w14:paraId="1B25BA50" w14:textId="77777777">
        <w:trPr>
          <w:trHeight w:val="435"/>
          <w:jc w:val="center"/>
        </w:trPr>
        <w:tc>
          <w:tcPr>
            <w:tcW w:w="1210" w:type="dxa"/>
            <w:tcBorders>
              <w:top w:val="single" w:sz="4" w:space="0" w:color="000000"/>
              <w:left w:val="single" w:sz="4" w:space="0" w:color="000000"/>
              <w:bottom w:val="single" w:sz="4" w:space="0" w:color="000000"/>
              <w:right w:val="single" w:sz="4" w:space="0" w:color="000000"/>
            </w:tcBorders>
            <w:shd w:val="clear" w:color="auto" w:fill="84ACB6"/>
          </w:tcPr>
          <w:p w14:paraId="3CE6A631"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Les pratiques agricoles durables permettent la réduction de la conversion des terres et l’augmentation de la sécurité alimentaire</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77828CC0"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Des alternatives durables aux pratiques actuelles en matière de bois-énergie sont adoptées</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665E919E"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Les institutions et parties prenantes du secteur forestier et des aires protégées sont en capacité et disposent d’un cadre légal permettant de promouvoir, suivre et mettre en œuvre la gestion durable des forêts</w:t>
            </w:r>
          </w:p>
        </w:tc>
        <w:tc>
          <w:tcPr>
            <w:tcW w:w="1204" w:type="dxa"/>
            <w:tcBorders>
              <w:top w:val="single" w:sz="4" w:space="0" w:color="000000"/>
              <w:left w:val="single" w:sz="4" w:space="0" w:color="000000"/>
              <w:bottom w:val="single" w:sz="4" w:space="0" w:color="000000"/>
              <w:right w:val="single" w:sz="4" w:space="0" w:color="000000"/>
            </w:tcBorders>
            <w:shd w:val="clear" w:color="auto" w:fill="84ACB6"/>
          </w:tcPr>
          <w:p w14:paraId="55053B94"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Les infrastructures et futurs projets miniers et hydrocarbures minimisent leur empreinte globale</w:t>
            </w:r>
          </w:p>
        </w:tc>
        <w:tc>
          <w:tcPr>
            <w:tcW w:w="1285" w:type="dxa"/>
            <w:tcBorders>
              <w:top w:val="single" w:sz="4" w:space="0" w:color="000000"/>
              <w:left w:val="single" w:sz="4" w:space="0" w:color="000000"/>
              <w:bottom w:val="single" w:sz="4" w:space="0" w:color="000000"/>
              <w:right w:val="single" w:sz="4" w:space="0" w:color="000000"/>
            </w:tcBorders>
            <w:shd w:val="clear" w:color="auto" w:fill="84ACB6"/>
          </w:tcPr>
          <w:p w14:paraId="44CB8D28"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i)Les décisions d’aménagement du territoire assurent une représentation équitable des intérêts sectoriels et maintiennent le couvert forestier</w:t>
            </w:r>
          </w:p>
          <w:p w14:paraId="4FF3230D"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ii) la sécurisation foncière n’incite pas à la conversion par des individus ou des communautés</w:t>
            </w:r>
          </w:p>
        </w:tc>
        <w:tc>
          <w:tcPr>
            <w:tcW w:w="1316" w:type="dxa"/>
            <w:tcBorders>
              <w:top w:val="single" w:sz="4" w:space="0" w:color="000000"/>
              <w:left w:val="single" w:sz="4" w:space="0" w:color="000000"/>
              <w:bottom w:val="single" w:sz="4" w:space="0" w:color="000000"/>
              <w:right w:val="single" w:sz="4" w:space="0" w:color="000000"/>
            </w:tcBorders>
            <w:shd w:val="clear" w:color="auto" w:fill="84ACB6"/>
          </w:tcPr>
          <w:p w14:paraId="3D949CAA"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La croissance démographique et la migration vers les forêts et les fronts forestiers sont ralenties</w:t>
            </w:r>
          </w:p>
        </w:tc>
        <w:tc>
          <w:tcPr>
            <w:tcW w:w="1333" w:type="dxa"/>
            <w:tcBorders>
              <w:top w:val="single" w:sz="4" w:space="0" w:color="000000"/>
              <w:left w:val="single" w:sz="4" w:space="0" w:color="000000"/>
              <w:bottom w:val="single" w:sz="4" w:space="0" w:color="000000"/>
              <w:right w:val="single" w:sz="4" w:space="0" w:color="000000"/>
            </w:tcBorders>
            <w:shd w:val="clear" w:color="auto" w:fill="84ACB6"/>
          </w:tcPr>
          <w:p w14:paraId="094AF1AA" w14:textId="77777777" w:rsidR="0024617D" w:rsidRPr="00E11FFB" w:rsidRDefault="00C83F85">
            <w:pPr>
              <w:spacing w:after="5" w:line="271" w:lineRule="auto"/>
              <w:jc w:val="center"/>
              <w:rPr>
                <w:rFonts w:ascii="Avenir" w:eastAsia="Avenir" w:hAnsi="Avenir" w:cs="Avenir"/>
                <w:sz w:val="16"/>
                <w:szCs w:val="16"/>
              </w:rPr>
            </w:pPr>
            <w:r w:rsidRPr="00E11FFB">
              <w:rPr>
                <w:rFonts w:ascii="Avenir" w:eastAsia="Avenir" w:hAnsi="Avenir" w:cs="Avenir"/>
                <w:sz w:val="16"/>
                <w:szCs w:val="16"/>
              </w:rPr>
              <w:t>Une coordination interministérielle et une gouvernance sont améliorées, et résultent en i) des régimes fiscaux et permis pour les activités économiques qui ne poussent pas les acteurs économiques vers la conversion des forêts et les activités illégales, ii) un climat des affaires favorable aux investissements bénéfiques à la forêt</w:t>
            </w:r>
          </w:p>
        </w:tc>
      </w:tr>
      <w:tr w:rsidR="00CA7A6E" w:rsidRPr="00E11FFB" w14:paraId="712069F4" w14:textId="77777777">
        <w:trPr>
          <w:trHeight w:val="395"/>
          <w:jc w:val="center"/>
        </w:trPr>
        <w:tc>
          <w:tcPr>
            <w:tcW w:w="1210" w:type="dxa"/>
            <w:tcBorders>
              <w:top w:val="single" w:sz="4" w:space="0" w:color="000000"/>
              <w:left w:val="single" w:sz="4" w:space="0" w:color="000000"/>
              <w:bottom w:val="single" w:sz="4" w:space="0" w:color="000000"/>
              <w:right w:val="single" w:sz="4" w:space="0" w:color="000000"/>
            </w:tcBorders>
          </w:tcPr>
          <w:p w14:paraId="11694158" w14:textId="77777777" w:rsidR="00CA7A6E" w:rsidRPr="00E11FFB" w:rsidRDefault="00CA7A6E" w:rsidP="00CA7A6E">
            <w:pPr>
              <w:spacing w:after="5" w:line="271" w:lineRule="auto"/>
              <w:jc w:val="center"/>
              <w:rPr>
                <w:rFonts w:ascii="Avenir" w:eastAsia="Avenir" w:hAnsi="Avenir" w:cs="Avenir"/>
                <w:sz w:val="16"/>
                <w:szCs w:val="16"/>
              </w:rPr>
            </w:pPr>
            <w:r w:rsidRPr="00E11FFB">
              <w:rPr>
                <w:rFonts w:ascii="Segoe UI Symbol" w:eastAsia="Arimo" w:hAnsi="Segoe UI Symbol" w:cs="Segoe UI Symbol"/>
                <w:highlight w:val="black"/>
              </w:rPr>
              <w:t>☐</w:t>
            </w:r>
          </w:p>
        </w:tc>
        <w:tc>
          <w:tcPr>
            <w:tcW w:w="1203" w:type="dxa"/>
            <w:tcBorders>
              <w:top w:val="single" w:sz="4" w:space="0" w:color="000000"/>
              <w:left w:val="single" w:sz="4" w:space="0" w:color="000000"/>
              <w:bottom w:val="single" w:sz="4" w:space="0" w:color="000000"/>
              <w:right w:val="single" w:sz="4" w:space="0" w:color="000000"/>
            </w:tcBorders>
          </w:tcPr>
          <w:p w14:paraId="0DFC7BE1" w14:textId="77777777" w:rsidR="00CA7A6E" w:rsidRPr="00E11FFB" w:rsidRDefault="00CA7A6E" w:rsidP="00CA7A6E">
            <w:pPr>
              <w:spacing w:after="5" w:line="271" w:lineRule="auto"/>
              <w:jc w:val="center"/>
              <w:rPr>
                <w:rFonts w:ascii="Avenir" w:eastAsia="Avenir" w:hAnsi="Avenir" w:cs="Avenir"/>
                <w:sz w:val="16"/>
                <w:szCs w:val="16"/>
              </w:rPr>
            </w:pPr>
            <w:r w:rsidRPr="00E11FFB">
              <w:rPr>
                <w:rFonts w:ascii="Segoe UI Symbol" w:eastAsia="Arimo" w:hAnsi="Segoe UI Symbol" w:cs="Segoe UI Symbol"/>
                <w:color w:val="000000"/>
              </w:rPr>
              <w:t>☐</w:t>
            </w:r>
          </w:p>
        </w:tc>
        <w:tc>
          <w:tcPr>
            <w:tcW w:w="1203" w:type="dxa"/>
            <w:tcBorders>
              <w:top w:val="single" w:sz="4" w:space="0" w:color="000000"/>
              <w:left w:val="single" w:sz="4" w:space="0" w:color="000000"/>
              <w:bottom w:val="single" w:sz="4" w:space="0" w:color="000000"/>
              <w:right w:val="single" w:sz="4" w:space="0" w:color="000000"/>
            </w:tcBorders>
          </w:tcPr>
          <w:p w14:paraId="2A290EFA" w14:textId="55909B4F" w:rsidR="00CA7A6E" w:rsidRPr="00E11FFB" w:rsidRDefault="00CA7A6E" w:rsidP="00CA7A6E">
            <w:pPr>
              <w:spacing w:after="5" w:line="271" w:lineRule="auto"/>
              <w:jc w:val="center"/>
              <w:rPr>
                <w:rFonts w:ascii="Avenir" w:eastAsia="Avenir" w:hAnsi="Avenir" w:cs="Avenir"/>
                <w:sz w:val="16"/>
                <w:szCs w:val="16"/>
              </w:rPr>
            </w:pPr>
            <w:r w:rsidRPr="00E11FFB">
              <w:rPr>
                <w:rFonts w:ascii="Segoe UI Symbol" w:eastAsia="Arimo" w:hAnsi="Segoe UI Symbol" w:cs="Segoe UI Symbol"/>
                <w:highlight w:val="black"/>
              </w:rPr>
              <w:t>☐</w:t>
            </w:r>
          </w:p>
        </w:tc>
        <w:tc>
          <w:tcPr>
            <w:tcW w:w="1204" w:type="dxa"/>
            <w:tcBorders>
              <w:top w:val="single" w:sz="4" w:space="0" w:color="000000"/>
              <w:left w:val="single" w:sz="4" w:space="0" w:color="000000"/>
              <w:bottom w:val="single" w:sz="4" w:space="0" w:color="000000"/>
              <w:right w:val="single" w:sz="4" w:space="0" w:color="000000"/>
            </w:tcBorders>
          </w:tcPr>
          <w:p w14:paraId="0430550E" w14:textId="2E1F43F8" w:rsidR="00CA7A6E" w:rsidRPr="00E11FFB" w:rsidRDefault="00CA7A6E" w:rsidP="00CA7A6E">
            <w:pPr>
              <w:spacing w:after="5" w:line="271" w:lineRule="auto"/>
              <w:jc w:val="center"/>
              <w:rPr>
                <w:rFonts w:ascii="Avenir" w:eastAsia="Avenir" w:hAnsi="Avenir" w:cs="Avenir"/>
                <w:sz w:val="16"/>
                <w:szCs w:val="16"/>
              </w:rPr>
            </w:pPr>
            <w:r w:rsidRPr="00E11FFB">
              <w:rPr>
                <w:rFonts w:ascii="Segoe UI Symbol" w:eastAsia="Arimo" w:hAnsi="Segoe UI Symbol" w:cs="Segoe UI Symbol"/>
                <w:highlight w:val="black"/>
              </w:rPr>
              <w:t>☐</w:t>
            </w:r>
          </w:p>
        </w:tc>
        <w:tc>
          <w:tcPr>
            <w:tcW w:w="1285" w:type="dxa"/>
            <w:tcBorders>
              <w:top w:val="single" w:sz="4" w:space="0" w:color="000000"/>
              <w:left w:val="single" w:sz="4" w:space="0" w:color="000000"/>
              <w:bottom w:val="single" w:sz="4" w:space="0" w:color="000000"/>
              <w:right w:val="single" w:sz="4" w:space="0" w:color="000000"/>
            </w:tcBorders>
          </w:tcPr>
          <w:p w14:paraId="4D3BB175" w14:textId="3E4F7ADA" w:rsidR="00CA7A6E" w:rsidRPr="00E11FFB" w:rsidRDefault="00CA7A6E" w:rsidP="00CA7A6E">
            <w:pPr>
              <w:spacing w:after="5" w:line="271" w:lineRule="auto"/>
              <w:jc w:val="center"/>
              <w:rPr>
                <w:rFonts w:ascii="Avenir" w:eastAsia="Avenir" w:hAnsi="Avenir" w:cs="Avenir"/>
                <w:sz w:val="16"/>
                <w:szCs w:val="16"/>
              </w:rPr>
            </w:pPr>
            <w:r w:rsidRPr="00E11FFB">
              <w:rPr>
                <w:rFonts w:ascii="Segoe UI Symbol" w:eastAsia="Arimo" w:hAnsi="Segoe UI Symbol" w:cs="Segoe UI Symbol"/>
                <w:highlight w:val="black"/>
              </w:rPr>
              <w:t>☐</w:t>
            </w:r>
          </w:p>
        </w:tc>
        <w:tc>
          <w:tcPr>
            <w:tcW w:w="1316" w:type="dxa"/>
            <w:tcBorders>
              <w:top w:val="single" w:sz="4" w:space="0" w:color="000000"/>
              <w:left w:val="single" w:sz="4" w:space="0" w:color="000000"/>
              <w:bottom w:val="single" w:sz="4" w:space="0" w:color="000000"/>
              <w:right w:val="single" w:sz="4" w:space="0" w:color="000000"/>
            </w:tcBorders>
          </w:tcPr>
          <w:p w14:paraId="0613B843" w14:textId="6B3FB402" w:rsidR="00CA7A6E" w:rsidRPr="00E11FFB" w:rsidRDefault="00CA7A6E" w:rsidP="00CA7A6E">
            <w:pPr>
              <w:tabs>
                <w:tab w:val="left" w:pos="320"/>
                <w:tab w:val="center" w:pos="534"/>
              </w:tabs>
              <w:spacing w:after="5" w:line="271" w:lineRule="auto"/>
              <w:jc w:val="center"/>
              <w:rPr>
                <w:rFonts w:ascii="Avenir" w:eastAsia="Avenir" w:hAnsi="Avenir" w:cs="Avenir"/>
                <w:sz w:val="16"/>
                <w:szCs w:val="16"/>
              </w:rPr>
            </w:pPr>
            <w:r w:rsidRPr="00E11FFB">
              <w:rPr>
                <w:rFonts w:ascii="Segoe UI Symbol" w:eastAsia="Arimo" w:hAnsi="Segoe UI Symbol" w:cs="Segoe UI Symbol"/>
                <w:highlight w:val="black"/>
              </w:rPr>
              <w:t>☐</w:t>
            </w:r>
          </w:p>
        </w:tc>
        <w:tc>
          <w:tcPr>
            <w:tcW w:w="1333" w:type="dxa"/>
            <w:tcBorders>
              <w:top w:val="single" w:sz="4" w:space="0" w:color="000000"/>
              <w:left w:val="single" w:sz="4" w:space="0" w:color="000000"/>
              <w:bottom w:val="single" w:sz="4" w:space="0" w:color="000000"/>
              <w:right w:val="single" w:sz="4" w:space="0" w:color="000000"/>
            </w:tcBorders>
          </w:tcPr>
          <w:p w14:paraId="3D90A540" w14:textId="77777777" w:rsidR="00CA7A6E" w:rsidRPr="00E11FFB" w:rsidRDefault="00CA7A6E" w:rsidP="00CA7A6E">
            <w:pPr>
              <w:spacing w:after="5" w:line="271" w:lineRule="auto"/>
              <w:jc w:val="center"/>
              <w:rPr>
                <w:rFonts w:ascii="Avenir" w:eastAsia="Avenir" w:hAnsi="Avenir" w:cs="Avenir"/>
                <w:sz w:val="16"/>
                <w:szCs w:val="16"/>
              </w:rPr>
            </w:pPr>
            <w:r w:rsidRPr="00E11FFB">
              <w:rPr>
                <w:rFonts w:ascii="Segoe UI Symbol" w:eastAsia="Arimo" w:hAnsi="Segoe UI Symbol" w:cs="Segoe UI Symbol"/>
                <w:color w:val="000000"/>
              </w:rPr>
              <w:t>☐</w:t>
            </w:r>
          </w:p>
        </w:tc>
      </w:tr>
    </w:tbl>
    <w:p w14:paraId="038DB074" w14:textId="77777777" w:rsidR="0024617D" w:rsidRPr="00E11FFB" w:rsidRDefault="0024617D">
      <w:pPr>
        <w:rPr>
          <w:rFonts w:ascii="Avenir" w:eastAsia="Avenir" w:hAnsi="Avenir" w:cs="Avenir"/>
          <w:color w:val="000000"/>
        </w:rPr>
      </w:pPr>
    </w:p>
    <w:p w14:paraId="1FDA6443" w14:textId="40957802" w:rsidR="0004433F" w:rsidRPr="00E11FFB" w:rsidRDefault="00C83F85" w:rsidP="0004433F">
      <w:pPr>
        <w:numPr>
          <w:ilvl w:val="0"/>
          <w:numId w:val="9"/>
        </w:numPr>
        <w:pBdr>
          <w:top w:val="nil"/>
          <w:left w:val="nil"/>
          <w:bottom w:val="nil"/>
          <w:right w:val="nil"/>
          <w:between w:val="nil"/>
        </w:pBdr>
        <w:spacing w:line="271" w:lineRule="auto"/>
        <w:ind w:right="28"/>
        <w:jc w:val="both"/>
        <w:rPr>
          <w:rFonts w:ascii="Avenir" w:eastAsia="Avenir" w:hAnsi="Avenir" w:cs="Avenir"/>
          <w:i/>
          <w:sz w:val="20"/>
          <w:szCs w:val="20"/>
        </w:rPr>
      </w:pPr>
      <w:r w:rsidRPr="00E11FFB">
        <w:rPr>
          <w:rFonts w:ascii="Avenir" w:eastAsia="Avenir" w:hAnsi="Avenir" w:cs="Avenir"/>
          <w:b/>
          <w:color w:val="000000"/>
          <w:sz w:val="21"/>
          <w:szCs w:val="21"/>
        </w:rPr>
        <w:t xml:space="preserve">Projet </w:t>
      </w:r>
      <w:r w:rsidRPr="00E11FFB">
        <w:rPr>
          <w:rFonts w:ascii="Avenir" w:eastAsia="Avenir" w:hAnsi="Avenir" w:cs="Avenir"/>
          <w:b/>
          <w:sz w:val="21"/>
          <w:szCs w:val="21"/>
        </w:rPr>
        <w:t xml:space="preserve">à composante </w:t>
      </w:r>
      <w:r w:rsidRPr="00E11FFB">
        <w:rPr>
          <w:rFonts w:ascii="Avenir" w:eastAsia="Avenir" w:hAnsi="Avenir" w:cs="Avenir"/>
          <w:b/>
          <w:color w:val="000000"/>
          <w:sz w:val="21"/>
          <w:szCs w:val="21"/>
        </w:rPr>
        <w:t xml:space="preserve">territoriale / utilisation des terres : remplir </w:t>
      </w:r>
      <w:r w:rsidRPr="00E11FFB">
        <w:rPr>
          <w:rFonts w:ascii="Avenir" w:eastAsia="Avenir" w:hAnsi="Avenir" w:cs="Avenir"/>
          <w:b/>
          <w:sz w:val="21"/>
          <w:szCs w:val="21"/>
        </w:rPr>
        <w:t>l’annexe 1</w:t>
      </w:r>
      <w:r w:rsidRPr="00E11FFB">
        <w:rPr>
          <w:rFonts w:ascii="Avenir" w:eastAsia="Avenir" w:hAnsi="Avenir" w:cs="Avenir"/>
          <w:color w:val="000000"/>
          <w:sz w:val="21"/>
          <w:szCs w:val="21"/>
        </w:rPr>
        <w:t>.</w:t>
      </w:r>
      <w:r w:rsidR="0004433F" w:rsidRPr="00E11FFB">
        <w:rPr>
          <w:rFonts w:ascii="Avenir" w:eastAsia="Avenir" w:hAnsi="Avenir" w:cs="Avenir"/>
          <w:color w:val="000000"/>
          <w:sz w:val="21"/>
          <w:szCs w:val="21"/>
        </w:rPr>
        <w:t xml:space="preserve"> NA</w:t>
      </w:r>
    </w:p>
    <w:p w14:paraId="3052C7DC" w14:textId="085C1C76" w:rsidR="0024617D" w:rsidRPr="00E11FFB" w:rsidRDefault="00C83F85">
      <w:pPr>
        <w:numPr>
          <w:ilvl w:val="1"/>
          <w:numId w:val="2"/>
        </w:numPr>
        <w:pBdr>
          <w:top w:val="nil"/>
          <w:left w:val="nil"/>
          <w:bottom w:val="nil"/>
          <w:right w:val="nil"/>
          <w:between w:val="nil"/>
        </w:pBdr>
        <w:spacing w:line="271" w:lineRule="auto"/>
        <w:ind w:right="28"/>
        <w:jc w:val="both"/>
        <w:rPr>
          <w:rFonts w:ascii="Avenir" w:eastAsia="Avenir" w:hAnsi="Avenir" w:cs="Avenir"/>
          <w:b/>
          <w:color w:val="000000"/>
          <w:sz w:val="21"/>
          <w:szCs w:val="21"/>
        </w:rPr>
      </w:pPr>
      <w:r w:rsidRPr="00E11FFB">
        <w:rPr>
          <w:rFonts w:ascii="Avenir" w:eastAsia="Avenir" w:hAnsi="Avenir" w:cs="Avenir"/>
          <w:i/>
          <w:sz w:val="20"/>
          <w:szCs w:val="20"/>
        </w:rPr>
        <w:t>.</w:t>
      </w:r>
    </w:p>
    <w:p w14:paraId="1D6BF2A3" w14:textId="4F83F9CD" w:rsidR="0024617D" w:rsidRPr="00E11FFB" w:rsidRDefault="00C83F85">
      <w:pPr>
        <w:numPr>
          <w:ilvl w:val="0"/>
          <w:numId w:val="9"/>
        </w:numPr>
        <w:pBdr>
          <w:top w:val="nil"/>
          <w:left w:val="nil"/>
          <w:bottom w:val="nil"/>
          <w:right w:val="nil"/>
          <w:between w:val="nil"/>
        </w:pBdr>
        <w:spacing w:after="5" w:line="271" w:lineRule="auto"/>
        <w:ind w:right="28"/>
        <w:jc w:val="both"/>
        <w:rPr>
          <w:rFonts w:ascii="Avenir" w:eastAsia="Avenir" w:hAnsi="Avenir" w:cs="Avenir"/>
          <w:b/>
          <w:color w:val="000000"/>
          <w:sz w:val="21"/>
          <w:szCs w:val="21"/>
        </w:rPr>
      </w:pPr>
      <w:bookmarkStart w:id="19" w:name="_heading=h.26in1rg" w:colFirst="0" w:colLast="0"/>
      <w:bookmarkEnd w:id="19"/>
      <w:r w:rsidRPr="00E11FFB">
        <w:rPr>
          <w:rFonts w:ascii="Avenir" w:eastAsia="Avenir" w:hAnsi="Avenir" w:cs="Avenir"/>
          <w:b/>
          <w:color w:val="000000"/>
          <w:sz w:val="21"/>
          <w:szCs w:val="21"/>
        </w:rPr>
        <w:t xml:space="preserve">Projet approche habilitante : remplir l’annexe 2. </w:t>
      </w:r>
    </w:p>
    <w:p w14:paraId="514822E4" w14:textId="77777777" w:rsidR="0024617D" w:rsidRPr="00E11FFB" w:rsidRDefault="0024617D">
      <w:pPr>
        <w:pBdr>
          <w:top w:val="nil"/>
          <w:left w:val="nil"/>
          <w:bottom w:val="nil"/>
          <w:right w:val="nil"/>
          <w:between w:val="nil"/>
        </w:pBdr>
        <w:spacing w:after="5" w:line="271" w:lineRule="auto"/>
        <w:ind w:right="28"/>
        <w:jc w:val="both"/>
        <w:rPr>
          <w:rFonts w:ascii="Avenir" w:eastAsia="Avenir" w:hAnsi="Avenir" w:cs="Avenir"/>
          <w:b/>
          <w:color w:val="000000"/>
          <w:sz w:val="21"/>
          <w:szCs w:val="21"/>
        </w:rPr>
      </w:pPr>
    </w:p>
    <w:p w14:paraId="576F7033" w14:textId="1B780194" w:rsidR="0024617D" w:rsidRPr="00E11FFB" w:rsidRDefault="008F7ED4">
      <w:pPr>
        <w:spacing w:after="5" w:line="271" w:lineRule="auto"/>
        <w:ind w:right="28"/>
        <w:jc w:val="both"/>
        <w:rPr>
          <w:rFonts w:ascii="Avenir" w:eastAsia="Avenir" w:hAnsi="Avenir" w:cs="Avenir"/>
          <w:b/>
          <w:sz w:val="21"/>
          <w:szCs w:val="21"/>
        </w:rPr>
      </w:pPr>
      <w:r w:rsidRPr="00E11FFB">
        <w:rPr>
          <w:rFonts w:ascii="Avenir" w:eastAsia="Avenir" w:hAnsi="Avenir" w:cs="Avenir"/>
          <w:b/>
          <w:sz w:val="21"/>
          <w:szCs w:val="21"/>
        </w:rPr>
        <w:t xml:space="preserve">Annexe 2 du PAAJ se trouve dans l’espace </w:t>
      </w:r>
      <w:r w:rsidR="0004433F" w:rsidRPr="00E11FFB">
        <w:rPr>
          <w:rFonts w:ascii="Avenir" w:eastAsia="Avenir" w:hAnsi="Avenir" w:cs="Avenir"/>
          <w:b/>
          <w:sz w:val="21"/>
          <w:szCs w:val="21"/>
        </w:rPr>
        <w:t>collaboratif :</w:t>
      </w:r>
      <w:r w:rsidR="00C83F85" w:rsidRPr="00E11FFB">
        <w:rPr>
          <w:rFonts w:ascii="Avenir" w:eastAsia="Avenir" w:hAnsi="Avenir" w:cs="Avenir"/>
          <w:b/>
          <w:sz w:val="21"/>
          <w:szCs w:val="21"/>
        </w:rPr>
        <w:t xml:space="preserve">  </w:t>
      </w:r>
      <w:hyperlink r:id="rId26" w:history="1">
        <w:r w:rsidR="0004433F" w:rsidRPr="00E11FFB">
          <w:rPr>
            <w:rStyle w:val="Lienhypertexte"/>
            <w:rFonts w:ascii="Avenir" w:eastAsia="Avenir" w:hAnsi="Avenir" w:cs="Avenir"/>
            <w:b/>
            <w:sz w:val="21"/>
            <w:szCs w:val="21"/>
          </w:rPr>
          <w:t>lien de l’annexe</w:t>
        </w:r>
      </w:hyperlink>
    </w:p>
    <w:p w14:paraId="69303987" w14:textId="77777777" w:rsidR="0024617D" w:rsidRPr="00E11FFB" w:rsidRDefault="0024617D">
      <w:pPr>
        <w:spacing w:after="5" w:line="271" w:lineRule="auto"/>
        <w:ind w:right="28"/>
        <w:jc w:val="both"/>
        <w:rPr>
          <w:rFonts w:ascii="Avenir" w:eastAsia="Avenir" w:hAnsi="Avenir" w:cs="Avenir"/>
          <w:b/>
          <w:sz w:val="21"/>
          <w:szCs w:val="21"/>
        </w:rPr>
      </w:pPr>
      <w:bookmarkStart w:id="20" w:name="_heading=h.624wcgbob8pg" w:colFirst="0" w:colLast="0"/>
      <w:bookmarkEnd w:id="20"/>
    </w:p>
    <w:p w14:paraId="133C41CD" w14:textId="77777777" w:rsidR="0024617D" w:rsidRPr="00E11FFB" w:rsidRDefault="00C83F85">
      <w:pPr>
        <w:jc w:val="both"/>
        <w:rPr>
          <w:u w:val="single"/>
        </w:rPr>
      </w:pPr>
      <w:r w:rsidRPr="00E11FFB">
        <w:rPr>
          <w:u w:val="single"/>
        </w:rPr>
        <w:t xml:space="preserve">5.1.1 Matrice des bénéficiaires </w:t>
      </w:r>
    </w:p>
    <w:p w14:paraId="09B5152A" w14:textId="77777777" w:rsidR="0024617D" w:rsidRPr="00E11FFB" w:rsidRDefault="0024617D">
      <w:pPr>
        <w:jc w:val="both"/>
        <w:rPr>
          <w:rFonts w:ascii="Avenir" w:eastAsia="Avenir" w:hAnsi="Avenir" w:cs="Avenir"/>
          <w:b/>
          <w:i/>
          <w:sz w:val="20"/>
          <w:szCs w:val="20"/>
        </w:rPr>
      </w:pP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468"/>
        <w:gridCol w:w="2084"/>
        <w:gridCol w:w="1468"/>
        <w:gridCol w:w="1467"/>
        <w:gridCol w:w="2048"/>
      </w:tblGrid>
      <w:tr w:rsidR="007D1A24" w:rsidRPr="00E11FFB" w14:paraId="4E5DDD41" w14:textId="77777777" w:rsidTr="00024C96">
        <w:trPr>
          <w:trHeight w:val="1197"/>
          <w:tblHeader/>
        </w:trPr>
        <w:tc>
          <w:tcPr>
            <w:tcW w:w="1167" w:type="dxa"/>
            <w:shd w:val="clear" w:color="000000" w:fill="BDD7EE"/>
            <w:vAlign w:val="center"/>
            <w:hideMark/>
          </w:tcPr>
          <w:p w14:paraId="629CA02C" w14:textId="77777777" w:rsidR="007D1A24" w:rsidRPr="00E11FFB" w:rsidRDefault="007D1A24">
            <w:pPr>
              <w:rPr>
                <w:b/>
                <w:bCs/>
                <w:color w:val="000000"/>
                <w:sz w:val="16"/>
                <w:szCs w:val="16"/>
              </w:rPr>
            </w:pPr>
            <w:bookmarkStart w:id="21" w:name="_heading=h.1ksv4uv" w:colFirst="0" w:colLast="0"/>
            <w:bookmarkEnd w:id="21"/>
            <w:r w:rsidRPr="00E11FFB">
              <w:rPr>
                <w:b/>
                <w:bCs/>
                <w:sz w:val="16"/>
                <w:szCs w:val="16"/>
              </w:rPr>
              <w:t>Effet</w:t>
            </w:r>
          </w:p>
        </w:tc>
        <w:tc>
          <w:tcPr>
            <w:tcW w:w="1468" w:type="dxa"/>
            <w:shd w:val="clear" w:color="000000" w:fill="BDD7EE"/>
            <w:vAlign w:val="center"/>
            <w:hideMark/>
          </w:tcPr>
          <w:p w14:paraId="2DB99EB6" w14:textId="77777777" w:rsidR="007D1A24" w:rsidRPr="00E11FFB" w:rsidRDefault="007D1A24">
            <w:pPr>
              <w:rPr>
                <w:b/>
                <w:bCs/>
                <w:color w:val="000000"/>
                <w:sz w:val="16"/>
                <w:szCs w:val="16"/>
                <w:u w:val="single"/>
              </w:rPr>
            </w:pPr>
            <w:r w:rsidRPr="00E11FFB">
              <w:rPr>
                <w:b/>
                <w:bCs/>
                <w:sz w:val="16"/>
                <w:szCs w:val="16"/>
                <w:u w:val="single"/>
              </w:rPr>
              <w:t>Nombre de bénéficiaires directs</w:t>
            </w:r>
            <w:r w:rsidRPr="00E11FFB">
              <w:rPr>
                <w:b/>
                <w:bCs/>
                <w:color w:val="000000"/>
                <w:sz w:val="16"/>
                <w:szCs w:val="16"/>
              </w:rPr>
              <w:t xml:space="preserve"> (indiquer % hommes et femmes), en cumulatif depuis le début du projet</w:t>
            </w:r>
          </w:p>
        </w:tc>
        <w:tc>
          <w:tcPr>
            <w:tcW w:w="2084" w:type="dxa"/>
            <w:shd w:val="clear" w:color="000000" w:fill="BDD7EE"/>
            <w:vAlign w:val="center"/>
            <w:hideMark/>
          </w:tcPr>
          <w:p w14:paraId="450A8715" w14:textId="77777777" w:rsidR="007D1A24" w:rsidRPr="00E11FFB" w:rsidRDefault="007D1A24">
            <w:pPr>
              <w:rPr>
                <w:b/>
                <w:bCs/>
                <w:color w:val="000000"/>
                <w:sz w:val="16"/>
                <w:szCs w:val="16"/>
              </w:rPr>
            </w:pPr>
            <w:r w:rsidRPr="00E11FFB">
              <w:rPr>
                <w:b/>
                <w:bCs/>
                <w:sz w:val="16"/>
                <w:szCs w:val="16"/>
              </w:rPr>
              <w:t>Description et intensité du soutien</w:t>
            </w:r>
          </w:p>
        </w:tc>
        <w:tc>
          <w:tcPr>
            <w:tcW w:w="1468" w:type="dxa"/>
            <w:shd w:val="clear" w:color="000000" w:fill="BDD7EE"/>
            <w:vAlign w:val="center"/>
            <w:hideMark/>
          </w:tcPr>
          <w:p w14:paraId="3FECF7BC" w14:textId="77777777" w:rsidR="007D1A24" w:rsidRPr="00E11FFB" w:rsidRDefault="007D1A24">
            <w:pPr>
              <w:rPr>
                <w:b/>
                <w:bCs/>
                <w:color w:val="000000"/>
                <w:sz w:val="16"/>
                <w:szCs w:val="16"/>
                <w:u w:val="single"/>
              </w:rPr>
            </w:pPr>
            <w:r w:rsidRPr="00E11FFB">
              <w:rPr>
                <w:b/>
                <w:bCs/>
                <w:sz w:val="16"/>
                <w:szCs w:val="16"/>
                <w:u w:val="single"/>
              </w:rPr>
              <w:t xml:space="preserve">Nombre de bénéficiaires indirects </w:t>
            </w:r>
            <w:r w:rsidRPr="00E11FFB">
              <w:rPr>
                <w:b/>
                <w:bCs/>
                <w:color w:val="000000"/>
                <w:sz w:val="16"/>
                <w:szCs w:val="16"/>
              </w:rPr>
              <w:t>en cumulatif depuis le début du projet</w:t>
            </w:r>
          </w:p>
        </w:tc>
        <w:tc>
          <w:tcPr>
            <w:tcW w:w="1467" w:type="dxa"/>
            <w:shd w:val="clear" w:color="000000" w:fill="BDD7EE"/>
            <w:vAlign w:val="center"/>
            <w:hideMark/>
          </w:tcPr>
          <w:p w14:paraId="00E8CF9A" w14:textId="77777777" w:rsidR="007D1A24" w:rsidRPr="00E11FFB" w:rsidRDefault="007D1A24">
            <w:pPr>
              <w:rPr>
                <w:b/>
                <w:bCs/>
                <w:color w:val="000000"/>
                <w:sz w:val="16"/>
                <w:szCs w:val="16"/>
              </w:rPr>
            </w:pPr>
            <w:r w:rsidRPr="00E11FFB">
              <w:rPr>
                <w:b/>
                <w:bCs/>
                <w:sz w:val="16"/>
                <w:szCs w:val="16"/>
              </w:rPr>
              <w:t>Description et intensité du soutien</w:t>
            </w:r>
          </w:p>
        </w:tc>
        <w:tc>
          <w:tcPr>
            <w:tcW w:w="2048" w:type="dxa"/>
            <w:shd w:val="clear" w:color="000000" w:fill="BDD7EE"/>
            <w:vAlign w:val="center"/>
            <w:hideMark/>
          </w:tcPr>
          <w:p w14:paraId="7E70F46C" w14:textId="77777777" w:rsidR="007D1A24" w:rsidRPr="00E11FFB" w:rsidRDefault="007D1A24">
            <w:pPr>
              <w:rPr>
                <w:b/>
                <w:bCs/>
                <w:color w:val="000000"/>
                <w:sz w:val="16"/>
                <w:szCs w:val="16"/>
              </w:rPr>
            </w:pPr>
            <w:r w:rsidRPr="00E11FFB">
              <w:rPr>
                <w:b/>
                <w:bCs/>
                <w:sz w:val="16"/>
                <w:szCs w:val="16"/>
              </w:rPr>
              <w:t xml:space="preserve">Commentaires </w:t>
            </w:r>
          </w:p>
        </w:tc>
      </w:tr>
      <w:tr w:rsidR="007D1A24" w:rsidRPr="00E11FFB" w14:paraId="4F055FB0" w14:textId="77777777" w:rsidTr="00024C96">
        <w:trPr>
          <w:trHeight w:val="1415"/>
        </w:trPr>
        <w:tc>
          <w:tcPr>
            <w:tcW w:w="1167" w:type="dxa"/>
            <w:vAlign w:val="center"/>
            <w:hideMark/>
          </w:tcPr>
          <w:p w14:paraId="01FDDBF6" w14:textId="77777777" w:rsidR="007D1A24" w:rsidRPr="00E11FFB" w:rsidRDefault="007D1A24">
            <w:pPr>
              <w:rPr>
                <w:color w:val="000000"/>
                <w:sz w:val="16"/>
                <w:szCs w:val="16"/>
              </w:rPr>
            </w:pPr>
            <w:r w:rsidRPr="00E11FFB">
              <w:rPr>
                <w:color w:val="000000"/>
                <w:sz w:val="16"/>
                <w:szCs w:val="16"/>
              </w:rPr>
              <w:t xml:space="preserve">Aménagement du territoire </w:t>
            </w:r>
          </w:p>
        </w:tc>
        <w:tc>
          <w:tcPr>
            <w:tcW w:w="1468" w:type="dxa"/>
            <w:vAlign w:val="center"/>
            <w:hideMark/>
          </w:tcPr>
          <w:p w14:paraId="02EC1B93" w14:textId="77777777" w:rsidR="007D1A24" w:rsidRPr="00E11FFB" w:rsidRDefault="007D1A24">
            <w:pPr>
              <w:rPr>
                <w:color w:val="000000"/>
                <w:sz w:val="16"/>
                <w:szCs w:val="16"/>
              </w:rPr>
            </w:pPr>
            <w:r w:rsidRPr="00E11FFB">
              <w:rPr>
                <w:color w:val="000000"/>
                <w:sz w:val="16"/>
                <w:szCs w:val="16"/>
              </w:rPr>
              <w:t>370 (84% hommes, 16% femmes)</w:t>
            </w:r>
          </w:p>
        </w:tc>
        <w:tc>
          <w:tcPr>
            <w:tcW w:w="2084" w:type="dxa"/>
            <w:vAlign w:val="center"/>
            <w:hideMark/>
          </w:tcPr>
          <w:p w14:paraId="36EA9A84" w14:textId="47945BDF" w:rsidR="007D1A24" w:rsidRPr="00E11FFB" w:rsidRDefault="007D1A24">
            <w:pPr>
              <w:rPr>
                <w:color w:val="000000"/>
                <w:sz w:val="16"/>
                <w:szCs w:val="16"/>
              </w:rPr>
            </w:pPr>
            <w:r w:rsidRPr="00E11FFB">
              <w:rPr>
                <w:color w:val="000000"/>
                <w:sz w:val="16"/>
                <w:szCs w:val="16"/>
              </w:rPr>
              <w:t>Personnes sensibilisées sur les acquis de la reforme AT et consultées sur le SNAT ; Intensité moyenne (personnes accompagnées de manière régulière); intensité haute pour les membres de la task-force</w:t>
            </w:r>
          </w:p>
        </w:tc>
        <w:tc>
          <w:tcPr>
            <w:tcW w:w="1468" w:type="dxa"/>
            <w:vAlign w:val="center"/>
            <w:hideMark/>
          </w:tcPr>
          <w:p w14:paraId="613688B2" w14:textId="77777777" w:rsidR="007D1A24" w:rsidRPr="00E11FFB" w:rsidRDefault="007D1A24">
            <w:pPr>
              <w:rPr>
                <w:color w:val="000000"/>
                <w:sz w:val="16"/>
                <w:szCs w:val="16"/>
              </w:rPr>
            </w:pPr>
            <w:r w:rsidRPr="00E11FFB">
              <w:rPr>
                <w:color w:val="000000"/>
                <w:sz w:val="16"/>
                <w:szCs w:val="16"/>
              </w:rPr>
              <w:t> </w:t>
            </w:r>
          </w:p>
        </w:tc>
        <w:tc>
          <w:tcPr>
            <w:tcW w:w="1467" w:type="dxa"/>
            <w:vAlign w:val="center"/>
            <w:hideMark/>
          </w:tcPr>
          <w:p w14:paraId="0427098E" w14:textId="77777777" w:rsidR="007D1A24" w:rsidRPr="00E11FFB" w:rsidRDefault="007D1A24">
            <w:pPr>
              <w:rPr>
                <w:color w:val="000000"/>
                <w:sz w:val="16"/>
                <w:szCs w:val="16"/>
              </w:rPr>
            </w:pPr>
            <w:r w:rsidRPr="00E11FFB">
              <w:rPr>
                <w:color w:val="000000"/>
                <w:sz w:val="16"/>
                <w:szCs w:val="16"/>
              </w:rPr>
              <w:t> </w:t>
            </w:r>
          </w:p>
        </w:tc>
        <w:tc>
          <w:tcPr>
            <w:tcW w:w="2048" w:type="dxa"/>
            <w:vAlign w:val="center"/>
            <w:hideMark/>
          </w:tcPr>
          <w:p w14:paraId="68A64DD9" w14:textId="77777777" w:rsidR="007D1A24" w:rsidRPr="00E11FFB" w:rsidRDefault="007D1A24">
            <w:pPr>
              <w:rPr>
                <w:color w:val="000000"/>
                <w:sz w:val="16"/>
                <w:szCs w:val="16"/>
              </w:rPr>
            </w:pPr>
            <w:r w:rsidRPr="00E11FFB">
              <w:rPr>
                <w:color w:val="000000"/>
                <w:sz w:val="16"/>
                <w:szCs w:val="16"/>
              </w:rPr>
              <w:t>Nous n'avons pas estimé le nombre de personne atteint indirectement par le projet à travers les moyens de communication (site internet, spot audiovisuel, etc.)</w:t>
            </w:r>
          </w:p>
        </w:tc>
      </w:tr>
      <w:tr w:rsidR="007D1A24" w:rsidRPr="00E11FFB" w14:paraId="60D0B56D" w14:textId="77777777" w:rsidTr="00024C96">
        <w:trPr>
          <w:trHeight w:val="1795"/>
        </w:trPr>
        <w:tc>
          <w:tcPr>
            <w:tcW w:w="1167" w:type="dxa"/>
            <w:vAlign w:val="center"/>
            <w:hideMark/>
          </w:tcPr>
          <w:p w14:paraId="0E495DBB" w14:textId="77777777" w:rsidR="007D1A24" w:rsidRPr="00E11FFB" w:rsidRDefault="007D1A24">
            <w:pPr>
              <w:rPr>
                <w:color w:val="000000"/>
                <w:sz w:val="16"/>
                <w:szCs w:val="16"/>
              </w:rPr>
            </w:pPr>
            <w:r w:rsidRPr="00E11FFB">
              <w:rPr>
                <w:color w:val="000000"/>
                <w:sz w:val="16"/>
                <w:szCs w:val="16"/>
              </w:rPr>
              <w:t xml:space="preserve">Agriculture </w:t>
            </w:r>
          </w:p>
        </w:tc>
        <w:tc>
          <w:tcPr>
            <w:tcW w:w="1468" w:type="dxa"/>
            <w:vAlign w:val="center"/>
            <w:hideMark/>
          </w:tcPr>
          <w:p w14:paraId="2F9D74A0" w14:textId="6202D5F2" w:rsidR="007D1A24" w:rsidRPr="00E11FFB" w:rsidRDefault="007D1A24">
            <w:pPr>
              <w:rPr>
                <w:color w:val="000000"/>
                <w:sz w:val="16"/>
                <w:szCs w:val="16"/>
              </w:rPr>
            </w:pPr>
            <w:r w:rsidRPr="00E11FFB">
              <w:rPr>
                <w:color w:val="000000"/>
                <w:sz w:val="16"/>
                <w:szCs w:val="16"/>
              </w:rPr>
              <w:t>5</w:t>
            </w:r>
            <w:r w:rsidR="00FD27F3" w:rsidRPr="00E11FFB">
              <w:rPr>
                <w:color w:val="000000"/>
                <w:sz w:val="16"/>
                <w:szCs w:val="16"/>
              </w:rPr>
              <w:t>4</w:t>
            </w:r>
            <w:r w:rsidRPr="00E11FFB">
              <w:rPr>
                <w:color w:val="000000"/>
                <w:sz w:val="16"/>
                <w:szCs w:val="16"/>
              </w:rPr>
              <w:t>0 (20% femmes, 80% hommes)</w:t>
            </w:r>
          </w:p>
        </w:tc>
        <w:tc>
          <w:tcPr>
            <w:tcW w:w="2084" w:type="dxa"/>
            <w:vAlign w:val="center"/>
            <w:hideMark/>
          </w:tcPr>
          <w:p w14:paraId="468FDF9D" w14:textId="4AD04B06" w:rsidR="007D1A24" w:rsidRPr="00E11FFB" w:rsidRDefault="007D1A24">
            <w:pPr>
              <w:rPr>
                <w:color w:val="000000"/>
                <w:sz w:val="16"/>
                <w:szCs w:val="16"/>
              </w:rPr>
            </w:pPr>
            <w:r w:rsidRPr="00E11FFB">
              <w:rPr>
                <w:color w:val="000000"/>
                <w:sz w:val="16"/>
                <w:szCs w:val="16"/>
              </w:rPr>
              <w:t>Personnes sensibilisées sur l'agriculture durable, consultées sur la définition des concepts cadastre agricole, agriculture intermédiaire, consultants recrutés ; Intensité moyenne (personnes accompagnées de manière régulière); intensité haute pour les membres de la task-force</w:t>
            </w:r>
          </w:p>
        </w:tc>
        <w:tc>
          <w:tcPr>
            <w:tcW w:w="1468" w:type="dxa"/>
            <w:vAlign w:val="center"/>
            <w:hideMark/>
          </w:tcPr>
          <w:p w14:paraId="18825A70" w14:textId="77777777" w:rsidR="007D1A24" w:rsidRPr="00E11FFB" w:rsidRDefault="007D1A24">
            <w:pPr>
              <w:rPr>
                <w:color w:val="000000"/>
                <w:sz w:val="16"/>
                <w:szCs w:val="16"/>
              </w:rPr>
            </w:pPr>
            <w:r w:rsidRPr="00E11FFB">
              <w:rPr>
                <w:color w:val="000000"/>
                <w:sz w:val="16"/>
                <w:szCs w:val="16"/>
              </w:rPr>
              <w:t> </w:t>
            </w:r>
          </w:p>
        </w:tc>
        <w:tc>
          <w:tcPr>
            <w:tcW w:w="1467" w:type="dxa"/>
            <w:vAlign w:val="center"/>
            <w:hideMark/>
          </w:tcPr>
          <w:p w14:paraId="5BD42A57" w14:textId="77777777" w:rsidR="007D1A24" w:rsidRPr="00E11FFB" w:rsidRDefault="007D1A24">
            <w:pPr>
              <w:rPr>
                <w:color w:val="000000"/>
                <w:sz w:val="16"/>
                <w:szCs w:val="16"/>
              </w:rPr>
            </w:pPr>
            <w:r w:rsidRPr="00E11FFB">
              <w:rPr>
                <w:color w:val="000000"/>
                <w:sz w:val="16"/>
                <w:szCs w:val="16"/>
              </w:rPr>
              <w:t> </w:t>
            </w:r>
          </w:p>
        </w:tc>
        <w:tc>
          <w:tcPr>
            <w:tcW w:w="2048" w:type="dxa"/>
            <w:vAlign w:val="center"/>
            <w:hideMark/>
          </w:tcPr>
          <w:p w14:paraId="75693986" w14:textId="77777777" w:rsidR="007D1A24" w:rsidRPr="00E11FFB" w:rsidRDefault="007D1A24">
            <w:pPr>
              <w:rPr>
                <w:color w:val="000000"/>
                <w:sz w:val="16"/>
                <w:szCs w:val="16"/>
              </w:rPr>
            </w:pPr>
            <w:r w:rsidRPr="00E11FFB">
              <w:rPr>
                <w:color w:val="000000"/>
                <w:sz w:val="16"/>
                <w:szCs w:val="16"/>
              </w:rPr>
              <w:t>Nous n'avons pas estimé le nombre de personne atteint indirectement par le projet à travers les moyens de communication (site internet, spot audiovisuel, etc.)</w:t>
            </w:r>
          </w:p>
        </w:tc>
      </w:tr>
      <w:tr w:rsidR="007D1A24" w:rsidRPr="00E11FFB" w14:paraId="4A1BE373" w14:textId="77777777" w:rsidTr="00024C96">
        <w:trPr>
          <w:trHeight w:val="1197"/>
        </w:trPr>
        <w:tc>
          <w:tcPr>
            <w:tcW w:w="1167" w:type="dxa"/>
            <w:vAlign w:val="center"/>
            <w:hideMark/>
          </w:tcPr>
          <w:p w14:paraId="41CCF83B" w14:textId="77777777" w:rsidR="007D1A24" w:rsidRPr="00E11FFB" w:rsidRDefault="007D1A24">
            <w:pPr>
              <w:rPr>
                <w:color w:val="000000"/>
                <w:sz w:val="16"/>
                <w:szCs w:val="16"/>
              </w:rPr>
            </w:pPr>
            <w:r w:rsidRPr="00E11FFB">
              <w:rPr>
                <w:color w:val="000000"/>
                <w:sz w:val="16"/>
                <w:szCs w:val="16"/>
              </w:rPr>
              <w:t>Forêts et ACE</w:t>
            </w:r>
          </w:p>
        </w:tc>
        <w:tc>
          <w:tcPr>
            <w:tcW w:w="1468" w:type="dxa"/>
            <w:vAlign w:val="center"/>
            <w:hideMark/>
          </w:tcPr>
          <w:p w14:paraId="6F5BBCE8" w14:textId="30F95B50" w:rsidR="007D1A24" w:rsidRPr="00E11FFB" w:rsidRDefault="007D1A24">
            <w:pPr>
              <w:rPr>
                <w:color w:val="000000"/>
                <w:sz w:val="16"/>
                <w:szCs w:val="16"/>
              </w:rPr>
            </w:pPr>
            <w:r w:rsidRPr="00E11FFB">
              <w:rPr>
                <w:color w:val="000000"/>
                <w:sz w:val="16"/>
                <w:szCs w:val="16"/>
              </w:rPr>
              <w:t>16</w:t>
            </w:r>
            <w:r w:rsidR="005C5C6A" w:rsidRPr="00E11FFB">
              <w:rPr>
                <w:color w:val="000000"/>
                <w:sz w:val="16"/>
                <w:szCs w:val="16"/>
              </w:rPr>
              <w:t>88</w:t>
            </w:r>
            <w:r w:rsidRPr="00E11FFB">
              <w:rPr>
                <w:color w:val="000000"/>
                <w:sz w:val="16"/>
                <w:szCs w:val="16"/>
              </w:rPr>
              <w:t xml:space="preserve"> (1</w:t>
            </w:r>
            <w:r w:rsidR="005C5C6A" w:rsidRPr="00E11FFB">
              <w:rPr>
                <w:color w:val="000000"/>
                <w:sz w:val="16"/>
                <w:szCs w:val="16"/>
              </w:rPr>
              <w:t>8</w:t>
            </w:r>
            <w:r w:rsidRPr="00E11FFB">
              <w:rPr>
                <w:color w:val="000000"/>
                <w:sz w:val="16"/>
                <w:szCs w:val="16"/>
              </w:rPr>
              <w:t>% femmes, 8</w:t>
            </w:r>
            <w:r w:rsidR="005C5C6A" w:rsidRPr="00E11FFB">
              <w:rPr>
                <w:color w:val="000000"/>
                <w:sz w:val="16"/>
                <w:szCs w:val="16"/>
              </w:rPr>
              <w:t>2</w:t>
            </w:r>
            <w:r w:rsidRPr="00E11FFB">
              <w:rPr>
                <w:color w:val="000000"/>
                <w:sz w:val="16"/>
                <w:szCs w:val="16"/>
              </w:rPr>
              <w:t>% hommes)</w:t>
            </w:r>
          </w:p>
        </w:tc>
        <w:tc>
          <w:tcPr>
            <w:tcW w:w="2084" w:type="dxa"/>
            <w:vAlign w:val="center"/>
            <w:hideMark/>
          </w:tcPr>
          <w:p w14:paraId="2D6B0971" w14:textId="3E600697" w:rsidR="007D1A24" w:rsidRPr="00E11FFB" w:rsidRDefault="007D1A24">
            <w:pPr>
              <w:rPr>
                <w:color w:val="000000"/>
                <w:sz w:val="16"/>
                <w:szCs w:val="16"/>
              </w:rPr>
            </w:pPr>
            <w:r w:rsidRPr="00E11FFB">
              <w:rPr>
                <w:color w:val="000000"/>
                <w:sz w:val="16"/>
                <w:szCs w:val="16"/>
              </w:rPr>
              <w:t>Personnes consultées sur la politique, les définitions de concepts, les aires protégées. Personnes renforcées en capacités ; intensité moyenne ; intensité haute pour les membres de la task-force</w:t>
            </w:r>
          </w:p>
        </w:tc>
        <w:tc>
          <w:tcPr>
            <w:tcW w:w="1468" w:type="dxa"/>
            <w:vAlign w:val="center"/>
            <w:hideMark/>
          </w:tcPr>
          <w:p w14:paraId="7E5602F2" w14:textId="77777777" w:rsidR="007D1A24" w:rsidRPr="00E11FFB" w:rsidRDefault="007D1A24">
            <w:pPr>
              <w:jc w:val="center"/>
              <w:rPr>
                <w:color w:val="000000"/>
                <w:sz w:val="16"/>
                <w:szCs w:val="16"/>
              </w:rPr>
            </w:pPr>
            <w:r w:rsidRPr="00E11FFB">
              <w:rPr>
                <w:color w:val="000000"/>
                <w:sz w:val="16"/>
                <w:szCs w:val="16"/>
              </w:rPr>
              <w:t>200</w:t>
            </w:r>
          </w:p>
        </w:tc>
        <w:tc>
          <w:tcPr>
            <w:tcW w:w="1467" w:type="dxa"/>
            <w:vAlign w:val="center"/>
            <w:hideMark/>
          </w:tcPr>
          <w:p w14:paraId="44BC0862" w14:textId="77777777" w:rsidR="007D1A24" w:rsidRPr="00E11FFB" w:rsidRDefault="007D1A24">
            <w:pPr>
              <w:rPr>
                <w:color w:val="000000"/>
                <w:sz w:val="16"/>
                <w:szCs w:val="16"/>
              </w:rPr>
            </w:pPr>
            <w:r w:rsidRPr="00E11FFB">
              <w:rPr>
                <w:color w:val="000000"/>
                <w:sz w:val="16"/>
                <w:szCs w:val="16"/>
              </w:rPr>
              <w:t xml:space="preserve"> Personnes consultées en ligne sur la Politique forestière nationale, faible intensité</w:t>
            </w:r>
          </w:p>
        </w:tc>
        <w:tc>
          <w:tcPr>
            <w:tcW w:w="2048" w:type="dxa"/>
            <w:vAlign w:val="center"/>
            <w:hideMark/>
          </w:tcPr>
          <w:p w14:paraId="7C9A64D9" w14:textId="77777777" w:rsidR="007D1A24" w:rsidRPr="00E11FFB" w:rsidRDefault="007D1A24">
            <w:pPr>
              <w:rPr>
                <w:color w:val="000000"/>
                <w:sz w:val="16"/>
                <w:szCs w:val="16"/>
              </w:rPr>
            </w:pPr>
            <w:r w:rsidRPr="00E11FFB">
              <w:rPr>
                <w:color w:val="000000"/>
                <w:sz w:val="16"/>
                <w:szCs w:val="16"/>
              </w:rPr>
              <w:t> </w:t>
            </w:r>
          </w:p>
        </w:tc>
      </w:tr>
      <w:tr w:rsidR="007D1A24" w:rsidRPr="00E11FFB" w14:paraId="55B134F1" w14:textId="77777777" w:rsidTr="00024C96">
        <w:trPr>
          <w:trHeight w:val="1396"/>
        </w:trPr>
        <w:tc>
          <w:tcPr>
            <w:tcW w:w="1167" w:type="dxa"/>
            <w:vAlign w:val="center"/>
            <w:hideMark/>
          </w:tcPr>
          <w:p w14:paraId="52A564B8" w14:textId="68E2C9B0" w:rsidR="007D1A24" w:rsidRPr="00E11FFB" w:rsidRDefault="007D1A24">
            <w:pPr>
              <w:rPr>
                <w:color w:val="000000"/>
                <w:sz w:val="16"/>
                <w:szCs w:val="16"/>
              </w:rPr>
            </w:pPr>
            <w:r w:rsidRPr="00E11FFB">
              <w:rPr>
                <w:color w:val="000000"/>
                <w:sz w:val="16"/>
                <w:szCs w:val="16"/>
              </w:rPr>
              <w:t xml:space="preserve">Mines et </w:t>
            </w:r>
            <w:r w:rsidR="00FD27F3" w:rsidRPr="00E11FFB">
              <w:rPr>
                <w:color w:val="000000"/>
                <w:sz w:val="16"/>
                <w:szCs w:val="16"/>
              </w:rPr>
              <w:t>Hydrocarbures</w:t>
            </w:r>
          </w:p>
        </w:tc>
        <w:tc>
          <w:tcPr>
            <w:tcW w:w="1468" w:type="dxa"/>
            <w:vAlign w:val="center"/>
            <w:hideMark/>
          </w:tcPr>
          <w:p w14:paraId="2E15C7F4" w14:textId="77777777" w:rsidR="007D1A24" w:rsidRPr="00E11FFB" w:rsidRDefault="007D1A24">
            <w:pPr>
              <w:rPr>
                <w:color w:val="000000"/>
                <w:sz w:val="16"/>
                <w:szCs w:val="16"/>
              </w:rPr>
            </w:pPr>
            <w:r w:rsidRPr="00E11FFB">
              <w:rPr>
                <w:color w:val="000000"/>
                <w:sz w:val="16"/>
                <w:szCs w:val="16"/>
              </w:rPr>
              <w:t>102 (23,5% femmes, 76,5% hommes)</w:t>
            </w:r>
          </w:p>
        </w:tc>
        <w:tc>
          <w:tcPr>
            <w:tcW w:w="2084" w:type="dxa"/>
            <w:vAlign w:val="center"/>
            <w:hideMark/>
          </w:tcPr>
          <w:p w14:paraId="14A49EB4" w14:textId="26599037" w:rsidR="007D1A24" w:rsidRPr="00E11FFB" w:rsidRDefault="007D1A24">
            <w:pPr>
              <w:rPr>
                <w:color w:val="000000"/>
                <w:sz w:val="16"/>
                <w:szCs w:val="16"/>
              </w:rPr>
            </w:pPr>
            <w:r w:rsidRPr="00E11FFB">
              <w:rPr>
                <w:color w:val="000000"/>
                <w:sz w:val="16"/>
                <w:szCs w:val="16"/>
              </w:rPr>
              <w:t xml:space="preserve">Personnes ayant bénéficiées du renforcement de capacités, participants aux séances de rédaction de textes règlementaires, consultants ; intensité moyenne et haute pour les membres de la task-force </w:t>
            </w:r>
          </w:p>
        </w:tc>
        <w:tc>
          <w:tcPr>
            <w:tcW w:w="1468" w:type="dxa"/>
            <w:vAlign w:val="center"/>
            <w:hideMark/>
          </w:tcPr>
          <w:p w14:paraId="0A6928AD" w14:textId="77777777" w:rsidR="007D1A24" w:rsidRPr="00E11FFB" w:rsidRDefault="007D1A24">
            <w:pPr>
              <w:rPr>
                <w:color w:val="000000"/>
                <w:sz w:val="16"/>
                <w:szCs w:val="16"/>
              </w:rPr>
            </w:pPr>
            <w:r w:rsidRPr="00E11FFB">
              <w:rPr>
                <w:color w:val="000000"/>
                <w:sz w:val="16"/>
                <w:szCs w:val="16"/>
              </w:rPr>
              <w:t> </w:t>
            </w:r>
          </w:p>
        </w:tc>
        <w:tc>
          <w:tcPr>
            <w:tcW w:w="1467" w:type="dxa"/>
            <w:vAlign w:val="center"/>
            <w:hideMark/>
          </w:tcPr>
          <w:p w14:paraId="7F4A1AAF" w14:textId="77777777" w:rsidR="007D1A24" w:rsidRPr="00E11FFB" w:rsidRDefault="007D1A24">
            <w:pPr>
              <w:rPr>
                <w:color w:val="000000"/>
                <w:sz w:val="16"/>
                <w:szCs w:val="16"/>
              </w:rPr>
            </w:pPr>
            <w:r w:rsidRPr="00E11FFB">
              <w:rPr>
                <w:color w:val="000000"/>
                <w:sz w:val="16"/>
                <w:szCs w:val="16"/>
              </w:rPr>
              <w:t> </w:t>
            </w:r>
          </w:p>
        </w:tc>
        <w:tc>
          <w:tcPr>
            <w:tcW w:w="2048" w:type="dxa"/>
            <w:vAlign w:val="center"/>
            <w:hideMark/>
          </w:tcPr>
          <w:p w14:paraId="58EEA15C" w14:textId="77777777" w:rsidR="007D1A24" w:rsidRPr="00E11FFB" w:rsidRDefault="007D1A24">
            <w:pPr>
              <w:rPr>
                <w:color w:val="000000"/>
                <w:sz w:val="16"/>
                <w:szCs w:val="16"/>
              </w:rPr>
            </w:pPr>
            <w:r w:rsidRPr="00E11FFB">
              <w:rPr>
                <w:color w:val="000000"/>
                <w:sz w:val="16"/>
                <w:szCs w:val="16"/>
              </w:rPr>
              <w:t>Nous n'avons pas estimé le nombre de personne atteint indirectement par le projet à travers les moyens de communication (site internet, spot audiovisuel, etc.)</w:t>
            </w:r>
          </w:p>
        </w:tc>
      </w:tr>
      <w:tr w:rsidR="007D1A24" w:rsidRPr="00E11FFB" w14:paraId="53D8AE6B" w14:textId="77777777" w:rsidTr="00024C96">
        <w:trPr>
          <w:trHeight w:val="1197"/>
        </w:trPr>
        <w:tc>
          <w:tcPr>
            <w:tcW w:w="1167" w:type="dxa"/>
            <w:vAlign w:val="center"/>
            <w:hideMark/>
          </w:tcPr>
          <w:p w14:paraId="0A48D852" w14:textId="77777777" w:rsidR="007D1A24" w:rsidRPr="00E11FFB" w:rsidRDefault="007D1A24">
            <w:pPr>
              <w:rPr>
                <w:color w:val="000000"/>
                <w:sz w:val="16"/>
                <w:szCs w:val="16"/>
              </w:rPr>
            </w:pPr>
            <w:r w:rsidRPr="00E11FFB">
              <w:rPr>
                <w:color w:val="000000"/>
                <w:sz w:val="16"/>
                <w:szCs w:val="16"/>
              </w:rPr>
              <w:t>Démographie</w:t>
            </w:r>
          </w:p>
        </w:tc>
        <w:tc>
          <w:tcPr>
            <w:tcW w:w="1468" w:type="dxa"/>
            <w:vAlign w:val="center"/>
            <w:hideMark/>
          </w:tcPr>
          <w:p w14:paraId="279F824E" w14:textId="77777777" w:rsidR="007D1A24" w:rsidRPr="00E11FFB" w:rsidRDefault="007D1A24">
            <w:pPr>
              <w:rPr>
                <w:color w:val="000000"/>
                <w:sz w:val="16"/>
                <w:szCs w:val="16"/>
              </w:rPr>
            </w:pPr>
            <w:r w:rsidRPr="00E11FFB">
              <w:rPr>
                <w:color w:val="000000"/>
                <w:sz w:val="16"/>
                <w:szCs w:val="16"/>
              </w:rPr>
              <w:t>799 (17% femmes, 83% hommes)</w:t>
            </w:r>
          </w:p>
        </w:tc>
        <w:tc>
          <w:tcPr>
            <w:tcW w:w="2084" w:type="dxa"/>
            <w:vAlign w:val="center"/>
            <w:hideMark/>
          </w:tcPr>
          <w:p w14:paraId="2D56ACE0" w14:textId="77777777" w:rsidR="007D1A24" w:rsidRPr="00E11FFB" w:rsidRDefault="007D1A24">
            <w:pPr>
              <w:rPr>
                <w:color w:val="000000"/>
                <w:sz w:val="16"/>
                <w:szCs w:val="16"/>
              </w:rPr>
            </w:pPr>
            <w:r w:rsidRPr="00E11FFB">
              <w:rPr>
                <w:color w:val="000000"/>
                <w:sz w:val="16"/>
                <w:szCs w:val="16"/>
              </w:rPr>
              <w:t>Personnes consultées sur la politique, participants aux rencontres des organes de CONAPO ; intensité moyenne</w:t>
            </w:r>
          </w:p>
        </w:tc>
        <w:tc>
          <w:tcPr>
            <w:tcW w:w="1468" w:type="dxa"/>
            <w:vAlign w:val="center"/>
            <w:hideMark/>
          </w:tcPr>
          <w:p w14:paraId="7132CC3D" w14:textId="77777777" w:rsidR="007D1A24" w:rsidRPr="00E11FFB" w:rsidRDefault="007D1A24">
            <w:pPr>
              <w:rPr>
                <w:color w:val="000000"/>
                <w:sz w:val="16"/>
                <w:szCs w:val="16"/>
              </w:rPr>
            </w:pPr>
            <w:r w:rsidRPr="00E11FFB">
              <w:rPr>
                <w:color w:val="000000"/>
                <w:sz w:val="16"/>
                <w:szCs w:val="16"/>
              </w:rPr>
              <w:t> </w:t>
            </w:r>
          </w:p>
        </w:tc>
        <w:tc>
          <w:tcPr>
            <w:tcW w:w="1467" w:type="dxa"/>
            <w:vAlign w:val="center"/>
            <w:hideMark/>
          </w:tcPr>
          <w:p w14:paraId="44D22936" w14:textId="77777777" w:rsidR="007D1A24" w:rsidRPr="00E11FFB" w:rsidRDefault="007D1A24">
            <w:pPr>
              <w:rPr>
                <w:color w:val="000000"/>
                <w:sz w:val="16"/>
                <w:szCs w:val="16"/>
              </w:rPr>
            </w:pPr>
            <w:r w:rsidRPr="00E11FFB">
              <w:rPr>
                <w:color w:val="000000"/>
                <w:sz w:val="16"/>
                <w:szCs w:val="16"/>
              </w:rPr>
              <w:t> </w:t>
            </w:r>
          </w:p>
        </w:tc>
        <w:tc>
          <w:tcPr>
            <w:tcW w:w="2048" w:type="dxa"/>
            <w:vAlign w:val="center"/>
            <w:hideMark/>
          </w:tcPr>
          <w:p w14:paraId="4D83C991" w14:textId="77777777" w:rsidR="007D1A24" w:rsidRPr="00E11FFB" w:rsidRDefault="007D1A24">
            <w:pPr>
              <w:rPr>
                <w:color w:val="000000"/>
                <w:sz w:val="16"/>
                <w:szCs w:val="16"/>
              </w:rPr>
            </w:pPr>
            <w:r w:rsidRPr="00E11FFB">
              <w:rPr>
                <w:color w:val="000000"/>
                <w:sz w:val="16"/>
                <w:szCs w:val="16"/>
              </w:rPr>
              <w:t>Nous n'avons pas estimé le nombre de personne atteint indirectement par le projet à travers les moyens de communication (site internet, spot audiovisuel, etc.)</w:t>
            </w:r>
          </w:p>
        </w:tc>
      </w:tr>
      <w:tr w:rsidR="007D1A24" w:rsidRPr="00E11FFB" w14:paraId="47E1C2FE" w14:textId="77777777" w:rsidTr="00024C96">
        <w:trPr>
          <w:trHeight w:val="1197"/>
        </w:trPr>
        <w:tc>
          <w:tcPr>
            <w:tcW w:w="1167" w:type="dxa"/>
            <w:vAlign w:val="center"/>
            <w:hideMark/>
          </w:tcPr>
          <w:p w14:paraId="3AA82A8B" w14:textId="77777777" w:rsidR="007D1A24" w:rsidRPr="00E11FFB" w:rsidRDefault="007D1A24">
            <w:pPr>
              <w:rPr>
                <w:color w:val="000000"/>
                <w:sz w:val="16"/>
                <w:szCs w:val="16"/>
              </w:rPr>
            </w:pPr>
            <w:r w:rsidRPr="00E11FFB">
              <w:rPr>
                <w:color w:val="000000"/>
                <w:sz w:val="16"/>
                <w:szCs w:val="16"/>
              </w:rPr>
              <w:t>Gouvernance (ITIE)</w:t>
            </w:r>
          </w:p>
        </w:tc>
        <w:tc>
          <w:tcPr>
            <w:tcW w:w="1468" w:type="dxa"/>
            <w:vAlign w:val="center"/>
            <w:hideMark/>
          </w:tcPr>
          <w:p w14:paraId="6074F102" w14:textId="77777777" w:rsidR="007D1A24" w:rsidRPr="00E11FFB" w:rsidRDefault="007D1A24">
            <w:pPr>
              <w:rPr>
                <w:color w:val="000000"/>
                <w:sz w:val="16"/>
                <w:szCs w:val="16"/>
              </w:rPr>
            </w:pPr>
            <w:r w:rsidRPr="00E11FFB">
              <w:rPr>
                <w:color w:val="000000"/>
                <w:sz w:val="16"/>
                <w:szCs w:val="16"/>
              </w:rPr>
              <w:t>871 (16% femmes, 84% hommes)</w:t>
            </w:r>
          </w:p>
        </w:tc>
        <w:tc>
          <w:tcPr>
            <w:tcW w:w="2084" w:type="dxa"/>
            <w:vAlign w:val="center"/>
            <w:hideMark/>
          </w:tcPr>
          <w:p w14:paraId="014EC3C1" w14:textId="77777777" w:rsidR="007D1A24" w:rsidRPr="00E11FFB" w:rsidRDefault="007D1A24">
            <w:pPr>
              <w:rPr>
                <w:color w:val="000000"/>
                <w:sz w:val="16"/>
                <w:szCs w:val="16"/>
              </w:rPr>
            </w:pPr>
            <w:r w:rsidRPr="00E11FFB">
              <w:rPr>
                <w:color w:val="000000"/>
                <w:sz w:val="16"/>
                <w:szCs w:val="16"/>
              </w:rPr>
              <w:t>Intensité moyenne (personnes renforcées en capacité sur ITIE)</w:t>
            </w:r>
          </w:p>
        </w:tc>
        <w:tc>
          <w:tcPr>
            <w:tcW w:w="1468" w:type="dxa"/>
            <w:vAlign w:val="center"/>
            <w:hideMark/>
          </w:tcPr>
          <w:p w14:paraId="45B8776A" w14:textId="77777777" w:rsidR="007D1A24" w:rsidRPr="00E11FFB" w:rsidRDefault="007D1A24">
            <w:pPr>
              <w:rPr>
                <w:color w:val="000000"/>
                <w:sz w:val="16"/>
                <w:szCs w:val="16"/>
              </w:rPr>
            </w:pPr>
            <w:r w:rsidRPr="00E11FFB">
              <w:rPr>
                <w:color w:val="000000"/>
                <w:sz w:val="16"/>
                <w:szCs w:val="16"/>
              </w:rPr>
              <w:t> </w:t>
            </w:r>
          </w:p>
        </w:tc>
        <w:tc>
          <w:tcPr>
            <w:tcW w:w="1467" w:type="dxa"/>
            <w:vAlign w:val="center"/>
            <w:hideMark/>
          </w:tcPr>
          <w:p w14:paraId="50C9EF1B" w14:textId="77777777" w:rsidR="007D1A24" w:rsidRPr="00E11FFB" w:rsidRDefault="007D1A24">
            <w:pPr>
              <w:rPr>
                <w:color w:val="000000"/>
                <w:sz w:val="16"/>
                <w:szCs w:val="16"/>
              </w:rPr>
            </w:pPr>
            <w:r w:rsidRPr="00E11FFB">
              <w:rPr>
                <w:color w:val="000000"/>
                <w:sz w:val="16"/>
                <w:szCs w:val="16"/>
              </w:rPr>
              <w:t> </w:t>
            </w:r>
          </w:p>
        </w:tc>
        <w:tc>
          <w:tcPr>
            <w:tcW w:w="2048" w:type="dxa"/>
            <w:vAlign w:val="center"/>
            <w:hideMark/>
          </w:tcPr>
          <w:p w14:paraId="6DE6BCB1" w14:textId="77777777" w:rsidR="007D1A24" w:rsidRPr="00E11FFB" w:rsidRDefault="007D1A24">
            <w:pPr>
              <w:rPr>
                <w:color w:val="000000"/>
                <w:sz w:val="16"/>
                <w:szCs w:val="16"/>
              </w:rPr>
            </w:pPr>
            <w:r w:rsidRPr="00E11FFB">
              <w:rPr>
                <w:color w:val="000000"/>
                <w:sz w:val="16"/>
                <w:szCs w:val="16"/>
              </w:rPr>
              <w:t>Nous n'avons pas estimé le nombre de personne atteint indirectement par le projet à travers les moyens de communication (site internet, spot audiovisuel, etc.)</w:t>
            </w:r>
          </w:p>
        </w:tc>
      </w:tr>
      <w:tr w:rsidR="007D1A24" w:rsidRPr="00E11FFB" w14:paraId="27424DC7" w14:textId="77777777" w:rsidTr="00024C96">
        <w:trPr>
          <w:trHeight w:val="1396"/>
        </w:trPr>
        <w:tc>
          <w:tcPr>
            <w:tcW w:w="1167" w:type="dxa"/>
            <w:vAlign w:val="center"/>
            <w:hideMark/>
          </w:tcPr>
          <w:p w14:paraId="3B026B4E" w14:textId="77777777" w:rsidR="007D1A24" w:rsidRPr="00E11FFB" w:rsidRDefault="007D1A24">
            <w:pPr>
              <w:rPr>
                <w:b/>
                <w:bCs/>
                <w:color w:val="000000"/>
                <w:sz w:val="16"/>
                <w:szCs w:val="16"/>
              </w:rPr>
            </w:pPr>
            <w:r w:rsidRPr="00E11FFB">
              <w:rPr>
                <w:b/>
                <w:bCs/>
                <w:color w:val="000000"/>
                <w:sz w:val="16"/>
                <w:szCs w:val="16"/>
              </w:rPr>
              <w:t>Nombre total (peut ne pas être égal à la somme des rangées ci- dessus)</w:t>
            </w:r>
          </w:p>
        </w:tc>
        <w:tc>
          <w:tcPr>
            <w:tcW w:w="1468" w:type="dxa"/>
            <w:vAlign w:val="center"/>
            <w:hideMark/>
          </w:tcPr>
          <w:p w14:paraId="66DB71CA" w14:textId="508F72A2" w:rsidR="007D1A24" w:rsidRPr="00E11FFB" w:rsidRDefault="007D1A24">
            <w:pPr>
              <w:rPr>
                <w:color w:val="000000"/>
                <w:sz w:val="16"/>
                <w:szCs w:val="16"/>
              </w:rPr>
            </w:pPr>
            <w:r w:rsidRPr="00E11FFB">
              <w:rPr>
                <w:color w:val="000000"/>
                <w:sz w:val="16"/>
                <w:szCs w:val="16"/>
              </w:rPr>
              <w:t>43</w:t>
            </w:r>
            <w:r w:rsidR="005C5C6A" w:rsidRPr="00E11FFB">
              <w:rPr>
                <w:color w:val="000000"/>
                <w:sz w:val="16"/>
                <w:szCs w:val="16"/>
              </w:rPr>
              <w:t>70</w:t>
            </w:r>
            <w:r w:rsidRPr="00E11FFB">
              <w:rPr>
                <w:color w:val="000000"/>
                <w:sz w:val="16"/>
                <w:szCs w:val="16"/>
              </w:rPr>
              <w:t xml:space="preserve"> (1</w:t>
            </w:r>
            <w:r w:rsidR="005C5C6A" w:rsidRPr="00E11FFB">
              <w:rPr>
                <w:color w:val="000000"/>
                <w:sz w:val="16"/>
                <w:szCs w:val="16"/>
              </w:rPr>
              <w:t>9</w:t>
            </w:r>
            <w:r w:rsidRPr="00E11FFB">
              <w:rPr>
                <w:color w:val="000000"/>
                <w:sz w:val="16"/>
                <w:szCs w:val="16"/>
              </w:rPr>
              <w:t>%</w:t>
            </w:r>
            <w:r w:rsidR="004E53D6" w:rsidRPr="00E11FFB">
              <w:rPr>
                <w:color w:val="000000"/>
                <w:sz w:val="16"/>
                <w:szCs w:val="16"/>
              </w:rPr>
              <w:t xml:space="preserve"> femmes, </w:t>
            </w:r>
            <w:r w:rsidRPr="00E11FFB">
              <w:rPr>
                <w:color w:val="000000"/>
                <w:sz w:val="16"/>
                <w:szCs w:val="16"/>
              </w:rPr>
              <w:t>8</w:t>
            </w:r>
            <w:r w:rsidR="005C5C6A" w:rsidRPr="00E11FFB">
              <w:rPr>
                <w:color w:val="000000"/>
                <w:sz w:val="16"/>
                <w:szCs w:val="16"/>
              </w:rPr>
              <w:t>2</w:t>
            </w:r>
            <w:r w:rsidRPr="00E11FFB">
              <w:rPr>
                <w:color w:val="000000"/>
                <w:sz w:val="16"/>
                <w:szCs w:val="16"/>
              </w:rPr>
              <w:t>% hommes)</w:t>
            </w:r>
          </w:p>
        </w:tc>
        <w:tc>
          <w:tcPr>
            <w:tcW w:w="2084" w:type="dxa"/>
            <w:noWrap/>
            <w:vAlign w:val="bottom"/>
            <w:hideMark/>
          </w:tcPr>
          <w:p w14:paraId="0BA94627" w14:textId="77777777" w:rsidR="007D1A24" w:rsidRPr="00E11FFB" w:rsidRDefault="007D1A24">
            <w:pPr>
              <w:rPr>
                <w:color w:val="000000"/>
                <w:sz w:val="16"/>
                <w:szCs w:val="16"/>
              </w:rPr>
            </w:pPr>
          </w:p>
        </w:tc>
        <w:tc>
          <w:tcPr>
            <w:tcW w:w="1468" w:type="dxa"/>
            <w:noWrap/>
            <w:vAlign w:val="bottom"/>
            <w:hideMark/>
          </w:tcPr>
          <w:p w14:paraId="77F4EBA1" w14:textId="77777777" w:rsidR="007D1A24" w:rsidRPr="00E11FFB" w:rsidRDefault="007D1A24">
            <w:pPr>
              <w:rPr>
                <w:sz w:val="20"/>
                <w:szCs w:val="20"/>
              </w:rPr>
            </w:pPr>
          </w:p>
        </w:tc>
        <w:tc>
          <w:tcPr>
            <w:tcW w:w="1467" w:type="dxa"/>
            <w:noWrap/>
            <w:vAlign w:val="bottom"/>
            <w:hideMark/>
          </w:tcPr>
          <w:p w14:paraId="0A0078CD" w14:textId="77777777" w:rsidR="007D1A24" w:rsidRPr="00E11FFB" w:rsidRDefault="007D1A24">
            <w:pPr>
              <w:rPr>
                <w:sz w:val="20"/>
                <w:szCs w:val="20"/>
              </w:rPr>
            </w:pPr>
          </w:p>
        </w:tc>
        <w:tc>
          <w:tcPr>
            <w:tcW w:w="2048" w:type="dxa"/>
            <w:noWrap/>
            <w:vAlign w:val="bottom"/>
            <w:hideMark/>
          </w:tcPr>
          <w:p w14:paraId="4F2706F2" w14:textId="77777777" w:rsidR="007D1A24" w:rsidRPr="00E11FFB" w:rsidRDefault="007D1A24">
            <w:pPr>
              <w:rPr>
                <w:sz w:val="20"/>
                <w:szCs w:val="20"/>
              </w:rPr>
            </w:pPr>
          </w:p>
        </w:tc>
      </w:tr>
    </w:tbl>
    <w:p w14:paraId="71A7437E" w14:textId="77777777" w:rsidR="007D1A24" w:rsidRPr="00E11FFB" w:rsidRDefault="007D1A24">
      <w:pPr>
        <w:spacing w:after="5" w:line="271" w:lineRule="auto"/>
        <w:ind w:right="28"/>
        <w:jc w:val="both"/>
        <w:rPr>
          <w:rFonts w:ascii="Avenir" w:eastAsia="Avenir" w:hAnsi="Avenir" w:cs="Avenir"/>
          <w:b/>
          <w:sz w:val="21"/>
          <w:szCs w:val="21"/>
        </w:rPr>
      </w:pPr>
    </w:p>
    <w:p w14:paraId="3FA1F45A" w14:textId="4E595B45" w:rsidR="0024617D" w:rsidRPr="00E11FFB" w:rsidRDefault="007D1A24">
      <w:pPr>
        <w:pStyle w:val="Titre2"/>
      </w:pPr>
      <w:r w:rsidRPr="00E11FFB">
        <w:rPr>
          <w:rFonts w:ascii="Avenir" w:eastAsia="Avenir" w:hAnsi="Avenir" w:cs="Avenir"/>
          <w:b/>
          <w:sz w:val="21"/>
          <w:szCs w:val="21"/>
        </w:rPr>
        <w:t xml:space="preserve"> </w:t>
      </w:r>
      <w:bookmarkStart w:id="22" w:name="_Toc224044712"/>
      <w:r w:rsidR="00C83F85" w:rsidRPr="00E11FFB">
        <w:t>5.2 Contributions du projet à l’atteinte des jalons de la Lettre d’intention</w:t>
      </w:r>
      <w:bookmarkEnd w:id="22"/>
    </w:p>
    <w:p w14:paraId="4327F524" w14:textId="77777777" w:rsidR="0024617D" w:rsidRPr="00E11FFB" w:rsidRDefault="0024617D">
      <w:pPr>
        <w:pBdr>
          <w:top w:val="nil"/>
          <w:left w:val="nil"/>
          <w:bottom w:val="nil"/>
          <w:right w:val="nil"/>
          <w:between w:val="nil"/>
        </w:pBdr>
        <w:ind w:left="20" w:right="28" w:hanging="10"/>
        <w:jc w:val="both"/>
        <w:rPr>
          <w:rFonts w:ascii="Avenir" w:eastAsia="Avenir" w:hAnsi="Avenir" w:cs="Avenir"/>
          <w:color w:val="000000"/>
          <w:sz w:val="20"/>
          <w:szCs w:val="20"/>
        </w:rPr>
      </w:pPr>
    </w:p>
    <w:p w14:paraId="5F2499C0" w14:textId="76C6D4BC" w:rsidR="0024617D" w:rsidRPr="00E11FFB" w:rsidRDefault="00C83F85" w:rsidP="004E5F35">
      <w:pPr>
        <w:tabs>
          <w:tab w:val="center" w:pos="5024"/>
        </w:tabs>
        <w:spacing w:before="57" w:after="198"/>
        <w:ind w:left="20" w:hanging="10"/>
        <w:jc w:val="both"/>
        <w:rPr>
          <w:rFonts w:ascii="Avenir" w:eastAsia="Avenir" w:hAnsi="Avenir" w:cs="Avenir"/>
          <w:i/>
          <w:color w:val="000000"/>
          <w:sz w:val="20"/>
          <w:szCs w:val="20"/>
        </w:rPr>
      </w:pPr>
      <w:r w:rsidRPr="00E11FFB">
        <w:rPr>
          <w:rFonts w:ascii="Avenir" w:eastAsia="Avenir" w:hAnsi="Avenir" w:cs="Avenir"/>
          <w:i/>
          <w:color w:val="000000"/>
          <w:sz w:val="20"/>
          <w:szCs w:val="20"/>
        </w:rPr>
        <w:t xml:space="preserve">La matrice simplifiée ci-dessous permet de renseigner la contribution du projet aux différents Jalons. </w:t>
      </w:r>
    </w:p>
    <w:tbl>
      <w:tblPr>
        <w:tblStyle w:val="16"/>
        <w:tblpPr w:leftFromText="180" w:rightFromText="180" w:vertAnchor="text" w:tblpXSpec="center" w:tblpY="1"/>
        <w:tblOverlap w:val="never"/>
        <w:tblW w:w="10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3330"/>
        <w:gridCol w:w="3060"/>
        <w:gridCol w:w="1710"/>
        <w:gridCol w:w="1493"/>
      </w:tblGrid>
      <w:tr w:rsidR="00D16B68" w:rsidRPr="00E11FFB" w14:paraId="464E1F5E" w14:textId="77777777" w:rsidTr="00DB0400">
        <w:trPr>
          <w:trHeight w:val="717"/>
          <w:tblHeader/>
        </w:trPr>
        <w:tc>
          <w:tcPr>
            <w:tcW w:w="805" w:type="dxa"/>
            <w:shd w:val="clear" w:color="auto" w:fill="DAEEF3" w:themeFill="accent5" w:themeFillTint="33"/>
            <w:vAlign w:val="center"/>
          </w:tcPr>
          <w:p w14:paraId="1A2B44DA" w14:textId="77777777" w:rsidR="00D16B68" w:rsidRPr="00E11FFB" w:rsidRDefault="00D16B68" w:rsidP="00D16B68">
            <w:pPr>
              <w:widowControl w:val="0"/>
              <w:pBdr>
                <w:top w:val="nil"/>
                <w:left w:val="nil"/>
                <w:bottom w:val="nil"/>
                <w:right w:val="nil"/>
                <w:between w:val="nil"/>
              </w:pBdr>
              <w:spacing w:line="276" w:lineRule="auto"/>
              <w:rPr>
                <w:rFonts w:ascii="Avenir" w:eastAsia="Avenir" w:hAnsi="Avenir" w:cs="Avenir"/>
                <w:b/>
                <w:color w:val="000000"/>
                <w:sz w:val="16"/>
                <w:szCs w:val="16"/>
              </w:rPr>
            </w:pPr>
            <w:r w:rsidRPr="00E11FFB">
              <w:rPr>
                <w:rFonts w:ascii="Avenir" w:eastAsia="Avenir" w:hAnsi="Avenir" w:cs="Avenir"/>
                <w:b/>
                <w:color w:val="000000"/>
                <w:sz w:val="16"/>
                <w:szCs w:val="16"/>
              </w:rPr>
              <w:t>N° du jalon dans la LOI</w:t>
            </w:r>
            <w:r w:rsidRPr="00E11FFB">
              <w:rPr>
                <w:rFonts w:ascii="Avenir" w:eastAsia="Avenir" w:hAnsi="Avenir" w:cs="Avenir"/>
                <w:b/>
                <w:i/>
                <w:color w:val="000000"/>
                <w:sz w:val="16"/>
                <w:szCs w:val="16"/>
                <w:vertAlign w:val="superscript"/>
              </w:rPr>
              <w:footnoteReference w:id="37"/>
            </w:r>
          </w:p>
        </w:tc>
        <w:tc>
          <w:tcPr>
            <w:tcW w:w="3330" w:type="dxa"/>
            <w:shd w:val="clear" w:color="auto" w:fill="DAEEF3" w:themeFill="accent5" w:themeFillTint="33"/>
            <w:vAlign w:val="center"/>
          </w:tcPr>
          <w:p w14:paraId="08FD1A78" w14:textId="77777777" w:rsidR="00D16B68" w:rsidRPr="00E11FFB" w:rsidRDefault="00D16B68" w:rsidP="00D16B68">
            <w:pPr>
              <w:widowControl w:val="0"/>
              <w:pBdr>
                <w:top w:val="nil"/>
                <w:left w:val="nil"/>
                <w:bottom w:val="nil"/>
                <w:right w:val="nil"/>
                <w:between w:val="nil"/>
              </w:pBdr>
              <w:spacing w:line="276" w:lineRule="auto"/>
              <w:rPr>
                <w:rFonts w:ascii="Avenir" w:eastAsia="Avenir" w:hAnsi="Avenir" w:cs="Avenir"/>
                <w:b/>
                <w:color w:val="000000"/>
                <w:sz w:val="16"/>
                <w:szCs w:val="16"/>
              </w:rPr>
            </w:pPr>
            <w:r w:rsidRPr="00E11FFB">
              <w:rPr>
                <w:rFonts w:ascii="Avenir" w:eastAsia="Avenir" w:hAnsi="Avenir" w:cs="Avenir"/>
                <w:b/>
                <w:color w:val="000000"/>
                <w:sz w:val="16"/>
                <w:szCs w:val="16"/>
              </w:rPr>
              <w:t>Descriptif du Jalon</w:t>
            </w:r>
          </w:p>
        </w:tc>
        <w:tc>
          <w:tcPr>
            <w:tcW w:w="3060" w:type="dxa"/>
            <w:shd w:val="clear" w:color="auto" w:fill="DAEEF3" w:themeFill="accent5" w:themeFillTint="33"/>
            <w:vAlign w:val="center"/>
          </w:tcPr>
          <w:p w14:paraId="70ED14B4" w14:textId="77777777" w:rsidR="00D16B68" w:rsidRPr="00E11FFB" w:rsidRDefault="00D16B68" w:rsidP="00D16B68">
            <w:pPr>
              <w:rPr>
                <w:rFonts w:ascii="Avenir" w:eastAsia="Avenir" w:hAnsi="Avenir" w:cs="Avenir"/>
                <w:b/>
                <w:color w:val="000000"/>
                <w:sz w:val="16"/>
                <w:szCs w:val="16"/>
              </w:rPr>
            </w:pPr>
            <w:r w:rsidRPr="00E11FFB">
              <w:rPr>
                <w:b/>
                <w:sz w:val="16"/>
                <w:szCs w:val="16"/>
              </w:rPr>
              <w:t>Progrès accomplis lors de la période de rapportage</w:t>
            </w:r>
          </w:p>
        </w:tc>
        <w:tc>
          <w:tcPr>
            <w:tcW w:w="1710" w:type="dxa"/>
            <w:shd w:val="clear" w:color="auto" w:fill="DAEEF3" w:themeFill="accent5" w:themeFillTint="33"/>
          </w:tcPr>
          <w:p w14:paraId="5E27E482" w14:textId="777A3905" w:rsidR="00D16B68" w:rsidRPr="00E11FFB" w:rsidRDefault="00D16B68" w:rsidP="00D16B68">
            <w:pPr>
              <w:rPr>
                <w:rFonts w:ascii="Avenir" w:eastAsia="Avenir" w:hAnsi="Avenir" w:cs="Avenir"/>
                <w:b/>
                <w:color w:val="000000"/>
                <w:sz w:val="16"/>
                <w:szCs w:val="16"/>
              </w:rPr>
            </w:pPr>
            <w:r w:rsidRPr="00E11FFB">
              <w:rPr>
                <w:rFonts w:ascii="Avenir" w:eastAsia="Avenir" w:hAnsi="Avenir" w:cs="Avenir"/>
                <w:b/>
                <w:color w:val="000000"/>
                <w:sz w:val="16"/>
                <w:szCs w:val="16"/>
              </w:rPr>
              <w:t xml:space="preserve">Progrès accomplis de manière cumulative depuis le début du projet </w:t>
            </w:r>
          </w:p>
        </w:tc>
        <w:tc>
          <w:tcPr>
            <w:tcW w:w="1493" w:type="dxa"/>
            <w:shd w:val="clear" w:color="auto" w:fill="DAEEF3" w:themeFill="accent5" w:themeFillTint="33"/>
            <w:vAlign w:val="center"/>
          </w:tcPr>
          <w:p w14:paraId="04798E20" w14:textId="77777777" w:rsidR="00D16B68" w:rsidRPr="00E11FFB" w:rsidRDefault="00D16B68" w:rsidP="00D16B68">
            <w:pPr>
              <w:widowControl w:val="0"/>
              <w:pBdr>
                <w:top w:val="nil"/>
                <w:left w:val="nil"/>
                <w:bottom w:val="nil"/>
                <w:right w:val="nil"/>
                <w:between w:val="nil"/>
              </w:pBdr>
              <w:spacing w:line="276" w:lineRule="auto"/>
              <w:rPr>
                <w:rFonts w:ascii="Avenir" w:eastAsia="Avenir" w:hAnsi="Avenir" w:cs="Avenir"/>
                <w:b/>
                <w:color w:val="000000"/>
                <w:sz w:val="16"/>
                <w:szCs w:val="16"/>
              </w:rPr>
            </w:pPr>
            <w:r w:rsidRPr="00E11FFB">
              <w:rPr>
                <w:rFonts w:ascii="Avenir" w:eastAsia="Avenir" w:hAnsi="Avenir" w:cs="Avenir"/>
                <w:b/>
                <w:color w:val="000000"/>
                <w:sz w:val="16"/>
                <w:szCs w:val="16"/>
              </w:rPr>
              <w:t>Commentaires</w:t>
            </w:r>
          </w:p>
        </w:tc>
      </w:tr>
      <w:tr w:rsidR="00D16B68" w:rsidRPr="00E11FFB" w14:paraId="757B76D5" w14:textId="77777777" w:rsidTr="00DB0400">
        <w:trPr>
          <w:trHeight w:val="523"/>
        </w:trPr>
        <w:tc>
          <w:tcPr>
            <w:tcW w:w="805" w:type="dxa"/>
            <w:vAlign w:val="center"/>
          </w:tcPr>
          <w:p w14:paraId="3E162666" w14:textId="1591379B" w:rsidR="00D16B68" w:rsidRPr="00E11FFB" w:rsidRDefault="00D16B68" w:rsidP="00D16B68">
            <w:pPr>
              <w:rPr>
                <w:rFonts w:ascii="Avenir" w:eastAsia="Avenir" w:hAnsi="Avenir" w:cs="Avenir"/>
                <w:b/>
                <w:color w:val="000000"/>
                <w:sz w:val="18"/>
                <w:szCs w:val="18"/>
              </w:rPr>
            </w:pPr>
            <w:r w:rsidRPr="00E11FFB">
              <w:rPr>
                <w:rFonts w:ascii="Calibri" w:hAnsi="Calibri" w:cs="Calibri"/>
                <w:color w:val="000000"/>
                <w:sz w:val="16"/>
                <w:szCs w:val="16"/>
                <w:lang w:eastAsia="fr-FR"/>
              </w:rPr>
              <w:t xml:space="preserve">Produit 1.1 (Jalon g) </w:t>
            </w:r>
          </w:p>
        </w:tc>
        <w:tc>
          <w:tcPr>
            <w:tcW w:w="3330" w:type="dxa"/>
            <w:vAlign w:val="center"/>
          </w:tcPr>
          <w:p w14:paraId="72CBFB4E" w14:textId="3249E8CB" w:rsidR="00D16B68" w:rsidRPr="00E11FFB" w:rsidRDefault="00D16B68" w:rsidP="00D16B68">
            <w:pPr>
              <w:jc w:val="left"/>
              <w:rPr>
                <w:rFonts w:ascii="Avenir" w:eastAsia="Avenir" w:hAnsi="Avenir" w:cs="Avenir"/>
                <w:bCs/>
                <w:color w:val="000000"/>
                <w:sz w:val="16"/>
                <w:szCs w:val="16"/>
              </w:rPr>
            </w:pPr>
            <w:r w:rsidRPr="00E11FFB">
              <w:rPr>
                <w:rFonts w:ascii="Avenir" w:eastAsia="Avenir" w:hAnsi="Avenir" w:cs="Avenir"/>
                <w:bCs/>
                <w:color w:val="000000"/>
                <w:sz w:val="16"/>
                <w:szCs w:val="16"/>
              </w:rPr>
              <w:t> La Loi relative à l’aménagement du territoire est promulguée par le Président de la République d’ici fin 2022 ; le Conseil National de l’aménagement du territoire (CNAT) est mis en place d’ici mi-2022 par un acte juridique, définissant également ses missions, son organisation et son fonctionnement en tant que structure multi-sectorielle de concertation, d’orientation, de conseil, et d’assistance au gouvernement, en assurant des synergies avec d’autres structures existantes dont la Commission Nationale de la Réforme Foncière ; une première réunion du CNAT est organisée d’ici [fin 2022] et une réunion est tenue au moins annuellement par la suite ; des Conseils Provinciaux et Locaux d’Aménagement du Territoire (CPAT et CLAT) sont mis en place par des actes juridiques dans au moins deux Provinces-pilotes d’ici [fin 2023], et dans tous les autres PIREDD d’ici fin 2026.</w:t>
            </w:r>
          </w:p>
        </w:tc>
        <w:tc>
          <w:tcPr>
            <w:tcW w:w="3060" w:type="dxa"/>
            <w:vAlign w:val="center"/>
          </w:tcPr>
          <w:p w14:paraId="5F3FD403" w14:textId="2C1978E2" w:rsidR="00D16B68" w:rsidRPr="00E11FFB" w:rsidRDefault="00D16B68" w:rsidP="00D16B68">
            <w:pPr>
              <w:ind w:left="10" w:firstLine="0"/>
              <w:jc w:val="left"/>
              <w:rPr>
                <w:rFonts w:ascii="Avenir" w:eastAsia="Avenir" w:hAnsi="Avenir" w:cs="Avenir"/>
                <w:bCs/>
                <w:color w:val="000000"/>
                <w:sz w:val="16"/>
                <w:szCs w:val="16"/>
              </w:rPr>
            </w:pPr>
            <w:r w:rsidRPr="00E11FFB">
              <w:rPr>
                <w:rFonts w:ascii="Avenir" w:eastAsia="Avenir" w:hAnsi="Avenir" w:cs="Avenir"/>
                <w:bCs/>
                <w:color w:val="000000"/>
                <w:sz w:val="16"/>
                <w:szCs w:val="16"/>
              </w:rPr>
              <w:t xml:space="preserve">Projet de décret CNAT adopté au conseil des ministres ; </w:t>
            </w:r>
          </w:p>
          <w:p w14:paraId="2EB56AB5" w14:textId="77777777" w:rsidR="00D16B68" w:rsidRPr="00E11FFB" w:rsidRDefault="00D16B68" w:rsidP="00D16B68">
            <w:pPr>
              <w:jc w:val="left"/>
              <w:rPr>
                <w:rFonts w:ascii="Avenir" w:eastAsia="Avenir" w:hAnsi="Avenir" w:cs="Avenir"/>
                <w:bCs/>
                <w:color w:val="000000"/>
                <w:sz w:val="16"/>
                <w:szCs w:val="16"/>
              </w:rPr>
            </w:pPr>
            <w:r w:rsidRPr="00E11FFB">
              <w:rPr>
                <w:rFonts w:ascii="Avenir" w:eastAsia="Avenir" w:hAnsi="Avenir" w:cs="Avenir"/>
                <w:bCs/>
                <w:color w:val="000000"/>
                <w:sz w:val="16"/>
                <w:szCs w:val="16"/>
              </w:rPr>
              <w:t xml:space="preserve">Equipement fait au CNAT, </w:t>
            </w:r>
          </w:p>
          <w:p w14:paraId="0639664C" w14:textId="619B63DF" w:rsidR="00D16B68" w:rsidRPr="00E11FFB" w:rsidRDefault="00D16B68" w:rsidP="00D16B68">
            <w:pPr>
              <w:jc w:val="left"/>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arrêté CPAT </w:t>
            </w:r>
            <w:r w:rsidR="006746B0" w:rsidRPr="00E11FFB">
              <w:rPr>
                <w:rFonts w:ascii="Avenir" w:eastAsia="Avenir" w:hAnsi="Avenir" w:cs="Avenir"/>
                <w:bCs/>
                <w:color w:val="000000"/>
                <w:sz w:val="16"/>
                <w:szCs w:val="16"/>
              </w:rPr>
              <w:t xml:space="preserve">signé </w:t>
            </w:r>
            <w:r w:rsidRPr="00E11FFB">
              <w:rPr>
                <w:rFonts w:ascii="Avenir" w:eastAsia="Avenir" w:hAnsi="Avenir" w:cs="Avenir"/>
                <w:bCs/>
                <w:color w:val="000000"/>
                <w:sz w:val="16"/>
                <w:szCs w:val="16"/>
              </w:rPr>
              <w:t>et 1 projet d’arrêté en cours</w:t>
            </w:r>
          </w:p>
          <w:p w14:paraId="31A78601" w14:textId="4495550A" w:rsidR="00D16B68" w:rsidRPr="00E11FFB" w:rsidRDefault="00D16B68" w:rsidP="00D16B68">
            <w:pPr>
              <w:jc w:val="left"/>
              <w:rPr>
                <w:rFonts w:ascii="Avenir" w:eastAsia="Avenir" w:hAnsi="Avenir" w:cs="Avenir"/>
                <w:bCs/>
                <w:color w:val="000000"/>
                <w:sz w:val="16"/>
                <w:szCs w:val="16"/>
              </w:rPr>
            </w:pPr>
            <w:r w:rsidRPr="00E11FFB">
              <w:rPr>
                <w:rFonts w:ascii="Avenir" w:eastAsia="Avenir" w:hAnsi="Avenir" w:cs="Avenir"/>
                <w:bCs/>
                <w:color w:val="000000"/>
                <w:sz w:val="16"/>
                <w:szCs w:val="16"/>
              </w:rPr>
              <w:t>Equipement disponible pour le CPAT,</w:t>
            </w:r>
          </w:p>
          <w:p w14:paraId="1674E0E4" w14:textId="206B23A9" w:rsidR="00D16B68" w:rsidRPr="00E11FFB" w:rsidRDefault="00D16B68" w:rsidP="00D16B68">
            <w:pPr>
              <w:pBdr>
                <w:top w:val="nil"/>
                <w:left w:val="nil"/>
                <w:bottom w:val="nil"/>
                <w:right w:val="nil"/>
                <w:between w:val="nil"/>
              </w:pBdr>
              <w:ind w:left="0" w:firstLine="0"/>
              <w:jc w:val="left"/>
              <w:rPr>
                <w:rFonts w:ascii="Avenir" w:eastAsia="Avenir" w:hAnsi="Avenir" w:cs="Avenir"/>
                <w:bCs/>
                <w:color w:val="000000"/>
                <w:sz w:val="16"/>
                <w:szCs w:val="16"/>
              </w:rPr>
            </w:pPr>
            <w:r w:rsidRPr="00E11FFB">
              <w:rPr>
                <w:rFonts w:ascii="Avenir" w:eastAsia="Avenir" w:hAnsi="Avenir" w:cs="Avenir"/>
                <w:bCs/>
                <w:color w:val="000000"/>
                <w:sz w:val="16"/>
                <w:szCs w:val="16"/>
              </w:rPr>
              <w:t>Modules de formation disponibl</w:t>
            </w:r>
            <w:r w:rsidR="00A42E35" w:rsidRPr="00E11FFB">
              <w:rPr>
                <w:rFonts w:ascii="Avenir" w:eastAsia="Avenir" w:hAnsi="Avenir" w:cs="Avenir"/>
                <w:bCs/>
                <w:color w:val="000000"/>
                <w:sz w:val="16"/>
                <w:szCs w:val="16"/>
              </w:rPr>
              <w:t>e pour former les membres de CNAT et CPAT</w:t>
            </w:r>
          </w:p>
        </w:tc>
        <w:tc>
          <w:tcPr>
            <w:tcW w:w="1710" w:type="dxa"/>
          </w:tcPr>
          <w:p w14:paraId="2ADBDCBF" w14:textId="77777777" w:rsidR="00D16B68" w:rsidRPr="00E11FFB" w:rsidRDefault="00D16B68" w:rsidP="00D16B68">
            <w:pPr>
              <w:pBdr>
                <w:top w:val="nil"/>
                <w:left w:val="nil"/>
                <w:bottom w:val="nil"/>
                <w:right w:val="nil"/>
                <w:between w:val="nil"/>
              </w:pBdr>
              <w:ind w:left="2160"/>
              <w:rPr>
                <w:rFonts w:ascii="Avenir" w:eastAsia="Avenir" w:hAnsi="Avenir" w:cs="Avenir"/>
                <w:color w:val="000000"/>
                <w:sz w:val="18"/>
                <w:szCs w:val="18"/>
              </w:rPr>
            </w:pPr>
          </w:p>
          <w:p w14:paraId="3C19FFE6" w14:textId="77777777" w:rsidR="00D16B68" w:rsidRPr="00E11FFB" w:rsidRDefault="00D16B68" w:rsidP="00D16B68">
            <w:pPr>
              <w:rPr>
                <w:rFonts w:ascii="Avenir" w:eastAsia="Avenir" w:hAnsi="Avenir" w:cs="Avenir"/>
                <w:sz w:val="18"/>
                <w:szCs w:val="18"/>
              </w:rPr>
            </w:pPr>
          </w:p>
          <w:p w14:paraId="247D12AD" w14:textId="77777777" w:rsidR="00D16B68" w:rsidRPr="00E11FFB" w:rsidRDefault="00D16B68" w:rsidP="00D16B68">
            <w:pPr>
              <w:rPr>
                <w:rFonts w:ascii="Avenir" w:eastAsia="Avenir" w:hAnsi="Avenir" w:cs="Avenir"/>
                <w:sz w:val="18"/>
                <w:szCs w:val="18"/>
              </w:rPr>
            </w:pPr>
          </w:p>
          <w:p w14:paraId="1FDFB27F" w14:textId="77777777" w:rsidR="00D16B68" w:rsidRPr="00E11FFB" w:rsidRDefault="00D16B68" w:rsidP="00D16B68">
            <w:pPr>
              <w:rPr>
                <w:rFonts w:ascii="Avenir" w:eastAsia="Avenir" w:hAnsi="Avenir" w:cs="Avenir"/>
                <w:sz w:val="18"/>
                <w:szCs w:val="18"/>
              </w:rPr>
            </w:pPr>
          </w:p>
          <w:p w14:paraId="29E3E265" w14:textId="77777777" w:rsidR="00D16B68" w:rsidRPr="00E11FFB" w:rsidRDefault="00D16B68" w:rsidP="00D16B68">
            <w:pPr>
              <w:rPr>
                <w:rFonts w:ascii="Avenir" w:eastAsia="Avenir" w:hAnsi="Avenir" w:cs="Avenir"/>
                <w:sz w:val="18"/>
                <w:szCs w:val="18"/>
              </w:rPr>
            </w:pPr>
          </w:p>
          <w:p w14:paraId="57A31D4E" w14:textId="77777777" w:rsidR="00D16B68" w:rsidRPr="00E11FFB" w:rsidRDefault="00D16B68" w:rsidP="00D16B68">
            <w:pPr>
              <w:rPr>
                <w:rFonts w:ascii="Avenir" w:eastAsia="Avenir" w:hAnsi="Avenir" w:cs="Avenir"/>
                <w:sz w:val="18"/>
                <w:szCs w:val="18"/>
              </w:rPr>
            </w:pPr>
          </w:p>
          <w:p w14:paraId="7A21C6E8" w14:textId="77777777" w:rsidR="00D16B68" w:rsidRPr="00E11FFB" w:rsidRDefault="00D16B68" w:rsidP="00D16B68">
            <w:pPr>
              <w:jc w:val="left"/>
              <w:rPr>
                <w:rFonts w:ascii="Avenir" w:eastAsia="Avenir" w:hAnsi="Avenir" w:cs="Avenir"/>
                <w:bCs/>
                <w:color w:val="000000"/>
                <w:sz w:val="16"/>
                <w:szCs w:val="16"/>
              </w:rPr>
            </w:pPr>
          </w:p>
          <w:p w14:paraId="427C1B88" w14:textId="5A1AD305" w:rsidR="00D16B68" w:rsidRPr="00E11FFB" w:rsidRDefault="00D16B68" w:rsidP="00D16B68">
            <w:pPr>
              <w:jc w:val="left"/>
              <w:rPr>
                <w:rFonts w:ascii="Avenir" w:eastAsia="Avenir" w:hAnsi="Avenir" w:cs="Avenir"/>
                <w:sz w:val="18"/>
                <w:szCs w:val="18"/>
              </w:rPr>
            </w:pPr>
            <w:r w:rsidRPr="00E11FFB">
              <w:rPr>
                <w:rFonts w:ascii="Avenir" w:eastAsia="Avenir" w:hAnsi="Avenir" w:cs="Avenir"/>
                <w:bCs/>
                <w:color w:val="000000"/>
                <w:sz w:val="16"/>
                <w:szCs w:val="16"/>
              </w:rPr>
              <w:t xml:space="preserve">Loi AT promulgué en juillet 2025, </w:t>
            </w:r>
          </w:p>
        </w:tc>
        <w:tc>
          <w:tcPr>
            <w:tcW w:w="1493" w:type="dxa"/>
            <w:vAlign w:val="center"/>
          </w:tcPr>
          <w:p w14:paraId="7B8D4420" w14:textId="108E6614" w:rsidR="00D16B68" w:rsidRPr="00E11FFB" w:rsidRDefault="00A42E35" w:rsidP="00A42E35">
            <w:pPr>
              <w:ind w:left="10" w:firstLine="0"/>
              <w:jc w:val="left"/>
              <w:rPr>
                <w:rFonts w:ascii="Avenir" w:eastAsia="Avenir" w:hAnsi="Avenir" w:cs="Avenir"/>
                <w:bCs/>
                <w:color w:val="000000"/>
                <w:sz w:val="16"/>
                <w:szCs w:val="16"/>
              </w:rPr>
            </w:pPr>
            <w:r w:rsidRPr="00E11FFB">
              <w:rPr>
                <w:rFonts w:ascii="Avenir" w:eastAsia="Avenir" w:hAnsi="Avenir" w:cs="Avenir"/>
                <w:bCs/>
                <w:color w:val="000000"/>
                <w:sz w:val="16"/>
                <w:szCs w:val="16"/>
              </w:rPr>
              <w:t>La loi promulguée</w:t>
            </w:r>
            <w:r w:rsidR="00E82414">
              <w:rPr>
                <w:rFonts w:ascii="Avenir" w:eastAsia="Avenir" w:hAnsi="Avenir" w:cs="Avenir"/>
                <w:bCs/>
                <w:color w:val="000000"/>
                <w:sz w:val="16"/>
                <w:szCs w:val="16"/>
              </w:rPr>
              <w:t xml:space="preserve"> avec appui de PARAT et accompagnement de PAAJ</w:t>
            </w:r>
            <w:r w:rsidRPr="00E11FFB">
              <w:rPr>
                <w:rFonts w:ascii="Avenir" w:eastAsia="Avenir" w:hAnsi="Avenir" w:cs="Avenir"/>
                <w:bCs/>
                <w:color w:val="000000"/>
                <w:sz w:val="16"/>
                <w:szCs w:val="16"/>
              </w:rPr>
              <w:t xml:space="preserve"> a permis d’avancer sur les mesures d’application (CNAT, CPAT) mais la signature de décret CNAT traine à la primature. </w:t>
            </w:r>
          </w:p>
        </w:tc>
      </w:tr>
      <w:tr w:rsidR="00D16B68" w:rsidRPr="00E11FFB" w14:paraId="732FCBB0" w14:textId="77777777" w:rsidTr="00DB0400">
        <w:trPr>
          <w:trHeight w:val="549"/>
        </w:trPr>
        <w:tc>
          <w:tcPr>
            <w:tcW w:w="805" w:type="dxa"/>
            <w:vAlign w:val="center"/>
          </w:tcPr>
          <w:p w14:paraId="1C8AC949" w14:textId="79EB8EC6" w:rsidR="00D16B68" w:rsidRPr="00E11FFB" w:rsidRDefault="00D16B68" w:rsidP="00D16B68">
            <w:pPr>
              <w:rPr>
                <w:rFonts w:ascii="Avenir" w:eastAsia="Avenir" w:hAnsi="Avenir" w:cs="Avenir"/>
                <w:b/>
                <w:color w:val="000000"/>
                <w:sz w:val="18"/>
                <w:szCs w:val="18"/>
              </w:rPr>
            </w:pPr>
            <w:r w:rsidRPr="00E11FFB">
              <w:rPr>
                <w:rFonts w:ascii="Calibri" w:hAnsi="Calibri" w:cs="Calibri"/>
                <w:color w:val="000000"/>
                <w:sz w:val="16"/>
                <w:szCs w:val="16"/>
                <w:lang w:eastAsia="fr-FR"/>
              </w:rPr>
              <w:t>Produit 1.2 (Jalon h)</w:t>
            </w:r>
          </w:p>
        </w:tc>
        <w:tc>
          <w:tcPr>
            <w:tcW w:w="3330" w:type="dxa"/>
            <w:vAlign w:val="center"/>
          </w:tcPr>
          <w:p w14:paraId="1358AB65" w14:textId="56FB3A83" w:rsidR="00D16B68" w:rsidRPr="00E11FFB" w:rsidRDefault="00D16B68" w:rsidP="00D16B68">
            <w:pPr>
              <w:jc w:val="left"/>
              <w:rPr>
                <w:rFonts w:ascii="Avenir" w:eastAsia="Avenir" w:hAnsi="Avenir" w:cs="Avenir"/>
                <w:b/>
                <w:color w:val="000000"/>
                <w:sz w:val="18"/>
                <w:szCs w:val="18"/>
              </w:rPr>
            </w:pPr>
            <w:r w:rsidRPr="00E11FFB">
              <w:rPr>
                <w:rFonts w:ascii="Calibri" w:hAnsi="Calibri" w:cs="Calibri"/>
                <w:color w:val="000000"/>
                <w:sz w:val="16"/>
                <w:szCs w:val="16"/>
                <w:lang w:eastAsia="fr-FR"/>
              </w:rPr>
              <w:t>Un annuaire national de ressources naturelles du sol et sous-sol, en termes d’inventaires des ressources naturelles, renouvelables et non renouvelables, est réalisé d’ici fin 2023 sur base des informations fournies par les Ministères sectoriels d’ici 2022, et permet d’élaborer une ébauche préliminaire de l’Atlas d’aménagement du territoire rassemblant la représentation cartographique des données de l’Annuaire ainsi que les affectations sectorielles existantes et celles projetées.</w:t>
            </w:r>
          </w:p>
        </w:tc>
        <w:tc>
          <w:tcPr>
            <w:tcW w:w="3060" w:type="dxa"/>
            <w:vAlign w:val="center"/>
          </w:tcPr>
          <w:p w14:paraId="4BB40C2B" w14:textId="6E8E208E" w:rsidR="00D16B68" w:rsidRPr="00E11FFB" w:rsidRDefault="00D16B68" w:rsidP="00D16B68">
            <w:pPr>
              <w:pBdr>
                <w:top w:val="nil"/>
                <w:left w:val="nil"/>
                <w:bottom w:val="nil"/>
                <w:right w:val="nil"/>
                <w:between w:val="nil"/>
              </w:pBdr>
              <w:ind w:left="0" w:firstLine="0"/>
              <w:rPr>
                <w:rFonts w:ascii="Avenir" w:eastAsia="Avenir" w:hAnsi="Avenir" w:cs="Avenir"/>
                <w:color w:val="000000" w:themeColor="text1"/>
                <w:sz w:val="18"/>
                <w:szCs w:val="18"/>
              </w:rPr>
            </w:pPr>
            <w:r w:rsidRPr="00E11FFB">
              <w:rPr>
                <w:rFonts w:ascii="Calibri" w:hAnsi="Calibri" w:cs="Calibri"/>
                <w:color w:val="000000" w:themeColor="text1"/>
                <w:sz w:val="16"/>
                <w:szCs w:val="16"/>
                <w:lang w:eastAsia="fr-FR"/>
              </w:rPr>
              <w:t xml:space="preserve">Consultant est recruté pour actualisation / consolidation des données avec les ministères sectoriels au sein des groupes thématiques multi sectoriels et multi acteurs. </w:t>
            </w:r>
            <w:r w:rsidR="00076D16" w:rsidRPr="00E11FFB">
              <w:rPr>
                <w:rFonts w:ascii="Calibri" w:hAnsi="Calibri" w:cs="Calibri"/>
                <w:color w:val="000000" w:themeColor="text1"/>
                <w:sz w:val="16"/>
                <w:szCs w:val="16"/>
                <w:lang w:eastAsia="fr-FR"/>
              </w:rPr>
              <w:t>Les drafts de l’annuaire et de l’atlas sont disponibles</w:t>
            </w:r>
          </w:p>
        </w:tc>
        <w:tc>
          <w:tcPr>
            <w:tcW w:w="1710" w:type="dxa"/>
          </w:tcPr>
          <w:p w14:paraId="5F338E92" w14:textId="6528748D" w:rsidR="0094526F" w:rsidRPr="00E11FFB" w:rsidRDefault="0094526F" w:rsidP="0094526F">
            <w:pPr>
              <w:ind w:left="0" w:firstLine="0"/>
              <w:jc w:val="left"/>
              <w:rPr>
                <w:rFonts w:ascii="Calibri" w:hAnsi="Calibri" w:cs="Calibri"/>
                <w:color w:val="000000" w:themeColor="text1"/>
                <w:sz w:val="16"/>
                <w:szCs w:val="16"/>
                <w:lang w:eastAsia="fr-FR"/>
              </w:rPr>
            </w:pPr>
            <w:r w:rsidRPr="00E11FFB">
              <w:rPr>
                <w:rFonts w:ascii="Calibri" w:hAnsi="Calibri" w:cs="Calibri"/>
                <w:color w:val="000000" w:themeColor="text1"/>
                <w:sz w:val="16"/>
                <w:szCs w:val="16"/>
                <w:lang w:eastAsia="fr-FR"/>
              </w:rPr>
              <w:t xml:space="preserve">Mardi 18 janvier 2022, le premier ministre lance les travaux portant sur l’élaboration de l’Annuaire National des Ressources naturelles renouvelables et non renouvelables de la RDC (ministère de l'aménagement du territoire, mines, agriculture et environnement). Ebauche de l'annuaire disponible, en attente de validation. Une série de carte est produite dans le cadre de deux études de base sur le capital forestier et potentiel agricole qui seront capitalisés dans l'Atlas. </w:t>
            </w:r>
          </w:p>
        </w:tc>
        <w:tc>
          <w:tcPr>
            <w:tcW w:w="1493" w:type="dxa"/>
            <w:vAlign w:val="center"/>
          </w:tcPr>
          <w:p w14:paraId="22A6C712" w14:textId="401DC935" w:rsidR="00D16B68" w:rsidRPr="00E11FFB" w:rsidRDefault="0094526F" w:rsidP="0094526F">
            <w:pPr>
              <w:ind w:left="0" w:firstLine="0"/>
              <w:jc w:val="left"/>
              <w:rPr>
                <w:rFonts w:ascii="Avenir" w:eastAsia="Avenir" w:hAnsi="Avenir" w:cs="Avenir"/>
                <w:color w:val="000000"/>
                <w:sz w:val="18"/>
                <w:szCs w:val="18"/>
              </w:rPr>
            </w:pPr>
            <w:r w:rsidRPr="00E11FFB">
              <w:rPr>
                <w:rFonts w:ascii="Calibri" w:hAnsi="Calibri" w:cs="Calibri"/>
                <w:color w:val="000000" w:themeColor="text1"/>
                <w:sz w:val="16"/>
                <w:szCs w:val="16"/>
                <w:lang w:eastAsia="fr-FR"/>
              </w:rPr>
              <w:t xml:space="preserve">La finalisation de Atlas et </w:t>
            </w:r>
            <w:r w:rsidR="00765C25" w:rsidRPr="00E11FFB">
              <w:rPr>
                <w:rFonts w:ascii="Calibri" w:hAnsi="Calibri" w:cs="Calibri"/>
                <w:color w:val="000000" w:themeColor="text1"/>
                <w:sz w:val="16"/>
                <w:szCs w:val="16"/>
                <w:lang w:eastAsia="fr-FR"/>
              </w:rPr>
              <w:t>a</w:t>
            </w:r>
            <w:r w:rsidRPr="00E11FFB">
              <w:rPr>
                <w:rFonts w:ascii="Calibri" w:hAnsi="Calibri" w:cs="Calibri"/>
                <w:color w:val="000000" w:themeColor="text1"/>
                <w:sz w:val="16"/>
                <w:szCs w:val="16"/>
                <w:lang w:eastAsia="fr-FR"/>
              </w:rPr>
              <w:t>nnuaire se fera en 202</w:t>
            </w:r>
            <w:r w:rsidR="00765C25" w:rsidRPr="00E11FFB">
              <w:rPr>
                <w:rFonts w:ascii="Calibri" w:hAnsi="Calibri" w:cs="Calibri"/>
                <w:color w:val="000000" w:themeColor="text1"/>
                <w:sz w:val="16"/>
                <w:szCs w:val="16"/>
                <w:lang w:eastAsia="fr-FR"/>
              </w:rPr>
              <w:t>6</w:t>
            </w:r>
            <w:r w:rsidRPr="00E11FFB">
              <w:rPr>
                <w:rFonts w:ascii="Calibri" w:hAnsi="Calibri" w:cs="Calibri"/>
                <w:color w:val="000000" w:themeColor="text1"/>
                <w:sz w:val="16"/>
                <w:szCs w:val="16"/>
                <w:lang w:eastAsia="fr-FR"/>
              </w:rPr>
              <w:t>.</w:t>
            </w:r>
          </w:p>
        </w:tc>
      </w:tr>
      <w:tr w:rsidR="00D16B68" w:rsidRPr="00E11FFB" w14:paraId="650C4B4A" w14:textId="77777777" w:rsidTr="00DB0400">
        <w:trPr>
          <w:trHeight w:val="337"/>
        </w:trPr>
        <w:tc>
          <w:tcPr>
            <w:tcW w:w="805" w:type="dxa"/>
            <w:vAlign w:val="center"/>
          </w:tcPr>
          <w:p w14:paraId="0BA60A17" w14:textId="6CB87BA8" w:rsidR="00D16B68" w:rsidRPr="00E11FFB" w:rsidRDefault="00D16B68" w:rsidP="00D16B68">
            <w:pPr>
              <w:ind w:left="0" w:firstLine="0"/>
              <w:rPr>
                <w:rFonts w:ascii="Avenir" w:eastAsia="Avenir" w:hAnsi="Avenir" w:cs="Avenir"/>
                <w:b/>
                <w:color w:val="000000"/>
                <w:sz w:val="18"/>
                <w:szCs w:val="18"/>
              </w:rPr>
            </w:pPr>
            <w:r w:rsidRPr="00E11FFB">
              <w:rPr>
                <w:rFonts w:ascii="Calibri" w:hAnsi="Calibri" w:cs="Calibri"/>
                <w:color w:val="000000"/>
                <w:sz w:val="16"/>
                <w:szCs w:val="16"/>
                <w:lang w:eastAsia="fr-FR"/>
              </w:rPr>
              <w:t>Produit 1.3 (Jalon i)</w:t>
            </w:r>
          </w:p>
        </w:tc>
        <w:tc>
          <w:tcPr>
            <w:tcW w:w="3330" w:type="dxa"/>
            <w:vAlign w:val="center"/>
          </w:tcPr>
          <w:p w14:paraId="7BDDBE3D" w14:textId="51C462D3" w:rsidR="00D16B68" w:rsidRPr="00E11FFB" w:rsidRDefault="00D16B68" w:rsidP="00D16B68">
            <w:pPr>
              <w:jc w:val="left"/>
              <w:rPr>
                <w:rFonts w:ascii="Avenir" w:eastAsia="Avenir" w:hAnsi="Avenir" w:cs="Avenir"/>
                <w:b/>
                <w:color w:val="000000"/>
                <w:sz w:val="18"/>
                <w:szCs w:val="18"/>
              </w:rPr>
            </w:pPr>
            <w:r w:rsidRPr="00E11FFB">
              <w:rPr>
                <w:rFonts w:ascii="Calibri" w:hAnsi="Calibri" w:cs="Calibri"/>
                <w:color w:val="000000"/>
                <w:sz w:val="16"/>
                <w:szCs w:val="16"/>
                <w:lang w:eastAsia="fr-FR"/>
              </w:rPr>
              <w:t>Dans le cadre des conflits d’affectation des terres existants, un processus d’arbitrage est impulsé, conformément à la loi, par l’Autorité compétente concernée (Premier Ministre, Gouverneur de Province, Autorité locale) sur base des directives proposées par le conseil d’aménagement du territoire de l’échelon concerné (national, provincial ou local) pour au moins [2-5] conflits d’affectation dans les aires protégées prioritaires.</w:t>
            </w:r>
          </w:p>
        </w:tc>
        <w:tc>
          <w:tcPr>
            <w:tcW w:w="3060" w:type="dxa"/>
            <w:vAlign w:val="center"/>
          </w:tcPr>
          <w:p w14:paraId="04D8189C" w14:textId="34D325A3" w:rsidR="00D16B68" w:rsidRPr="00E11FFB" w:rsidRDefault="00765C25" w:rsidP="00765C25">
            <w:pPr>
              <w:pBdr>
                <w:top w:val="nil"/>
                <w:left w:val="nil"/>
                <w:bottom w:val="nil"/>
                <w:right w:val="nil"/>
                <w:between w:val="nil"/>
              </w:pBdr>
              <w:ind w:left="0" w:firstLine="0"/>
              <w:jc w:val="left"/>
              <w:rPr>
                <w:rFonts w:ascii="Calibri" w:hAnsi="Calibri" w:cs="Calibri"/>
                <w:color w:val="000000" w:themeColor="text1"/>
                <w:sz w:val="16"/>
                <w:szCs w:val="16"/>
                <w:lang w:eastAsia="fr-FR"/>
              </w:rPr>
            </w:pPr>
            <w:r w:rsidRPr="00E11FFB">
              <w:rPr>
                <w:rFonts w:ascii="Calibri" w:hAnsi="Calibri" w:cs="Calibri"/>
                <w:color w:val="000000" w:themeColor="text1"/>
                <w:sz w:val="16"/>
                <w:szCs w:val="16"/>
                <w:lang w:eastAsia="fr-FR"/>
              </w:rPr>
              <w:t xml:space="preserve">La phase d’identification des conflits et production des cartes de conflits est en cours de finalisation dans 2 </w:t>
            </w:r>
            <w:r w:rsidR="00741BF0" w:rsidRPr="00E11FFB">
              <w:rPr>
                <w:rFonts w:ascii="Calibri" w:hAnsi="Calibri" w:cs="Calibri"/>
                <w:color w:val="000000" w:themeColor="text1"/>
                <w:sz w:val="16"/>
                <w:szCs w:val="16"/>
                <w:lang w:eastAsia="fr-FR"/>
              </w:rPr>
              <w:t>zones (Equateur et Tshopo). Un mini atelier d’identification et cartographie des conflits dans les aires protégées du territoire national.</w:t>
            </w:r>
            <w:r w:rsidR="00E65187" w:rsidRPr="00E11FFB">
              <w:rPr>
                <w:rFonts w:ascii="Calibri" w:hAnsi="Calibri" w:cs="Calibri"/>
                <w:color w:val="000000" w:themeColor="text1"/>
                <w:sz w:val="16"/>
                <w:szCs w:val="16"/>
                <w:lang w:eastAsia="fr-FR"/>
              </w:rPr>
              <w:t xml:space="preserve"> Premières cartes de conflits d’usage produites. </w:t>
            </w:r>
          </w:p>
        </w:tc>
        <w:tc>
          <w:tcPr>
            <w:tcW w:w="1710" w:type="dxa"/>
          </w:tcPr>
          <w:p w14:paraId="6941168A" w14:textId="77777777" w:rsidR="00D16B68" w:rsidRPr="00E11FFB" w:rsidRDefault="00D16B68" w:rsidP="00765C25">
            <w:pPr>
              <w:pBdr>
                <w:top w:val="nil"/>
                <w:left w:val="nil"/>
                <w:bottom w:val="nil"/>
                <w:right w:val="nil"/>
                <w:between w:val="nil"/>
              </w:pBdr>
              <w:jc w:val="left"/>
              <w:rPr>
                <w:rFonts w:ascii="Calibri" w:hAnsi="Calibri" w:cs="Calibri"/>
                <w:color w:val="000000" w:themeColor="text1"/>
                <w:sz w:val="16"/>
                <w:szCs w:val="16"/>
                <w:lang w:eastAsia="fr-FR"/>
              </w:rPr>
            </w:pPr>
          </w:p>
          <w:p w14:paraId="0E7733F7" w14:textId="77777777" w:rsidR="00765C25" w:rsidRPr="00E11FFB" w:rsidRDefault="00765C25" w:rsidP="00765C25">
            <w:pPr>
              <w:rPr>
                <w:rFonts w:ascii="Calibri" w:hAnsi="Calibri" w:cs="Calibri"/>
                <w:color w:val="000000" w:themeColor="text1"/>
                <w:sz w:val="16"/>
                <w:szCs w:val="16"/>
                <w:lang w:eastAsia="fr-FR"/>
              </w:rPr>
            </w:pPr>
          </w:p>
          <w:p w14:paraId="471EEDD5" w14:textId="77777777" w:rsidR="00765C25" w:rsidRPr="00E11FFB" w:rsidRDefault="00765C25" w:rsidP="00765C25">
            <w:pPr>
              <w:rPr>
                <w:rFonts w:ascii="Calibri" w:hAnsi="Calibri" w:cs="Calibri"/>
                <w:color w:val="000000" w:themeColor="text1"/>
                <w:sz w:val="16"/>
                <w:szCs w:val="16"/>
                <w:lang w:eastAsia="fr-FR"/>
              </w:rPr>
            </w:pPr>
          </w:p>
          <w:p w14:paraId="1E385328" w14:textId="77777777" w:rsidR="00765C25" w:rsidRPr="00E11FFB" w:rsidRDefault="00765C25" w:rsidP="00765C25">
            <w:pPr>
              <w:rPr>
                <w:rFonts w:ascii="Calibri" w:hAnsi="Calibri" w:cs="Calibri"/>
                <w:color w:val="000000" w:themeColor="text1"/>
                <w:sz w:val="16"/>
                <w:szCs w:val="16"/>
                <w:lang w:eastAsia="fr-FR"/>
              </w:rPr>
            </w:pPr>
          </w:p>
          <w:p w14:paraId="78B4BA7E" w14:textId="77777777" w:rsidR="00765C25" w:rsidRPr="00E11FFB" w:rsidRDefault="00765C25" w:rsidP="00765C25">
            <w:pPr>
              <w:rPr>
                <w:rFonts w:ascii="Calibri" w:hAnsi="Calibri" w:cs="Calibri"/>
                <w:color w:val="000000" w:themeColor="text1"/>
                <w:sz w:val="16"/>
                <w:szCs w:val="16"/>
                <w:lang w:eastAsia="fr-FR"/>
              </w:rPr>
            </w:pPr>
          </w:p>
          <w:p w14:paraId="63E5E94D" w14:textId="77777777" w:rsidR="00765C25" w:rsidRPr="00E11FFB" w:rsidRDefault="00765C25" w:rsidP="00765C25">
            <w:pPr>
              <w:ind w:left="0" w:firstLine="0"/>
              <w:jc w:val="left"/>
              <w:rPr>
                <w:rFonts w:ascii="Calibri" w:hAnsi="Calibri" w:cs="Calibri"/>
                <w:color w:val="000000" w:themeColor="text1"/>
                <w:sz w:val="16"/>
                <w:szCs w:val="16"/>
                <w:lang w:eastAsia="fr-FR"/>
              </w:rPr>
            </w:pPr>
          </w:p>
        </w:tc>
        <w:tc>
          <w:tcPr>
            <w:tcW w:w="1493" w:type="dxa"/>
            <w:vAlign w:val="center"/>
          </w:tcPr>
          <w:p w14:paraId="100D308D" w14:textId="0CC61C59" w:rsidR="00D16B68" w:rsidRPr="00E11FFB" w:rsidRDefault="00765C25" w:rsidP="00765C25">
            <w:pPr>
              <w:ind w:left="0" w:firstLine="0"/>
              <w:jc w:val="left"/>
              <w:rPr>
                <w:rFonts w:ascii="Calibri" w:hAnsi="Calibri" w:cs="Calibri"/>
                <w:color w:val="000000" w:themeColor="text1"/>
                <w:sz w:val="16"/>
                <w:szCs w:val="16"/>
                <w:lang w:eastAsia="fr-FR"/>
              </w:rPr>
            </w:pPr>
            <w:r w:rsidRPr="00E11FFB">
              <w:rPr>
                <w:rFonts w:ascii="Calibri" w:hAnsi="Calibri" w:cs="Calibri"/>
                <w:color w:val="000000" w:themeColor="text1"/>
                <w:sz w:val="16"/>
                <w:szCs w:val="16"/>
                <w:lang w:eastAsia="fr-FR"/>
              </w:rPr>
              <w:t xml:space="preserve">L’arbitrage démarrera avec la mise en place effective du CNAT </w:t>
            </w:r>
          </w:p>
        </w:tc>
      </w:tr>
      <w:tr w:rsidR="00D16B68" w:rsidRPr="00E11FFB" w14:paraId="23F83B78" w14:textId="77777777" w:rsidTr="00DB0400">
        <w:trPr>
          <w:trHeight w:val="337"/>
        </w:trPr>
        <w:tc>
          <w:tcPr>
            <w:tcW w:w="805" w:type="dxa"/>
            <w:vAlign w:val="center"/>
          </w:tcPr>
          <w:p w14:paraId="1574DC05" w14:textId="3662F652" w:rsidR="00D16B68" w:rsidRPr="00E11FFB" w:rsidRDefault="00D16B68" w:rsidP="00D16B68">
            <w:pPr>
              <w:rPr>
                <w:rFonts w:ascii="Avenir" w:eastAsia="Avenir" w:hAnsi="Avenir" w:cs="Avenir"/>
                <w:b/>
                <w:color w:val="000000"/>
                <w:sz w:val="18"/>
                <w:szCs w:val="18"/>
              </w:rPr>
            </w:pPr>
            <w:r w:rsidRPr="00E11FFB">
              <w:rPr>
                <w:rFonts w:ascii="Calibri" w:hAnsi="Calibri" w:cs="Calibri"/>
                <w:color w:val="000000"/>
                <w:sz w:val="16"/>
                <w:szCs w:val="16"/>
                <w:lang w:eastAsia="fr-FR"/>
              </w:rPr>
              <w:t>Produit 1.4 (Jalon j)</w:t>
            </w:r>
          </w:p>
        </w:tc>
        <w:tc>
          <w:tcPr>
            <w:tcW w:w="3330" w:type="dxa"/>
            <w:vAlign w:val="center"/>
          </w:tcPr>
          <w:p w14:paraId="3F295A1F" w14:textId="1975CF76" w:rsidR="00D16B68" w:rsidRPr="00E11FFB" w:rsidRDefault="00D16B68" w:rsidP="00D16B68">
            <w:pPr>
              <w:rPr>
                <w:rFonts w:ascii="Avenir" w:eastAsia="Avenir" w:hAnsi="Avenir" w:cs="Avenir"/>
                <w:b/>
                <w:color w:val="000000"/>
                <w:sz w:val="18"/>
                <w:szCs w:val="18"/>
              </w:rPr>
            </w:pPr>
            <w:r w:rsidRPr="00E11FFB">
              <w:rPr>
                <w:rFonts w:ascii="Calibri" w:hAnsi="Calibri" w:cs="Calibri"/>
                <w:color w:val="000000"/>
                <w:sz w:val="16"/>
                <w:szCs w:val="16"/>
                <w:lang w:eastAsia="fr-FR"/>
              </w:rPr>
              <w:t>Tous les contrats d’affectations des terres (agriculture, forêts, mines, hydrocarbures) sont centralisés et publiés de manière transparente et mis à jour au minimum une fois par an sur une plateforme internet accessible à tous, en collaboration avec les ministères sectoriels concernés.</w:t>
            </w:r>
          </w:p>
        </w:tc>
        <w:tc>
          <w:tcPr>
            <w:tcW w:w="3060" w:type="dxa"/>
            <w:vAlign w:val="center"/>
          </w:tcPr>
          <w:p w14:paraId="5BB4FC78" w14:textId="77777777" w:rsidR="00D16B68" w:rsidRPr="00E11FFB" w:rsidRDefault="00D16B68"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Collecte des données auprès des ministères sectoriels (y compris données géoréférencées) est en cours ; </w:t>
            </w:r>
          </w:p>
          <w:p w14:paraId="30733AD8" w14:textId="30A7DB29"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r w:rsidRPr="00E11FFB">
              <w:rPr>
                <w:rFonts w:ascii="Calibri" w:hAnsi="Calibri" w:cs="Calibri"/>
                <w:color w:val="000000"/>
                <w:sz w:val="16"/>
                <w:szCs w:val="16"/>
                <w:lang w:eastAsia="fr-FR"/>
              </w:rPr>
              <w:t>Consultance pour la création et mise en ligne d'une base de données géoréférencées de tous les contrats d'affectation des terres est lancé, et le rapport est en élaboration</w:t>
            </w:r>
            <w:r w:rsidR="00042E43" w:rsidRPr="00E11FFB">
              <w:rPr>
                <w:rFonts w:ascii="Calibri" w:hAnsi="Calibri" w:cs="Calibri"/>
                <w:color w:val="000000"/>
                <w:sz w:val="16"/>
                <w:szCs w:val="16"/>
                <w:lang w:eastAsia="fr-FR"/>
              </w:rPr>
              <w:t xml:space="preserve">. </w:t>
            </w:r>
          </w:p>
        </w:tc>
        <w:tc>
          <w:tcPr>
            <w:tcW w:w="1710" w:type="dxa"/>
          </w:tcPr>
          <w:p w14:paraId="156B236D" w14:textId="4A1ACA75" w:rsidR="00D16B68" w:rsidRPr="00E11FFB" w:rsidRDefault="00B37297" w:rsidP="00D16B68">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Les contrats du secteur minier et hydrocarbures sont publiés sur le site CTPM (mines) et SG hydrocarbures </w:t>
            </w:r>
          </w:p>
        </w:tc>
        <w:tc>
          <w:tcPr>
            <w:tcW w:w="1493" w:type="dxa"/>
            <w:vAlign w:val="center"/>
          </w:tcPr>
          <w:p w14:paraId="0FAE1214" w14:textId="77777777" w:rsidR="00D16B68" w:rsidRPr="00E11FFB" w:rsidRDefault="00D16B68" w:rsidP="00D16B68">
            <w:pPr>
              <w:rPr>
                <w:rFonts w:ascii="Avenir" w:eastAsia="Avenir" w:hAnsi="Avenir" w:cs="Avenir"/>
                <w:color w:val="000000"/>
                <w:sz w:val="18"/>
                <w:szCs w:val="18"/>
              </w:rPr>
            </w:pPr>
          </w:p>
        </w:tc>
      </w:tr>
      <w:tr w:rsidR="00D16B68" w:rsidRPr="00E11FFB" w14:paraId="7F93C501" w14:textId="77777777" w:rsidTr="00DB0400">
        <w:trPr>
          <w:trHeight w:val="337"/>
        </w:trPr>
        <w:tc>
          <w:tcPr>
            <w:tcW w:w="805" w:type="dxa"/>
            <w:vAlign w:val="center"/>
          </w:tcPr>
          <w:p w14:paraId="2915B3FA" w14:textId="186241F1" w:rsidR="00D16B68" w:rsidRPr="00E11FFB" w:rsidRDefault="00D16B68" w:rsidP="00D16B68">
            <w:pPr>
              <w:rPr>
                <w:rFonts w:ascii="Avenir" w:eastAsia="Avenir" w:hAnsi="Avenir" w:cs="Avenir"/>
                <w:b/>
                <w:color w:val="000000"/>
                <w:sz w:val="18"/>
                <w:szCs w:val="18"/>
              </w:rPr>
            </w:pPr>
            <w:r w:rsidRPr="00E11FFB">
              <w:rPr>
                <w:rFonts w:ascii="Calibri" w:hAnsi="Calibri" w:cs="Calibri"/>
                <w:color w:val="000000"/>
                <w:sz w:val="16"/>
                <w:szCs w:val="16"/>
                <w:lang w:eastAsia="fr-FR"/>
              </w:rPr>
              <w:t>Produit 1.1 (Jalon f)</w:t>
            </w:r>
          </w:p>
        </w:tc>
        <w:tc>
          <w:tcPr>
            <w:tcW w:w="3330" w:type="dxa"/>
            <w:vAlign w:val="center"/>
          </w:tcPr>
          <w:p w14:paraId="40A63F28" w14:textId="13673D87" w:rsidR="00D16B68" w:rsidRPr="00E11FFB" w:rsidRDefault="00D16B68" w:rsidP="00D16B68">
            <w:pPr>
              <w:rPr>
                <w:rFonts w:ascii="Avenir" w:eastAsia="Avenir" w:hAnsi="Avenir" w:cs="Avenir"/>
                <w:b/>
                <w:color w:val="000000"/>
                <w:sz w:val="18"/>
                <w:szCs w:val="18"/>
              </w:rPr>
            </w:pPr>
            <w:r w:rsidRPr="00E11FFB">
              <w:rPr>
                <w:rFonts w:ascii="Calibri" w:hAnsi="Calibri" w:cs="Calibri"/>
                <w:color w:val="000000"/>
                <w:sz w:val="16"/>
                <w:szCs w:val="16"/>
                <w:lang w:eastAsia="fr-FR"/>
              </w:rPr>
              <w:t>Elaborer, adopter et publier les textes d’application prioritaires de la Loi relative à l’aménagement du territoire d’ici fin 2025 de manière à donner une base légale aux organes (dont le CNAT, les CPAT et les CLAT), aux outils (dont le SNAT, les PPAT, les PLAT et les PSAT) de l’aménagement du territoire et aux arbitrages intersectoriels</w:t>
            </w:r>
          </w:p>
        </w:tc>
        <w:tc>
          <w:tcPr>
            <w:tcW w:w="3060" w:type="dxa"/>
            <w:vAlign w:val="center"/>
          </w:tcPr>
          <w:p w14:paraId="7146A8EF" w14:textId="11A57FD4" w:rsidR="00D16B68" w:rsidRPr="00E11FFB" w:rsidRDefault="00D16B68"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Une Commission de travail est mise en place par le SG</w:t>
            </w:r>
            <w:r w:rsidR="00F50BF6" w:rsidRPr="00E11FFB">
              <w:rPr>
                <w:rFonts w:ascii="Calibri" w:hAnsi="Calibri" w:cs="Calibri"/>
                <w:color w:val="000000"/>
                <w:sz w:val="16"/>
                <w:szCs w:val="16"/>
                <w:lang w:eastAsia="fr-FR"/>
              </w:rPr>
              <w:t>,</w:t>
            </w:r>
          </w:p>
          <w:p w14:paraId="3ECBDC19" w14:textId="77777777" w:rsidR="00D16B68" w:rsidRPr="00E11FFB" w:rsidRDefault="00D16B68"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Atelier d'identification des options des mesures d’application, </w:t>
            </w:r>
          </w:p>
          <w:p w14:paraId="44D1CA5B" w14:textId="4F055892" w:rsidR="00D16B68" w:rsidRPr="00E11FFB" w:rsidRDefault="00F50BF6" w:rsidP="00F50BF6">
            <w:pPr>
              <w:ind w:left="0"/>
              <w:rPr>
                <w:rFonts w:ascii="Avenir" w:eastAsia="Avenir" w:hAnsi="Avenir" w:cs="Avenir"/>
                <w:color w:val="000000"/>
                <w:sz w:val="18"/>
                <w:szCs w:val="18"/>
              </w:rPr>
            </w:pPr>
            <w:r w:rsidRPr="00E11FFB">
              <w:rPr>
                <w:rFonts w:ascii="Calibri" w:hAnsi="Calibri" w:cs="Calibri"/>
                <w:color w:val="000000"/>
                <w:sz w:val="16"/>
                <w:szCs w:val="16"/>
                <w:lang w:eastAsia="fr-FR"/>
              </w:rPr>
              <w:t>Le CNAT adopté et un C</w:t>
            </w:r>
            <w:r w:rsidR="00D16B68" w:rsidRPr="00E11FFB">
              <w:rPr>
                <w:rFonts w:ascii="Calibri" w:hAnsi="Calibri" w:cs="Calibri"/>
                <w:color w:val="000000"/>
                <w:sz w:val="16"/>
                <w:szCs w:val="16"/>
                <w:lang w:eastAsia="fr-FR"/>
              </w:rPr>
              <w:t>PAT</w:t>
            </w:r>
            <w:r w:rsidRPr="00E11FFB">
              <w:rPr>
                <w:rFonts w:ascii="Calibri" w:hAnsi="Calibri" w:cs="Calibri"/>
                <w:color w:val="000000"/>
                <w:sz w:val="16"/>
                <w:szCs w:val="16"/>
                <w:lang w:eastAsia="fr-FR"/>
              </w:rPr>
              <w:t xml:space="preserve"> mis en place</w:t>
            </w:r>
          </w:p>
        </w:tc>
        <w:tc>
          <w:tcPr>
            <w:tcW w:w="1710" w:type="dxa"/>
          </w:tcPr>
          <w:p w14:paraId="4DB04A80" w14:textId="77777777" w:rsidR="00D16B68" w:rsidRPr="00E11FFB" w:rsidRDefault="00D16B68" w:rsidP="00D16B6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03B9879A" w14:textId="77777777" w:rsidR="00D16B68" w:rsidRPr="00E11FFB" w:rsidRDefault="00D16B68" w:rsidP="00D16B68">
            <w:pPr>
              <w:rPr>
                <w:rFonts w:ascii="Avenir" w:eastAsia="Avenir" w:hAnsi="Avenir" w:cs="Avenir"/>
                <w:color w:val="000000"/>
                <w:sz w:val="18"/>
                <w:szCs w:val="18"/>
              </w:rPr>
            </w:pPr>
          </w:p>
        </w:tc>
      </w:tr>
      <w:tr w:rsidR="00D16B68" w:rsidRPr="00E11FFB" w14:paraId="7674C2E6" w14:textId="77777777" w:rsidTr="00DB0400">
        <w:trPr>
          <w:trHeight w:val="337"/>
        </w:trPr>
        <w:tc>
          <w:tcPr>
            <w:tcW w:w="805" w:type="dxa"/>
            <w:vAlign w:val="center"/>
          </w:tcPr>
          <w:p w14:paraId="10A4D5D5" w14:textId="6A847BB9"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1.5   ( Jalon d)</w:t>
            </w:r>
          </w:p>
        </w:tc>
        <w:tc>
          <w:tcPr>
            <w:tcW w:w="3330" w:type="dxa"/>
            <w:vAlign w:val="center"/>
          </w:tcPr>
          <w:p w14:paraId="1EABF79D" w14:textId="7AF5B206"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d. Finaliser de manière participative et inclusive le Schéma national d’aménagement du territoire et les plans d’aménagement du territoire aux niveaux provincial et local dans les zones clés, et s’assurer que ces outils soient prêts à être mis en œuvre d’ici 2025 et qu’ils intègrent les forêts de grande valeur et les tourbières, préalablement identifiées, en vue de leur préservation.</w:t>
            </w:r>
          </w:p>
        </w:tc>
        <w:tc>
          <w:tcPr>
            <w:tcW w:w="3060" w:type="dxa"/>
            <w:vAlign w:val="center"/>
          </w:tcPr>
          <w:p w14:paraId="6FAD050E" w14:textId="77777777" w:rsidR="001D0A1E" w:rsidRPr="00E11FFB" w:rsidRDefault="001D0A1E"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Atelier de validation des étapes de finalisation de l’élaboration du schéma national d’aménagement du territoire  </w:t>
            </w:r>
          </w:p>
          <w:p w14:paraId="46471475" w14:textId="7F055C4A" w:rsidR="00D16B68" w:rsidRPr="00E11FFB" w:rsidRDefault="001D0A1E"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Un atelier sur le choix d'options d'AT, une consultance lancée pour l’intégration des options dans le Schéma National d'AT. </w:t>
            </w:r>
          </w:p>
        </w:tc>
        <w:tc>
          <w:tcPr>
            <w:tcW w:w="1710" w:type="dxa"/>
          </w:tcPr>
          <w:p w14:paraId="14F88643" w14:textId="77777777"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p>
        </w:tc>
        <w:tc>
          <w:tcPr>
            <w:tcW w:w="1493" w:type="dxa"/>
            <w:vAlign w:val="center"/>
          </w:tcPr>
          <w:p w14:paraId="0A22DC94" w14:textId="77777777" w:rsidR="00D16B68" w:rsidRPr="00E11FFB" w:rsidRDefault="00D16B68" w:rsidP="00D16B68">
            <w:pPr>
              <w:rPr>
                <w:rFonts w:ascii="Avenir" w:eastAsia="Avenir" w:hAnsi="Avenir" w:cs="Avenir"/>
                <w:color w:val="000000"/>
                <w:sz w:val="18"/>
                <w:szCs w:val="18"/>
              </w:rPr>
            </w:pPr>
          </w:p>
        </w:tc>
      </w:tr>
      <w:tr w:rsidR="00D16B68" w:rsidRPr="00E11FFB" w14:paraId="407D4B9E" w14:textId="77777777" w:rsidTr="00DB0400">
        <w:trPr>
          <w:trHeight w:val="337"/>
        </w:trPr>
        <w:tc>
          <w:tcPr>
            <w:tcW w:w="805" w:type="dxa"/>
            <w:vAlign w:val="center"/>
          </w:tcPr>
          <w:p w14:paraId="45969814" w14:textId="593121FD"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 Produit 1.3  (Jalon e) </w:t>
            </w:r>
          </w:p>
        </w:tc>
        <w:tc>
          <w:tcPr>
            <w:tcW w:w="3330" w:type="dxa"/>
            <w:vAlign w:val="center"/>
          </w:tcPr>
          <w:p w14:paraId="3D5515C0" w14:textId="73BC63EB"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Mettre en œuvre les mécanismes prévus par la loi pour opérer des arbitrages intersectoriels et statuer sur les affectations des terres contradictoires, en priorisant notamment les aires protégées et les provinces à PIREDD, d’ici fin 2025.</w:t>
            </w:r>
          </w:p>
        </w:tc>
        <w:tc>
          <w:tcPr>
            <w:tcW w:w="3060" w:type="dxa"/>
            <w:vAlign w:val="center"/>
          </w:tcPr>
          <w:p w14:paraId="24549F13" w14:textId="77777777" w:rsidR="00D16B68" w:rsidRPr="00E11FFB" w:rsidRDefault="00D16B68"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Deux missions d’identification des conflits d'affectation des terres et de superposition des usages à analyser disponibles </w:t>
            </w:r>
          </w:p>
          <w:p w14:paraId="04304277" w14:textId="4433769D"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Un atelier d'identification organisé et la production de cartes de supervision dans 3 sites. </w:t>
            </w:r>
          </w:p>
        </w:tc>
        <w:tc>
          <w:tcPr>
            <w:tcW w:w="1710" w:type="dxa"/>
          </w:tcPr>
          <w:p w14:paraId="3DC88B64" w14:textId="77777777"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p>
        </w:tc>
        <w:tc>
          <w:tcPr>
            <w:tcW w:w="1493" w:type="dxa"/>
            <w:vAlign w:val="center"/>
          </w:tcPr>
          <w:p w14:paraId="27F015B3" w14:textId="55EDB286" w:rsidR="00D16B68" w:rsidRPr="00E11FFB" w:rsidRDefault="00D16B68" w:rsidP="00D16B68">
            <w:pPr>
              <w:rPr>
                <w:rFonts w:ascii="Avenir" w:eastAsia="Avenir" w:hAnsi="Avenir" w:cs="Avenir"/>
                <w:color w:val="000000"/>
                <w:sz w:val="18"/>
                <w:szCs w:val="18"/>
              </w:rPr>
            </w:pPr>
            <w:r w:rsidRPr="00E11FFB">
              <w:rPr>
                <w:rFonts w:ascii="Calibri" w:hAnsi="Calibri" w:cs="Calibri"/>
                <w:color w:val="000000"/>
                <w:sz w:val="16"/>
                <w:szCs w:val="16"/>
                <w:lang w:eastAsia="fr-FR"/>
              </w:rPr>
              <w:t>60% d’atteinte car il est attendu un Atelier de validation nationale et publication des rapports sur les conflits avec les cartes</w:t>
            </w:r>
          </w:p>
        </w:tc>
      </w:tr>
      <w:tr w:rsidR="00D16B68" w:rsidRPr="00E11FFB" w14:paraId="160500C5" w14:textId="77777777" w:rsidTr="00DB0400">
        <w:trPr>
          <w:trHeight w:val="337"/>
        </w:trPr>
        <w:tc>
          <w:tcPr>
            <w:tcW w:w="805" w:type="dxa"/>
            <w:vAlign w:val="center"/>
          </w:tcPr>
          <w:p w14:paraId="13C85213" w14:textId="76784BB1"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2.1 (Objectif e)</w:t>
            </w:r>
          </w:p>
        </w:tc>
        <w:tc>
          <w:tcPr>
            <w:tcW w:w="3330" w:type="dxa"/>
            <w:vAlign w:val="center"/>
          </w:tcPr>
          <w:p w14:paraId="07016F55" w14:textId="29FD8151" w:rsidR="00D16B68" w:rsidRPr="00E11FFB" w:rsidRDefault="00D16B68" w:rsidP="00D16B68">
            <w:pPr>
              <w:rPr>
                <w:rFonts w:ascii="Calibri" w:hAnsi="Calibri" w:cs="Calibri"/>
                <w:color w:val="000000" w:themeColor="text1"/>
                <w:sz w:val="16"/>
                <w:szCs w:val="16"/>
                <w:lang w:eastAsia="fr-FR"/>
              </w:rPr>
            </w:pPr>
            <w:r w:rsidRPr="00E11FFB">
              <w:rPr>
                <w:rFonts w:ascii="Calibri" w:hAnsi="Calibri" w:cs="Calibri"/>
                <w:color w:val="000000" w:themeColor="text1"/>
                <w:sz w:val="16"/>
                <w:szCs w:val="16"/>
                <w:lang w:eastAsia="fr-FR"/>
              </w:rPr>
              <w:t>Traduire dans la loi les orientations de la Politique nationale agricole en reprenant notamment les principes de l'aménagement du territoire et de gestion durable des forêts et des tourbières, et en prenant en compte les avis du Conseil consultatif national sur l’agriculture ; adopter la loi agricole révisée [d’ici fin 2024].</w:t>
            </w:r>
          </w:p>
        </w:tc>
        <w:tc>
          <w:tcPr>
            <w:tcW w:w="3060" w:type="dxa"/>
            <w:vAlign w:val="center"/>
          </w:tcPr>
          <w:p w14:paraId="5D18CDD8" w14:textId="786DE4C5" w:rsidR="00D16B68" w:rsidRPr="00E11FFB" w:rsidRDefault="00C8028D"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Un consultant a été recruté pour intégrer les orientations.  Les orientations de la politique nationale agricole ont été traduites dans le draft de la loi. Une réunion de concertation entre la task-force, le cabinet et le SG pour valider le contenu de la loi révisée. </w:t>
            </w:r>
          </w:p>
        </w:tc>
        <w:tc>
          <w:tcPr>
            <w:tcW w:w="1710" w:type="dxa"/>
          </w:tcPr>
          <w:p w14:paraId="5DB750E4" w14:textId="77777777"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p>
        </w:tc>
        <w:tc>
          <w:tcPr>
            <w:tcW w:w="1493" w:type="dxa"/>
            <w:vAlign w:val="center"/>
          </w:tcPr>
          <w:p w14:paraId="0CE70705" w14:textId="6C56C651" w:rsidR="00D16B68" w:rsidRPr="00E11FFB" w:rsidRDefault="00C8028D" w:rsidP="00C8028D">
            <w:pPr>
              <w:rPr>
                <w:rFonts w:ascii="Avenir" w:eastAsia="Avenir" w:hAnsi="Avenir" w:cs="Avenir"/>
                <w:color w:val="000000"/>
                <w:sz w:val="18"/>
                <w:szCs w:val="18"/>
              </w:rPr>
            </w:pPr>
            <w:r w:rsidRPr="00E11FFB">
              <w:rPr>
                <w:rFonts w:ascii="Calibri" w:hAnsi="Calibri" w:cs="Calibri"/>
                <w:color w:val="000000"/>
                <w:sz w:val="16"/>
                <w:szCs w:val="16"/>
                <w:lang w:eastAsia="fr-FR"/>
              </w:rPr>
              <w:t>Une fois la loi votée se rassurer que le contenu contienne toujours les orientations de la politique.</w:t>
            </w:r>
            <w:r w:rsidRPr="00E11FFB">
              <w:rPr>
                <w:rFonts w:ascii="Avenir" w:eastAsia="Avenir" w:hAnsi="Avenir" w:cs="Avenir"/>
                <w:color w:val="000000"/>
                <w:sz w:val="18"/>
                <w:szCs w:val="18"/>
              </w:rPr>
              <w:t xml:space="preserve"> </w:t>
            </w:r>
          </w:p>
        </w:tc>
      </w:tr>
      <w:tr w:rsidR="00D16B68" w:rsidRPr="00E11FFB" w14:paraId="1BBFD737" w14:textId="77777777" w:rsidTr="00DB0400">
        <w:trPr>
          <w:trHeight w:val="337"/>
        </w:trPr>
        <w:tc>
          <w:tcPr>
            <w:tcW w:w="805" w:type="dxa"/>
            <w:vAlign w:val="center"/>
          </w:tcPr>
          <w:p w14:paraId="686378AD" w14:textId="4772596A"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2.1 objectif f)</w:t>
            </w:r>
          </w:p>
        </w:tc>
        <w:tc>
          <w:tcPr>
            <w:tcW w:w="3330" w:type="dxa"/>
            <w:vAlign w:val="center"/>
          </w:tcPr>
          <w:p w14:paraId="4B197251" w14:textId="65FF835A" w:rsidR="00D16B68" w:rsidRPr="00E11FFB" w:rsidRDefault="00D16B68" w:rsidP="00D16B68">
            <w:pPr>
              <w:rPr>
                <w:rFonts w:ascii="Calibri" w:hAnsi="Calibri" w:cs="Calibri"/>
                <w:color w:val="FF0000"/>
                <w:sz w:val="16"/>
                <w:szCs w:val="16"/>
                <w:lang w:eastAsia="fr-FR"/>
              </w:rPr>
            </w:pPr>
            <w:r w:rsidRPr="00E11FFB">
              <w:rPr>
                <w:rFonts w:ascii="Calibri" w:hAnsi="Calibri" w:cs="Calibri"/>
                <w:color w:val="000000"/>
                <w:sz w:val="16"/>
                <w:szCs w:val="16"/>
                <w:lang w:eastAsia="fr-FR"/>
              </w:rPr>
              <w:t>La loi agricole est adoptée d’ici 2025, et définit des procédures transparentes d’allocation des concessions agroindustrielles, intégrant la réduction des impacts sur les forêts et notamment la préservation des forêts de grande valeur, des tourbières, et l’environnement.</w:t>
            </w:r>
          </w:p>
        </w:tc>
        <w:tc>
          <w:tcPr>
            <w:tcW w:w="3060" w:type="dxa"/>
            <w:vAlign w:val="center"/>
          </w:tcPr>
          <w:p w14:paraId="2A4375BA" w14:textId="3EC34631"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Loi soumise au gouvernement</w:t>
            </w:r>
            <w:r w:rsidR="0039528A" w:rsidRPr="00E11FFB">
              <w:rPr>
                <w:rFonts w:ascii="Calibri" w:hAnsi="Calibri" w:cs="Calibri"/>
                <w:color w:val="000000"/>
                <w:sz w:val="16"/>
                <w:szCs w:val="16"/>
                <w:lang w:eastAsia="fr-FR"/>
              </w:rPr>
              <w:t xml:space="preserve"> pour analyse et validation</w:t>
            </w:r>
            <w:r w:rsidRPr="00E11FFB">
              <w:rPr>
                <w:rFonts w:ascii="Calibri" w:hAnsi="Calibri" w:cs="Calibri"/>
                <w:color w:val="000000"/>
                <w:sz w:val="16"/>
                <w:szCs w:val="16"/>
                <w:lang w:eastAsia="fr-FR"/>
              </w:rPr>
              <w:t>, une copie déposée à l'ASS par un autre député</w:t>
            </w:r>
            <w:r w:rsidR="00C8028D" w:rsidRPr="00E11FFB">
              <w:rPr>
                <w:rFonts w:ascii="Calibri" w:hAnsi="Calibri" w:cs="Calibri"/>
                <w:color w:val="000000"/>
                <w:sz w:val="16"/>
                <w:szCs w:val="16"/>
                <w:lang w:eastAsia="fr-FR"/>
              </w:rPr>
              <w:t xml:space="preserve">. </w:t>
            </w:r>
          </w:p>
        </w:tc>
        <w:tc>
          <w:tcPr>
            <w:tcW w:w="1710" w:type="dxa"/>
          </w:tcPr>
          <w:p w14:paraId="15D87BDC" w14:textId="77777777"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p>
        </w:tc>
        <w:tc>
          <w:tcPr>
            <w:tcW w:w="1493" w:type="dxa"/>
            <w:vAlign w:val="center"/>
          </w:tcPr>
          <w:p w14:paraId="4ACFAA2A" w14:textId="611BE756" w:rsidR="00D16B68" w:rsidRPr="00E11FFB" w:rsidRDefault="0039528A"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Un député a déposé une autre proposition de loi en dehors de celle soumise par le Ministre au gouvernement</w:t>
            </w:r>
          </w:p>
        </w:tc>
      </w:tr>
      <w:tr w:rsidR="00D16B68" w:rsidRPr="00E11FFB" w14:paraId="7C829928" w14:textId="77777777" w:rsidTr="00DB0400">
        <w:trPr>
          <w:trHeight w:val="337"/>
        </w:trPr>
        <w:tc>
          <w:tcPr>
            <w:tcW w:w="805" w:type="dxa"/>
            <w:vAlign w:val="center"/>
          </w:tcPr>
          <w:p w14:paraId="1AD0F351" w14:textId="0E4E35C8"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2.1 (Objectif g)</w:t>
            </w:r>
          </w:p>
        </w:tc>
        <w:tc>
          <w:tcPr>
            <w:tcW w:w="3330" w:type="dxa"/>
            <w:vAlign w:val="center"/>
          </w:tcPr>
          <w:p w14:paraId="5D131EE0" w14:textId="52B8B4E5"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Adopter les textes d’application prioritaires de la loi d’ici [fin 2025].</w:t>
            </w:r>
          </w:p>
        </w:tc>
        <w:tc>
          <w:tcPr>
            <w:tcW w:w="3060" w:type="dxa"/>
            <w:vAlign w:val="center"/>
          </w:tcPr>
          <w:p w14:paraId="419456E9" w14:textId="3A859BF3" w:rsidR="00D16B68" w:rsidRPr="00E11FFB" w:rsidRDefault="002D733C" w:rsidP="00D16B68">
            <w:pPr>
              <w:rPr>
                <w:rFonts w:ascii="Calibri" w:hAnsi="Calibri" w:cs="Calibri"/>
                <w:color w:val="000000"/>
                <w:sz w:val="16"/>
                <w:szCs w:val="16"/>
                <w:highlight w:val="yellow"/>
                <w:lang w:eastAsia="fr-FR"/>
              </w:rPr>
            </w:pPr>
            <w:r w:rsidRPr="00E11FFB">
              <w:rPr>
                <w:rFonts w:ascii="Calibri" w:hAnsi="Calibri" w:cs="Calibri"/>
                <w:color w:val="000000"/>
                <w:sz w:val="16"/>
                <w:szCs w:val="16"/>
                <w:lang w:eastAsia="fr-FR"/>
              </w:rPr>
              <w:t xml:space="preserve">Processus de recrutement du consultant sur les mesures d’application en cours. </w:t>
            </w:r>
          </w:p>
        </w:tc>
        <w:tc>
          <w:tcPr>
            <w:tcW w:w="1710" w:type="dxa"/>
          </w:tcPr>
          <w:p w14:paraId="001395C9" w14:textId="77777777"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p>
        </w:tc>
        <w:tc>
          <w:tcPr>
            <w:tcW w:w="1493" w:type="dxa"/>
            <w:vAlign w:val="center"/>
          </w:tcPr>
          <w:p w14:paraId="3B2E5BC0" w14:textId="40ED8FB2" w:rsidR="00D16B68" w:rsidRPr="00E11FFB" w:rsidRDefault="00D16B68" w:rsidP="00D16B68">
            <w:pPr>
              <w:rPr>
                <w:rFonts w:ascii="Avenir" w:eastAsia="Avenir" w:hAnsi="Avenir" w:cs="Avenir"/>
                <w:color w:val="000000"/>
                <w:sz w:val="18"/>
                <w:szCs w:val="18"/>
              </w:rPr>
            </w:pPr>
            <w:r w:rsidRPr="00E11FFB">
              <w:rPr>
                <w:rFonts w:ascii="Calibri" w:hAnsi="Calibri" w:cs="Calibri"/>
                <w:color w:val="000000"/>
                <w:sz w:val="16"/>
                <w:szCs w:val="16"/>
                <w:lang w:eastAsia="fr-FR"/>
              </w:rPr>
              <w:t xml:space="preserve">La loi doit être promulgué afin d’avoir le texte d’application </w:t>
            </w:r>
          </w:p>
        </w:tc>
      </w:tr>
      <w:tr w:rsidR="00D16B68" w:rsidRPr="00E11FFB" w14:paraId="70969D16" w14:textId="77777777" w:rsidTr="00DB0400">
        <w:trPr>
          <w:trHeight w:val="337"/>
        </w:trPr>
        <w:tc>
          <w:tcPr>
            <w:tcW w:w="805" w:type="dxa"/>
            <w:vAlign w:val="center"/>
          </w:tcPr>
          <w:p w14:paraId="492605BC" w14:textId="1B68E788"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2.2 (Objectif h) </w:t>
            </w:r>
          </w:p>
        </w:tc>
        <w:tc>
          <w:tcPr>
            <w:tcW w:w="3330" w:type="dxa"/>
            <w:vAlign w:val="center"/>
          </w:tcPr>
          <w:p w14:paraId="52B6CCF2" w14:textId="22B59D51"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 Le cadastre agricole, concernant à la fois l’agriculture industrielle, celle de "type familial" [intermédiaire] et familiale, est mis en place au niveau provincial, en synergie avec le Ministère des Affaires Foncières, de manière que l’information sur toutes les concessions agricoles soit disponible au niveau central d’ici [fin 2026].</w:t>
            </w:r>
          </w:p>
        </w:tc>
        <w:tc>
          <w:tcPr>
            <w:tcW w:w="3060" w:type="dxa"/>
            <w:vAlign w:val="center"/>
          </w:tcPr>
          <w:p w14:paraId="3E7E8009" w14:textId="47409536" w:rsidR="00D16B68" w:rsidRPr="00E11FFB" w:rsidRDefault="00D16B68"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Atelier d'harmonisation avec le ministère des </w:t>
            </w:r>
            <w:r w:rsidR="00AE110B" w:rsidRPr="00E11FFB">
              <w:rPr>
                <w:rFonts w:ascii="Calibri" w:hAnsi="Calibri" w:cs="Calibri"/>
                <w:color w:val="000000"/>
                <w:sz w:val="16"/>
                <w:szCs w:val="16"/>
                <w:lang w:eastAsia="fr-FR"/>
              </w:rPr>
              <w:t>a</w:t>
            </w:r>
            <w:r w:rsidRPr="00E11FFB">
              <w:rPr>
                <w:rFonts w:ascii="Calibri" w:hAnsi="Calibri" w:cs="Calibri"/>
                <w:color w:val="000000"/>
                <w:sz w:val="16"/>
                <w:szCs w:val="16"/>
                <w:lang w:eastAsia="fr-FR"/>
              </w:rPr>
              <w:t xml:space="preserve">ffaires </w:t>
            </w:r>
            <w:r w:rsidR="00AE110B" w:rsidRPr="00E11FFB">
              <w:rPr>
                <w:rFonts w:ascii="Calibri" w:hAnsi="Calibri" w:cs="Calibri"/>
                <w:color w:val="000000"/>
                <w:sz w:val="16"/>
                <w:szCs w:val="16"/>
                <w:lang w:eastAsia="fr-FR"/>
              </w:rPr>
              <w:t>f</w:t>
            </w:r>
            <w:r w:rsidRPr="00E11FFB">
              <w:rPr>
                <w:rFonts w:ascii="Calibri" w:hAnsi="Calibri" w:cs="Calibri"/>
                <w:color w:val="000000"/>
                <w:sz w:val="16"/>
                <w:szCs w:val="16"/>
                <w:lang w:eastAsia="fr-FR"/>
              </w:rPr>
              <w:t xml:space="preserve">oncières </w:t>
            </w:r>
            <w:r w:rsidR="00AE110B" w:rsidRPr="00E11FFB">
              <w:rPr>
                <w:rFonts w:ascii="Calibri" w:hAnsi="Calibri" w:cs="Calibri"/>
                <w:color w:val="000000"/>
                <w:sz w:val="16"/>
                <w:szCs w:val="16"/>
                <w:lang w:eastAsia="fr-FR"/>
              </w:rPr>
              <w:t xml:space="preserve">et autres ministères, </w:t>
            </w:r>
            <w:r w:rsidRPr="00E11FFB">
              <w:rPr>
                <w:rFonts w:ascii="Calibri" w:hAnsi="Calibri" w:cs="Calibri"/>
                <w:color w:val="000000"/>
                <w:sz w:val="16"/>
                <w:szCs w:val="16"/>
                <w:lang w:eastAsia="fr-FR"/>
              </w:rPr>
              <w:t xml:space="preserve">  </w:t>
            </w:r>
          </w:p>
          <w:p w14:paraId="70F992CB" w14:textId="6B7D02B3" w:rsidR="00D16B68" w:rsidRPr="00E11FFB" w:rsidRDefault="006D53C3" w:rsidP="006D53C3">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La va</w:t>
            </w:r>
            <w:r w:rsidR="00D16B68" w:rsidRPr="00E11FFB">
              <w:rPr>
                <w:rFonts w:ascii="Calibri" w:hAnsi="Calibri" w:cs="Calibri"/>
                <w:color w:val="000000"/>
                <w:sz w:val="16"/>
                <w:szCs w:val="16"/>
                <w:lang w:eastAsia="fr-FR"/>
              </w:rPr>
              <w:t>lidation de l'étude de cadrage</w:t>
            </w:r>
          </w:p>
          <w:p w14:paraId="49E13CFA" w14:textId="3BFB7308" w:rsidR="006D53C3" w:rsidRPr="00E11FFB" w:rsidRDefault="006D53C3" w:rsidP="006D53C3">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Production du projet d’arrêté de la mise en place et de fonctionnement du cadastre agricole. </w:t>
            </w:r>
          </w:p>
        </w:tc>
        <w:tc>
          <w:tcPr>
            <w:tcW w:w="1710" w:type="dxa"/>
          </w:tcPr>
          <w:p w14:paraId="0166C167" w14:textId="77777777" w:rsidR="00D16B68" w:rsidRPr="00E11FFB" w:rsidRDefault="00D16B68" w:rsidP="00D16B68">
            <w:pPr>
              <w:pBdr>
                <w:top w:val="nil"/>
                <w:left w:val="nil"/>
                <w:bottom w:val="nil"/>
                <w:right w:val="nil"/>
                <w:between w:val="nil"/>
              </w:pBdr>
              <w:rPr>
                <w:rFonts w:ascii="Avenir" w:eastAsia="Avenir" w:hAnsi="Avenir" w:cs="Avenir"/>
                <w:color w:val="000000"/>
                <w:sz w:val="18"/>
                <w:szCs w:val="18"/>
              </w:rPr>
            </w:pPr>
          </w:p>
        </w:tc>
        <w:tc>
          <w:tcPr>
            <w:tcW w:w="1493" w:type="dxa"/>
            <w:vAlign w:val="center"/>
          </w:tcPr>
          <w:p w14:paraId="0B609024" w14:textId="7E2DBB6D"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Reste recrutement d’un consultant provincial ; le Rapport technique de l'étude pilote à Bafwasende et </w:t>
            </w:r>
          </w:p>
          <w:p w14:paraId="01212BB6" w14:textId="537B1871"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Atelier de vulgarisation de l'arrêté</w:t>
            </w:r>
            <w:r w:rsidR="00AE110B" w:rsidRPr="00E11FFB">
              <w:rPr>
                <w:rFonts w:ascii="Calibri" w:hAnsi="Calibri" w:cs="Calibri"/>
                <w:color w:val="000000"/>
                <w:sz w:val="16"/>
                <w:szCs w:val="16"/>
                <w:lang w:eastAsia="fr-FR"/>
              </w:rPr>
              <w:t xml:space="preserve">. </w:t>
            </w:r>
          </w:p>
        </w:tc>
      </w:tr>
      <w:tr w:rsidR="00D16B68" w:rsidRPr="00E11FFB" w14:paraId="08C9CDDD" w14:textId="77777777" w:rsidTr="00DB0400">
        <w:trPr>
          <w:trHeight w:val="337"/>
        </w:trPr>
        <w:tc>
          <w:tcPr>
            <w:tcW w:w="805" w:type="dxa"/>
            <w:vAlign w:val="center"/>
          </w:tcPr>
          <w:p w14:paraId="0E54B61B" w14:textId="3E230779"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2.2 (Jalon i )</w:t>
            </w:r>
          </w:p>
        </w:tc>
        <w:tc>
          <w:tcPr>
            <w:tcW w:w="3330" w:type="dxa"/>
            <w:vAlign w:val="center"/>
          </w:tcPr>
          <w:p w14:paraId="62DAD497" w14:textId="7398A1B3"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 La Politique agricole est adoptée [en Conseil des Ministres] d’ici [fin 2022], intégrant les principes d’Aménagement du Territoire et la préservation des forêts et des tourbières (cf. Pilier Forêt), et faisant la promotion du développement de l’agriculture commerciale durable dans les zones savanicoles.</w:t>
            </w:r>
          </w:p>
        </w:tc>
        <w:tc>
          <w:tcPr>
            <w:tcW w:w="3060" w:type="dxa"/>
            <w:vAlign w:val="center"/>
          </w:tcPr>
          <w:p w14:paraId="001A9A33" w14:textId="4F3DAB61" w:rsidR="00D16B68" w:rsidRPr="00E11FFB" w:rsidRDefault="00375C54"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Traduction de la politique dans ‘ langues nationales et sa vulgarisation dans </w:t>
            </w:r>
            <w:r w:rsidR="006D53C3" w:rsidRPr="00E11FFB">
              <w:rPr>
                <w:rFonts w:ascii="Calibri" w:hAnsi="Calibri" w:cs="Calibri"/>
                <w:color w:val="000000"/>
                <w:sz w:val="16"/>
                <w:szCs w:val="16"/>
                <w:lang w:eastAsia="fr-FR"/>
              </w:rPr>
              <w:t>7</w:t>
            </w:r>
            <w:r w:rsidRPr="00E11FFB">
              <w:rPr>
                <w:rFonts w:ascii="Calibri" w:hAnsi="Calibri" w:cs="Calibri"/>
                <w:color w:val="000000"/>
                <w:sz w:val="16"/>
                <w:szCs w:val="16"/>
                <w:lang w:eastAsia="fr-FR"/>
              </w:rPr>
              <w:t xml:space="preserve"> provinces en 2025 en plus de la vulgarisation faite dans 4 provinces en 2024.</w:t>
            </w:r>
            <w:r w:rsidR="006D53C3" w:rsidRPr="00E11FFB">
              <w:rPr>
                <w:rFonts w:ascii="Calibri" w:hAnsi="Calibri" w:cs="Calibri"/>
                <w:color w:val="000000"/>
                <w:sz w:val="16"/>
                <w:szCs w:val="16"/>
                <w:lang w:eastAsia="fr-FR"/>
              </w:rPr>
              <w:t xml:space="preserve"> Traduction en 4 langues nationales</w:t>
            </w:r>
          </w:p>
        </w:tc>
        <w:tc>
          <w:tcPr>
            <w:tcW w:w="1710" w:type="dxa"/>
          </w:tcPr>
          <w:p w14:paraId="1900226B" w14:textId="292BCDB2" w:rsidR="00D16B68" w:rsidRPr="00E11FFB" w:rsidRDefault="00375C54" w:rsidP="00D16B68">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17</w:t>
            </w:r>
            <w:r w:rsidR="00335781" w:rsidRPr="00E11FFB">
              <w:rPr>
                <w:rFonts w:ascii="Calibri" w:hAnsi="Calibri" w:cs="Calibri"/>
                <w:color w:val="000000"/>
                <w:sz w:val="16"/>
                <w:szCs w:val="16"/>
                <w:lang w:eastAsia="fr-FR"/>
              </w:rPr>
              <w:t>/02/</w:t>
            </w:r>
            <w:r w:rsidRPr="00E11FFB">
              <w:rPr>
                <w:rFonts w:ascii="Calibri" w:hAnsi="Calibri" w:cs="Calibri"/>
                <w:color w:val="000000"/>
                <w:sz w:val="16"/>
                <w:szCs w:val="16"/>
                <w:lang w:eastAsia="fr-FR"/>
              </w:rPr>
              <w:t xml:space="preserve">2023 : </w:t>
            </w:r>
            <w:r w:rsidR="00335781" w:rsidRPr="00E11FFB">
              <w:rPr>
                <w:rFonts w:ascii="Calibri" w:hAnsi="Calibri" w:cs="Calibri"/>
                <w:color w:val="000000"/>
                <w:sz w:val="16"/>
                <w:szCs w:val="16"/>
                <w:lang w:eastAsia="fr-FR"/>
              </w:rPr>
              <w:t>P</w:t>
            </w:r>
            <w:r w:rsidRPr="00E11FFB">
              <w:rPr>
                <w:rFonts w:ascii="Calibri" w:hAnsi="Calibri" w:cs="Calibri"/>
                <w:color w:val="000000"/>
                <w:sz w:val="16"/>
                <w:szCs w:val="16"/>
                <w:lang w:eastAsia="fr-FR"/>
              </w:rPr>
              <w:t>olitique agricole durable (PAD) adoptée en 87ème Conseil des Ministres. Elle acte des principes de préservation des tourbières, des forêts de grande valeur, reconnait l’importance de l’Aménagement du Territoire et oriente l’agriculture industrielle en zone de savane et de forêts dégradées.</w:t>
            </w:r>
          </w:p>
        </w:tc>
        <w:tc>
          <w:tcPr>
            <w:tcW w:w="1493" w:type="dxa"/>
            <w:vAlign w:val="center"/>
          </w:tcPr>
          <w:p w14:paraId="11EB3E82" w14:textId="77777777" w:rsidR="00D16B68" w:rsidRPr="00E11FFB" w:rsidRDefault="00D16B68" w:rsidP="00D16B68">
            <w:pPr>
              <w:rPr>
                <w:rFonts w:ascii="Calibri" w:hAnsi="Calibri" w:cs="Calibri"/>
                <w:color w:val="000000"/>
                <w:sz w:val="16"/>
                <w:szCs w:val="16"/>
                <w:lang w:eastAsia="fr-FR"/>
              </w:rPr>
            </w:pPr>
          </w:p>
        </w:tc>
      </w:tr>
      <w:tr w:rsidR="00D16B68" w:rsidRPr="00E11FFB" w14:paraId="1562E136" w14:textId="77777777" w:rsidTr="00DB0400">
        <w:trPr>
          <w:trHeight w:val="337"/>
        </w:trPr>
        <w:tc>
          <w:tcPr>
            <w:tcW w:w="805" w:type="dxa"/>
            <w:vAlign w:val="center"/>
          </w:tcPr>
          <w:p w14:paraId="0392DC24" w14:textId="330689D5"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2.2 (Jalon j) </w:t>
            </w:r>
          </w:p>
        </w:tc>
        <w:tc>
          <w:tcPr>
            <w:tcW w:w="3330" w:type="dxa"/>
            <w:vAlign w:val="center"/>
          </w:tcPr>
          <w:p w14:paraId="34141018" w14:textId="1C688E15"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Les contrats de concessions agricoles sont publiés au moins annuellement sur le site web du Ministère sectoriel, accessible au public.</w:t>
            </w:r>
          </w:p>
        </w:tc>
        <w:tc>
          <w:tcPr>
            <w:tcW w:w="3060" w:type="dxa"/>
            <w:vAlign w:val="center"/>
          </w:tcPr>
          <w:p w14:paraId="00BA44D8" w14:textId="135FD481" w:rsidR="00D16B68" w:rsidRPr="00E11FFB" w:rsidRDefault="002A0A8A"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Acquisition de matériels informatiques pour la collecte de données. </w:t>
            </w:r>
            <w:r w:rsidR="00DB0400" w:rsidRPr="00E11FFB">
              <w:rPr>
                <w:rFonts w:ascii="Calibri" w:hAnsi="Calibri" w:cs="Calibri"/>
                <w:color w:val="000000"/>
                <w:sz w:val="16"/>
                <w:szCs w:val="16"/>
                <w:lang w:eastAsia="fr-FR"/>
              </w:rPr>
              <w:t>Listes provisoires des concessions agricoles.</w:t>
            </w:r>
            <w:r w:rsidR="006D53C3" w:rsidRPr="00E11FFB">
              <w:rPr>
                <w:rFonts w:ascii="Calibri" w:hAnsi="Calibri" w:cs="Calibri"/>
                <w:color w:val="000000"/>
                <w:sz w:val="16"/>
                <w:szCs w:val="16"/>
                <w:lang w:eastAsia="fr-FR"/>
              </w:rPr>
              <w:t xml:space="preserve"> Formation des équipes de collecte de données dans deux provinces (Kwilu et Kongo centrale)</w:t>
            </w:r>
          </w:p>
        </w:tc>
        <w:tc>
          <w:tcPr>
            <w:tcW w:w="1710" w:type="dxa"/>
          </w:tcPr>
          <w:p w14:paraId="5205D63A" w14:textId="2EE59E34" w:rsidR="00D16B68" w:rsidRPr="00E11FFB" w:rsidRDefault="00D16B68" w:rsidP="00D16B6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7B660F38" w14:textId="5E681062" w:rsidR="00D16B68" w:rsidRPr="00E11FFB" w:rsidRDefault="00D16B68" w:rsidP="00D16B68">
            <w:pPr>
              <w:rPr>
                <w:rFonts w:ascii="Calibri" w:hAnsi="Calibri" w:cs="Calibri"/>
                <w:color w:val="000000"/>
                <w:sz w:val="16"/>
                <w:szCs w:val="16"/>
                <w:lang w:eastAsia="fr-FR"/>
              </w:rPr>
            </w:pPr>
          </w:p>
        </w:tc>
      </w:tr>
      <w:tr w:rsidR="00D16B68" w:rsidRPr="00E11FFB" w14:paraId="1A554F1C" w14:textId="77777777" w:rsidTr="00DB0400">
        <w:trPr>
          <w:trHeight w:val="337"/>
        </w:trPr>
        <w:tc>
          <w:tcPr>
            <w:tcW w:w="805" w:type="dxa"/>
            <w:vAlign w:val="center"/>
          </w:tcPr>
          <w:p w14:paraId="795064CF" w14:textId="6E275EB6" w:rsidR="00D16B68" w:rsidRPr="00E11FFB" w:rsidRDefault="00D16B68" w:rsidP="00D16B68">
            <w:pPr>
              <w:rPr>
                <w:rFonts w:ascii="Calibri" w:hAnsi="Calibri" w:cs="Calibri"/>
                <w:color w:val="000000"/>
                <w:sz w:val="16"/>
                <w:szCs w:val="16"/>
                <w:lang w:eastAsia="fr-FR"/>
              </w:rPr>
            </w:pPr>
            <w:r w:rsidRPr="00E11FFB">
              <w:rPr>
                <w:rFonts w:ascii="Calibri" w:hAnsi="Calibri" w:cs="Calibri"/>
                <w:sz w:val="16"/>
                <w:szCs w:val="16"/>
                <w:lang w:eastAsia="fr-FR"/>
              </w:rPr>
              <w:t>Produit 2.3 (Jalon K)</w:t>
            </w:r>
          </w:p>
        </w:tc>
        <w:tc>
          <w:tcPr>
            <w:tcW w:w="3330" w:type="dxa"/>
            <w:vAlign w:val="center"/>
          </w:tcPr>
          <w:p w14:paraId="1C385A14" w14:textId="3DEDAB94" w:rsidR="00D16B68" w:rsidRPr="00E11FFB" w:rsidRDefault="00D16B68" w:rsidP="00D16B68">
            <w:pPr>
              <w:rPr>
                <w:rFonts w:ascii="Calibri" w:hAnsi="Calibri" w:cs="Calibri"/>
                <w:color w:val="000000"/>
                <w:sz w:val="16"/>
                <w:szCs w:val="16"/>
                <w:lang w:eastAsia="fr-FR"/>
              </w:rPr>
            </w:pPr>
            <w:r w:rsidRPr="00E11FFB">
              <w:rPr>
                <w:rFonts w:ascii="Calibri" w:hAnsi="Calibri" w:cs="Calibri"/>
                <w:sz w:val="16"/>
                <w:szCs w:val="16"/>
                <w:lang w:eastAsia="fr-FR"/>
              </w:rPr>
              <w:t>Le conseil consultatif national sur l'agriculture est en place et est fonctionnel d'ici fin 2022].</w:t>
            </w:r>
          </w:p>
        </w:tc>
        <w:tc>
          <w:tcPr>
            <w:tcW w:w="3060" w:type="dxa"/>
            <w:vAlign w:val="center"/>
          </w:tcPr>
          <w:p w14:paraId="38E474ED" w14:textId="77777777" w:rsidR="00D16B68" w:rsidRPr="00E11FFB" w:rsidRDefault="00D16B68" w:rsidP="00D16B68">
            <w:pPr>
              <w:rPr>
                <w:rFonts w:ascii="Calibri" w:hAnsi="Calibri" w:cs="Calibri"/>
                <w:color w:val="000000"/>
                <w:sz w:val="16"/>
                <w:szCs w:val="16"/>
                <w:lang w:eastAsia="fr-FR"/>
              </w:rPr>
            </w:pPr>
          </w:p>
        </w:tc>
        <w:tc>
          <w:tcPr>
            <w:tcW w:w="1710" w:type="dxa"/>
          </w:tcPr>
          <w:p w14:paraId="03656C14" w14:textId="77777777" w:rsidR="00D16B68" w:rsidRPr="00E11FFB" w:rsidRDefault="00D16B68" w:rsidP="00D16B6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0AB34471" w14:textId="3AE40230"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Atteint en 2022</w:t>
            </w:r>
          </w:p>
        </w:tc>
      </w:tr>
      <w:tr w:rsidR="00D16B68" w:rsidRPr="00E11FFB" w14:paraId="7096D183" w14:textId="77777777" w:rsidTr="00DB0400">
        <w:trPr>
          <w:trHeight w:val="337"/>
        </w:trPr>
        <w:tc>
          <w:tcPr>
            <w:tcW w:w="805" w:type="dxa"/>
            <w:vAlign w:val="center"/>
          </w:tcPr>
          <w:p w14:paraId="25C8739A" w14:textId="5DB4EC3B" w:rsidR="00D16B68" w:rsidRPr="00E11FFB" w:rsidRDefault="00D16B68" w:rsidP="00D16B68">
            <w:pPr>
              <w:rPr>
                <w:rFonts w:ascii="Calibri" w:hAnsi="Calibri" w:cs="Calibri"/>
                <w:sz w:val="16"/>
                <w:szCs w:val="16"/>
                <w:lang w:eastAsia="fr-FR"/>
              </w:rPr>
            </w:pPr>
            <w:r w:rsidRPr="00E11FFB">
              <w:rPr>
                <w:rFonts w:ascii="Calibri" w:hAnsi="Calibri" w:cs="Calibri"/>
                <w:sz w:val="16"/>
                <w:szCs w:val="16"/>
                <w:lang w:eastAsia="fr-FR"/>
              </w:rPr>
              <w:t>Produit 1.2 (Aménagement du territoire) Produit 2.4  (Jalon l)</w:t>
            </w:r>
          </w:p>
        </w:tc>
        <w:tc>
          <w:tcPr>
            <w:tcW w:w="3330" w:type="dxa"/>
            <w:vAlign w:val="center"/>
          </w:tcPr>
          <w:p w14:paraId="1607ABCC" w14:textId="0AC3D71E" w:rsidR="00D16B68" w:rsidRPr="00E11FFB" w:rsidRDefault="00D16B68" w:rsidP="00D16B68">
            <w:pPr>
              <w:rPr>
                <w:rFonts w:ascii="Calibri" w:hAnsi="Calibri" w:cs="Calibri"/>
                <w:sz w:val="16"/>
                <w:szCs w:val="16"/>
                <w:lang w:eastAsia="fr-FR"/>
              </w:rPr>
            </w:pPr>
            <w:r w:rsidRPr="00E11FFB">
              <w:rPr>
                <w:rFonts w:ascii="Calibri" w:hAnsi="Calibri" w:cs="Calibri"/>
                <w:sz w:val="16"/>
                <w:szCs w:val="16"/>
                <w:lang w:eastAsia="fr-FR"/>
              </w:rPr>
              <w:t xml:space="preserve">Une cartographie du potentiel de production agricole durable, intégrant la préservation des forêts et des tourbières, est réalisée pour les cultures de rente clés [par </w:t>
            </w:r>
            <w:r w:rsidR="00783DEC" w:rsidRPr="00E11FFB">
              <w:rPr>
                <w:rFonts w:ascii="Calibri" w:hAnsi="Calibri" w:cs="Calibri"/>
                <w:sz w:val="16"/>
                <w:szCs w:val="16"/>
                <w:lang w:eastAsia="fr-FR"/>
              </w:rPr>
              <w:t>ex :</w:t>
            </w:r>
            <w:r w:rsidRPr="00E11FFB">
              <w:rPr>
                <w:rFonts w:ascii="Calibri" w:hAnsi="Calibri" w:cs="Calibri"/>
                <w:sz w:val="16"/>
                <w:szCs w:val="16"/>
                <w:lang w:eastAsia="fr-FR"/>
              </w:rPr>
              <w:t xml:space="preserve"> café, cacao, palmier à huile, hévéa ; </w:t>
            </w:r>
            <w:r w:rsidR="00783DEC" w:rsidRPr="00E11FFB">
              <w:rPr>
                <w:rFonts w:ascii="Calibri" w:hAnsi="Calibri" w:cs="Calibri"/>
                <w:sz w:val="16"/>
                <w:szCs w:val="16"/>
                <w:lang w:eastAsia="fr-FR"/>
              </w:rPr>
              <w:t>etc.</w:t>
            </w:r>
            <w:r w:rsidRPr="00E11FFB">
              <w:rPr>
                <w:rFonts w:ascii="Calibri" w:hAnsi="Calibri" w:cs="Calibri"/>
                <w:sz w:val="16"/>
                <w:szCs w:val="16"/>
                <w:lang w:eastAsia="fr-FR"/>
              </w:rPr>
              <w:t xml:space="preserve">] d'ici [fin 2023], en s'appuyant sur l'étude sur le potentiel agricole réalisé dans le cadre du pilier Aménagement du territoire. </w:t>
            </w:r>
          </w:p>
        </w:tc>
        <w:tc>
          <w:tcPr>
            <w:tcW w:w="3060" w:type="dxa"/>
            <w:vAlign w:val="center"/>
          </w:tcPr>
          <w:p w14:paraId="3F566436" w14:textId="3518DB01" w:rsidR="00D16B68" w:rsidRPr="00E11FFB" w:rsidRDefault="00783DEC" w:rsidP="002C2D01">
            <w:pPr>
              <w:rPr>
                <w:rFonts w:ascii="Calibri" w:hAnsi="Calibri" w:cs="Calibri"/>
                <w:color w:val="000000"/>
                <w:sz w:val="16"/>
                <w:szCs w:val="16"/>
                <w:lang w:eastAsia="fr-FR"/>
              </w:rPr>
            </w:pPr>
            <w:r w:rsidRPr="00E11FFB">
              <w:rPr>
                <w:rFonts w:ascii="Calibri" w:hAnsi="Calibri" w:cs="Calibri"/>
                <w:color w:val="000000"/>
                <w:sz w:val="16"/>
                <w:szCs w:val="16"/>
                <w:lang w:eastAsia="fr-FR"/>
              </w:rPr>
              <w:t>Etude réalisée dans 4 provinces sur les 6 provinces prévues ; cartes de potentiel de production agricole produites.</w:t>
            </w:r>
          </w:p>
        </w:tc>
        <w:tc>
          <w:tcPr>
            <w:tcW w:w="1710" w:type="dxa"/>
          </w:tcPr>
          <w:p w14:paraId="6624E3FC" w14:textId="29809575" w:rsidR="00D16B68" w:rsidRPr="00E11FFB" w:rsidRDefault="00783DEC" w:rsidP="00D16B68">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Une étude réalisée en 2023 sur le potentiel agricole à l’échelle nationale</w:t>
            </w:r>
          </w:p>
        </w:tc>
        <w:tc>
          <w:tcPr>
            <w:tcW w:w="1493" w:type="dxa"/>
            <w:vAlign w:val="center"/>
          </w:tcPr>
          <w:p w14:paraId="2B763332" w14:textId="77777777" w:rsidR="00D16B68" w:rsidRPr="00E11FFB" w:rsidRDefault="00D16B68" w:rsidP="00D16B68">
            <w:pPr>
              <w:rPr>
                <w:rFonts w:ascii="Calibri" w:hAnsi="Calibri" w:cs="Calibri"/>
                <w:color w:val="000000"/>
                <w:sz w:val="16"/>
                <w:szCs w:val="16"/>
                <w:lang w:eastAsia="fr-FR"/>
              </w:rPr>
            </w:pPr>
          </w:p>
        </w:tc>
      </w:tr>
      <w:tr w:rsidR="00D16B68" w:rsidRPr="00E11FFB" w14:paraId="03F889E0" w14:textId="77777777" w:rsidTr="00DB0400">
        <w:trPr>
          <w:trHeight w:val="337"/>
        </w:trPr>
        <w:tc>
          <w:tcPr>
            <w:tcW w:w="805" w:type="dxa"/>
            <w:vAlign w:val="center"/>
          </w:tcPr>
          <w:p w14:paraId="1A996CD6" w14:textId="3B95FD83" w:rsidR="00D16B68" w:rsidRPr="00E11FFB" w:rsidRDefault="00D16B68" w:rsidP="00D16B68">
            <w:pPr>
              <w:rPr>
                <w:rFonts w:ascii="Calibri" w:hAnsi="Calibri" w:cs="Calibri"/>
                <w:sz w:val="16"/>
                <w:szCs w:val="16"/>
                <w:lang w:eastAsia="fr-FR"/>
              </w:rPr>
            </w:pPr>
            <w:r w:rsidRPr="00E11FFB">
              <w:rPr>
                <w:rFonts w:ascii="Calibri" w:hAnsi="Calibri" w:cs="Calibri"/>
                <w:color w:val="000000"/>
                <w:sz w:val="16"/>
                <w:szCs w:val="16"/>
                <w:lang w:eastAsia="fr-FR"/>
              </w:rPr>
              <w:t>Produit 2.4 (Jalon m )</w:t>
            </w:r>
          </w:p>
        </w:tc>
        <w:tc>
          <w:tcPr>
            <w:tcW w:w="3330" w:type="dxa"/>
            <w:vAlign w:val="center"/>
          </w:tcPr>
          <w:p w14:paraId="0AF120FE" w14:textId="694A05BC" w:rsidR="00D16B68" w:rsidRPr="00E11FFB" w:rsidRDefault="00D16B68" w:rsidP="00D16B68">
            <w:pPr>
              <w:rPr>
                <w:rFonts w:ascii="Calibri" w:hAnsi="Calibri" w:cs="Calibri"/>
                <w:sz w:val="16"/>
                <w:szCs w:val="16"/>
                <w:lang w:eastAsia="fr-FR"/>
              </w:rPr>
            </w:pPr>
            <w:r w:rsidRPr="00E11FFB">
              <w:rPr>
                <w:rFonts w:ascii="Calibri" w:hAnsi="Calibri" w:cs="Calibri"/>
                <w:color w:val="000000"/>
                <w:sz w:val="16"/>
                <w:szCs w:val="16"/>
                <w:lang w:eastAsia="fr-FR"/>
              </w:rPr>
              <w:t>Un processus participatif de réflexion et de définition sur l’agriculture de taille intermédiaire, ses besoins spécifiques, et comment l’accompagner pour permettre d’en réduire l’impact sur les forêts tout en répondant aux besoins du pays, en ligne avec les objectifs de la présente lettre d’attention, sur base du contexte spécifique de la RDC et informé par les bonnes pratiques nationales et internationales dans des pays similaires</w:t>
            </w:r>
          </w:p>
        </w:tc>
        <w:tc>
          <w:tcPr>
            <w:tcW w:w="3060" w:type="dxa"/>
            <w:vAlign w:val="center"/>
          </w:tcPr>
          <w:p w14:paraId="5F8B5C2E" w14:textId="475AAEF5" w:rsidR="00D16B68" w:rsidRPr="00E11FFB" w:rsidRDefault="00B57FCE" w:rsidP="00B57FC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Un consultant recruté. Une note de cadrage produite, étude</w:t>
            </w:r>
            <w:r w:rsidR="004B5B55" w:rsidRPr="00E11FFB">
              <w:rPr>
                <w:rFonts w:ascii="Calibri" w:hAnsi="Calibri" w:cs="Calibri"/>
                <w:color w:val="000000"/>
                <w:sz w:val="16"/>
                <w:szCs w:val="16"/>
                <w:lang w:eastAsia="fr-FR"/>
              </w:rPr>
              <w:t xml:space="preserve"> participative sur la définition de l’agriculture de taille intermédiaire</w:t>
            </w:r>
            <w:r w:rsidR="00985B18" w:rsidRPr="00E11FFB">
              <w:rPr>
                <w:rFonts w:ascii="Calibri" w:hAnsi="Calibri" w:cs="Calibri"/>
                <w:color w:val="000000"/>
                <w:sz w:val="16"/>
                <w:szCs w:val="16"/>
                <w:lang w:eastAsia="fr-FR"/>
              </w:rPr>
              <w:t xml:space="preserve"> réalisée d</w:t>
            </w:r>
            <w:r w:rsidRPr="00E11FFB">
              <w:rPr>
                <w:rFonts w:ascii="Calibri" w:hAnsi="Calibri" w:cs="Calibri"/>
                <w:color w:val="000000"/>
                <w:sz w:val="16"/>
                <w:szCs w:val="16"/>
                <w:lang w:eastAsia="fr-FR"/>
              </w:rPr>
              <w:t>ans 3 provinces.</w:t>
            </w:r>
            <w:r w:rsidR="00985B18" w:rsidRPr="00E11FFB">
              <w:rPr>
                <w:rFonts w:ascii="Calibri" w:hAnsi="Calibri" w:cs="Calibri"/>
                <w:color w:val="000000"/>
                <w:sz w:val="16"/>
                <w:szCs w:val="16"/>
                <w:lang w:eastAsia="fr-FR"/>
              </w:rPr>
              <w:t xml:space="preserve"> 104 ménages regroupés en associations agricoles participent au processus de réflexion. </w:t>
            </w:r>
          </w:p>
        </w:tc>
        <w:tc>
          <w:tcPr>
            <w:tcW w:w="1710" w:type="dxa"/>
          </w:tcPr>
          <w:p w14:paraId="4C28E253" w14:textId="77777777" w:rsidR="00D16B68" w:rsidRPr="00E11FFB" w:rsidRDefault="00D16B68" w:rsidP="00D16B6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2DF0CE3A" w14:textId="77777777" w:rsidR="00985B18" w:rsidRPr="00E11FFB" w:rsidRDefault="00D16B68" w:rsidP="00985B1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Atelier national de validation de la définition </w:t>
            </w:r>
          </w:p>
          <w:p w14:paraId="6D62D7AA" w14:textId="4069C726" w:rsidR="00D16B68" w:rsidRPr="00E11FFB" w:rsidRDefault="00D16B68" w:rsidP="00985B18">
            <w:pPr>
              <w:rPr>
                <w:rFonts w:ascii="Calibri" w:hAnsi="Calibri" w:cs="Calibri"/>
                <w:color w:val="000000"/>
                <w:sz w:val="16"/>
                <w:szCs w:val="16"/>
                <w:lang w:eastAsia="fr-FR"/>
              </w:rPr>
            </w:pPr>
            <w:r w:rsidRPr="00E11FFB">
              <w:rPr>
                <w:rFonts w:ascii="Calibri" w:hAnsi="Calibri" w:cs="Calibri"/>
                <w:color w:val="000000"/>
                <w:sz w:val="16"/>
                <w:szCs w:val="16"/>
                <w:lang w:eastAsia="fr-FR"/>
              </w:rPr>
              <w:t>Acte de définition de l'agriculture de taille intermédiaire prévu</w:t>
            </w:r>
          </w:p>
        </w:tc>
      </w:tr>
      <w:tr w:rsidR="00D16B68" w:rsidRPr="00E11FFB" w14:paraId="5FD9D987" w14:textId="77777777" w:rsidTr="00DB0400">
        <w:trPr>
          <w:trHeight w:val="337"/>
        </w:trPr>
        <w:tc>
          <w:tcPr>
            <w:tcW w:w="805" w:type="dxa"/>
            <w:vAlign w:val="center"/>
          </w:tcPr>
          <w:p w14:paraId="08570A0D" w14:textId="03E2F3EE" w:rsidR="00D16B68" w:rsidRPr="00E11FFB" w:rsidRDefault="00D16B68" w:rsidP="00D16B68">
            <w:pPr>
              <w:rPr>
                <w:rFonts w:ascii="Calibri" w:hAnsi="Calibri" w:cs="Calibri"/>
                <w:sz w:val="16"/>
                <w:szCs w:val="16"/>
                <w:lang w:eastAsia="fr-FR"/>
              </w:rPr>
            </w:pPr>
            <w:r w:rsidRPr="00E11FFB">
              <w:rPr>
                <w:rFonts w:ascii="Calibri" w:hAnsi="Calibri" w:cs="Calibri"/>
                <w:color w:val="000000"/>
                <w:sz w:val="16"/>
                <w:szCs w:val="16"/>
                <w:lang w:eastAsia="fr-FR"/>
              </w:rPr>
              <w:t xml:space="preserve">Produit 2.5 (Jalon n) </w:t>
            </w:r>
          </w:p>
        </w:tc>
        <w:tc>
          <w:tcPr>
            <w:tcW w:w="3330" w:type="dxa"/>
            <w:vAlign w:val="center"/>
          </w:tcPr>
          <w:p w14:paraId="0E2945CE" w14:textId="0FFF7B2A" w:rsidR="00D16B68" w:rsidRPr="00E11FFB" w:rsidRDefault="00D16B68" w:rsidP="00D16B68">
            <w:pPr>
              <w:rPr>
                <w:rFonts w:ascii="Calibri" w:hAnsi="Calibri" w:cs="Calibri"/>
                <w:sz w:val="16"/>
                <w:szCs w:val="16"/>
                <w:lang w:eastAsia="fr-FR"/>
              </w:rPr>
            </w:pPr>
            <w:r w:rsidRPr="00E11FFB">
              <w:rPr>
                <w:rFonts w:ascii="Calibri" w:hAnsi="Calibri" w:cs="Calibri"/>
                <w:color w:val="000000"/>
                <w:sz w:val="16"/>
                <w:szCs w:val="16"/>
                <w:lang w:eastAsia="fr-FR"/>
              </w:rPr>
              <w:t xml:space="preserve"> Le Ministère sectoriel notifie formellement les partenaires au développement et les Gouverneurs de Province d’assurer la cohérence entre, d’une part, les programmes d’aide publique au développement et les programmes provinciaux incluant les investissements publics et privés et, d’autre part, les orientations de la Politique agricole nationale ainsi que les prescriptions des Schémas/Plans d’AT [notamment ceux développés dans le cadre des PIREDD], d’ici [fin 2023].</w:t>
            </w:r>
          </w:p>
        </w:tc>
        <w:tc>
          <w:tcPr>
            <w:tcW w:w="3060" w:type="dxa"/>
            <w:vAlign w:val="center"/>
          </w:tcPr>
          <w:p w14:paraId="6067A256" w14:textId="49DA73AC" w:rsidR="00D16B68" w:rsidRPr="00E11FFB" w:rsidRDefault="005113FD"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Draft de la l</w:t>
            </w:r>
            <w:r w:rsidR="00D16B68" w:rsidRPr="00E11FFB">
              <w:rPr>
                <w:rFonts w:ascii="Calibri" w:hAnsi="Calibri" w:cs="Calibri"/>
                <w:color w:val="000000"/>
                <w:sz w:val="16"/>
                <w:szCs w:val="16"/>
                <w:lang w:eastAsia="fr-FR"/>
              </w:rPr>
              <w:t xml:space="preserve">ettre pour la notification formelle du ministre de l’Agriculture aux gouverneurs de provinces </w:t>
            </w:r>
            <w:r w:rsidR="00263A22" w:rsidRPr="00E11FFB">
              <w:rPr>
                <w:rFonts w:ascii="Calibri" w:hAnsi="Calibri" w:cs="Calibri"/>
                <w:color w:val="000000"/>
                <w:sz w:val="16"/>
                <w:szCs w:val="16"/>
                <w:lang w:eastAsia="fr-FR"/>
              </w:rPr>
              <w:t xml:space="preserve">et </w:t>
            </w:r>
            <w:r w:rsidR="00D16B68" w:rsidRPr="00E11FFB">
              <w:rPr>
                <w:rFonts w:ascii="Calibri" w:hAnsi="Calibri" w:cs="Calibri"/>
                <w:color w:val="000000"/>
                <w:sz w:val="16"/>
                <w:szCs w:val="16"/>
                <w:lang w:eastAsia="fr-FR"/>
              </w:rPr>
              <w:t>TDRS</w:t>
            </w:r>
            <w:r w:rsidR="00263A22" w:rsidRPr="00E11FFB">
              <w:rPr>
                <w:rFonts w:ascii="Calibri" w:hAnsi="Calibri" w:cs="Calibri"/>
                <w:color w:val="000000"/>
                <w:sz w:val="16"/>
                <w:szCs w:val="16"/>
                <w:lang w:eastAsia="fr-FR"/>
              </w:rPr>
              <w:t xml:space="preserve"> de l’atelier. </w:t>
            </w:r>
          </w:p>
        </w:tc>
        <w:tc>
          <w:tcPr>
            <w:tcW w:w="1710" w:type="dxa"/>
          </w:tcPr>
          <w:p w14:paraId="4EA18822" w14:textId="77777777" w:rsidR="00D16B68" w:rsidRPr="00E11FFB" w:rsidRDefault="00D16B68" w:rsidP="00D16B6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59E2761B" w14:textId="5CC4BB65"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40% de progression car l’</w:t>
            </w:r>
            <w:r w:rsidRPr="00E11FFB">
              <w:rPr>
                <w:rFonts w:ascii="Calibri" w:hAnsi="Calibri" w:cs="Calibri"/>
                <w:sz w:val="16"/>
                <w:szCs w:val="16"/>
              </w:rPr>
              <w:t>Atelier</w:t>
            </w:r>
            <w:r w:rsidRPr="00E11FFB">
              <w:rPr>
                <w:rFonts w:ascii="Calibri" w:hAnsi="Calibri" w:cs="Calibri"/>
                <w:color w:val="000000"/>
                <w:sz w:val="16"/>
                <w:szCs w:val="16"/>
                <w:lang w:eastAsia="fr-FR"/>
              </w:rPr>
              <w:t xml:space="preserve"> national d'information/sensibilisation est prévu pour début 2026 </w:t>
            </w:r>
          </w:p>
        </w:tc>
      </w:tr>
      <w:tr w:rsidR="00D16B68" w:rsidRPr="00E11FFB" w14:paraId="04B88E83" w14:textId="77777777" w:rsidTr="00DB0400">
        <w:trPr>
          <w:trHeight w:val="337"/>
        </w:trPr>
        <w:tc>
          <w:tcPr>
            <w:tcW w:w="805" w:type="dxa"/>
            <w:vAlign w:val="center"/>
          </w:tcPr>
          <w:p w14:paraId="561B1226" w14:textId="5790B497" w:rsidR="00D16B68" w:rsidRPr="00E11FFB" w:rsidRDefault="00D16B68" w:rsidP="00D16B68">
            <w:pPr>
              <w:rPr>
                <w:rFonts w:ascii="Calibri" w:hAnsi="Calibri" w:cs="Calibri"/>
                <w:sz w:val="16"/>
                <w:szCs w:val="16"/>
                <w:lang w:eastAsia="fr-FR"/>
              </w:rPr>
            </w:pPr>
            <w:r w:rsidRPr="00E11FFB">
              <w:rPr>
                <w:rFonts w:ascii="Calibri" w:hAnsi="Calibri" w:cs="Calibri"/>
                <w:color w:val="000000"/>
                <w:sz w:val="16"/>
                <w:szCs w:val="16"/>
                <w:lang w:eastAsia="fr-FR"/>
              </w:rPr>
              <w:t xml:space="preserve">Produit 2.6 (Jalon o) </w:t>
            </w:r>
          </w:p>
        </w:tc>
        <w:tc>
          <w:tcPr>
            <w:tcW w:w="3330" w:type="dxa"/>
            <w:vAlign w:val="center"/>
          </w:tcPr>
          <w:p w14:paraId="67941C29" w14:textId="60BCBDAE" w:rsidR="00D16B68" w:rsidRPr="00E11FFB" w:rsidRDefault="00D16B68" w:rsidP="00D16B68">
            <w:pPr>
              <w:ind w:left="0" w:firstLine="0"/>
              <w:rPr>
                <w:rFonts w:ascii="Calibri" w:hAnsi="Calibri" w:cs="Calibri"/>
                <w:sz w:val="16"/>
                <w:szCs w:val="16"/>
                <w:lang w:eastAsia="fr-FR"/>
              </w:rPr>
            </w:pPr>
            <w:r w:rsidRPr="00E11FFB">
              <w:rPr>
                <w:rFonts w:ascii="Calibri" w:hAnsi="Calibri" w:cs="Calibri"/>
                <w:color w:val="000000"/>
                <w:sz w:val="16"/>
                <w:szCs w:val="16"/>
                <w:lang w:eastAsia="fr-FR"/>
              </w:rPr>
              <w:t>Un Plan ou feuille de route pour augmenter graduellement l’allocation et l’exécution budgétaires domestiques au secteur de l’agriculture est adopté d’ici [fin 2023].</w:t>
            </w:r>
          </w:p>
        </w:tc>
        <w:tc>
          <w:tcPr>
            <w:tcW w:w="3060" w:type="dxa"/>
            <w:vAlign w:val="center"/>
          </w:tcPr>
          <w:p w14:paraId="3809415D" w14:textId="6B973694"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Plaidoyer </w:t>
            </w:r>
            <w:r w:rsidR="00E37699" w:rsidRPr="00E11FFB">
              <w:rPr>
                <w:rFonts w:ascii="Calibri" w:hAnsi="Calibri" w:cs="Calibri"/>
                <w:color w:val="000000"/>
                <w:sz w:val="16"/>
                <w:szCs w:val="16"/>
                <w:lang w:eastAsia="fr-FR"/>
              </w:rPr>
              <w:t xml:space="preserve">réalisé avec </w:t>
            </w:r>
            <w:r w:rsidRPr="00E11FFB">
              <w:rPr>
                <w:rFonts w:ascii="Calibri" w:hAnsi="Calibri" w:cs="Calibri"/>
                <w:color w:val="000000"/>
                <w:sz w:val="16"/>
                <w:szCs w:val="16"/>
                <w:lang w:eastAsia="fr-FR"/>
              </w:rPr>
              <w:t>les équipes du budget</w:t>
            </w:r>
            <w:r w:rsidR="00E37699" w:rsidRPr="00E11FFB">
              <w:rPr>
                <w:rFonts w:ascii="Calibri" w:hAnsi="Calibri" w:cs="Calibri"/>
                <w:color w:val="000000"/>
                <w:sz w:val="16"/>
                <w:szCs w:val="16"/>
                <w:lang w:eastAsia="fr-FR"/>
              </w:rPr>
              <w:t xml:space="preserve"> et de f</w:t>
            </w:r>
            <w:r w:rsidRPr="00E11FFB">
              <w:rPr>
                <w:rFonts w:ascii="Calibri" w:hAnsi="Calibri" w:cs="Calibri"/>
                <w:color w:val="000000"/>
                <w:sz w:val="16"/>
                <w:szCs w:val="16"/>
                <w:lang w:eastAsia="fr-FR"/>
              </w:rPr>
              <w:t>inance</w:t>
            </w:r>
            <w:r w:rsidR="00E37699" w:rsidRPr="00E11FFB">
              <w:rPr>
                <w:rFonts w:ascii="Calibri" w:hAnsi="Calibri" w:cs="Calibri"/>
                <w:color w:val="000000"/>
                <w:sz w:val="16"/>
                <w:szCs w:val="16"/>
                <w:lang w:eastAsia="fr-FR"/>
              </w:rPr>
              <w:t xml:space="preserve">. </w:t>
            </w:r>
          </w:p>
        </w:tc>
        <w:tc>
          <w:tcPr>
            <w:tcW w:w="1710" w:type="dxa"/>
          </w:tcPr>
          <w:p w14:paraId="10E359ED" w14:textId="77777777" w:rsidR="00D16B68" w:rsidRPr="00E11FFB" w:rsidRDefault="00D16B68" w:rsidP="00D16B6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3EE8D177" w14:textId="7BB1B65F" w:rsidR="00D16B68" w:rsidRPr="00E11FFB" w:rsidRDefault="00D16B68" w:rsidP="00D16B68">
            <w:pPr>
              <w:rPr>
                <w:rFonts w:ascii="Calibri" w:hAnsi="Calibri" w:cs="Calibri"/>
                <w:color w:val="000000"/>
                <w:sz w:val="16"/>
                <w:szCs w:val="16"/>
                <w:lang w:eastAsia="fr-FR"/>
              </w:rPr>
            </w:pPr>
          </w:p>
        </w:tc>
      </w:tr>
      <w:tr w:rsidR="00D16B68" w:rsidRPr="00E11FFB" w14:paraId="541FF13F" w14:textId="77777777" w:rsidTr="00DB0400">
        <w:trPr>
          <w:trHeight w:val="337"/>
        </w:trPr>
        <w:tc>
          <w:tcPr>
            <w:tcW w:w="805" w:type="dxa"/>
            <w:vAlign w:val="center"/>
          </w:tcPr>
          <w:p w14:paraId="467EE601" w14:textId="32F12570" w:rsidR="00D16B68" w:rsidRPr="00E11FFB" w:rsidRDefault="00D16B68" w:rsidP="00D16B68">
            <w:pPr>
              <w:rPr>
                <w:rFonts w:ascii="Calibri" w:hAnsi="Calibri" w:cs="Calibri"/>
                <w:sz w:val="16"/>
                <w:szCs w:val="16"/>
                <w:lang w:eastAsia="fr-FR"/>
              </w:rPr>
            </w:pPr>
            <w:r w:rsidRPr="00E11FFB">
              <w:rPr>
                <w:rFonts w:ascii="Calibri" w:hAnsi="Calibri" w:cs="Calibri"/>
                <w:color w:val="000000"/>
                <w:sz w:val="16"/>
                <w:szCs w:val="16"/>
                <w:lang w:eastAsia="fr-FR"/>
              </w:rPr>
              <w:t>Produit 3.1 (jalons 4 f)</w:t>
            </w:r>
          </w:p>
        </w:tc>
        <w:tc>
          <w:tcPr>
            <w:tcW w:w="3330" w:type="dxa"/>
            <w:vAlign w:val="center"/>
          </w:tcPr>
          <w:p w14:paraId="0D4AA150" w14:textId="51A42E8A" w:rsidR="00D16B68" w:rsidRPr="00E11FFB" w:rsidRDefault="00D16B68" w:rsidP="00D16B68">
            <w:pPr>
              <w:ind w:left="0" w:firstLine="0"/>
              <w:rPr>
                <w:rFonts w:ascii="Calibri" w:hAnsi="Calibri" w:cs="Calibri"/>
                <w:sz w:val="16"/>
                <w:szCs w:val="16"/>
                <w:lang w:eastAsia="fr-FR"/>
              </w:rPr>
            </w:pPr>
            <w:r w:rsidRPr="00E11FFB">
              <w:rPr>
                <w:rFonts w:ascii="Calibri" w:hAnsi="Calibri" w:cs="Calibri"/>
                <w:color w:val="000000"/>
                <w:sz w:val="16"/>
                <w:szCs w:val="16"/>
                <w:lang w:eastAsia="fr-FR"/>
              </w:rPr>
              <w:t>Définir d’ici 2025, au travers d’un processus participatif et multisectoriel : (i) les concepts de « forêts de grande valeur » et de « tourbières » ; (ii) leur attribuer un statut légal de protection (iii) leur aménager des règles d’utilisation et de gestion associées, visant la conservation du couvert forestier et de leur stock de carbone, différenciées selon les secteurs (agriculture, mines et hydrocarbures, etc.) et les acteurs (communautés locales, secteur privé à large échelle, etc.) ; (iv) les identifier spatialement. Ce processus prendra en compte les bonnes pratiques locales, nationales et internationales, sur la prise en compte et la valorisation des stocks de carbone et des valeurs de biodiversité. Il visera (a) une définition technique préliminaire d’ici fin 2022 ; (b) une validation de celle-ci accompagnée d’une identification spatiale et des règles d’utilisation et de gestion d’ici fin 2023 et une identification spatiale complète et participative d’ici 2025.</w:t>
            </w:r>
          </w:p>
        </w:tc>
        <w:tc>
          <w:tcPr>
            <w:tcW w:w="3060" w:type="dxa"/>
            <w:vAlign w:val="center"/>
          </w:tcPr>
          <w:p w14:paraId="1FF59F42" w14:textId="68816DA9" w:rsidR="001E4BE5" w:rsidRPr="00E11FFB" w:rsidRDefault="001E4BE5"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Première proposition de définition, Les c</w:t>
            </w:r>
            <w:r w:rsidR="00D16B68" w:rsidRPr="00E11FFB">
              <w:rPr>
                <w:rFonts w:ascii="Calibri" w:hAnsi="Calibri" w:cs="Calibri"/>
                <w:color w:val="000000"/>
                <w:sz w:val="16"/>
                <w:szCs w:val="16"/>
                <w:lang w:eastAsia="fr-FR"/>
              </w:rPr>
              <w:t>oncertations provinciales sur les propositions de définition des concepts</w:t>
            </w:r>
          </w:p>
          <w:p w14:paraId="5B78C2BE" w14:textId="71C907F4" w:rsidR="00D16B68" w:rsidRPr="00E11FFB" w:rsidRDefault="001E4BE5" w:rsidP="00D16B6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1 </w:t>
            </w:r>
            <w:r w:rsidR="00D16B68" w:rsidRPr="00E11FFB">
              <w:rPr>
                <w:rFonts w:ascii="Calibri" w:hAnsi="Calibri" w:cs="Calibri"/>
                <w:color w:val="000000"/>
                <w:sz w:val="16"/>
                <w:szCs w:val="16"/>
                <w:lang w:eastAsia="fr-FR"/>
              </w:rPr>
              <w:t>atelier de validation</w:t>
            </w:r>
            <w:r w:rsidRPr="00E11FFB">
              <w:rPr>
                <w:rFonts w:ascii="Calibri" w:hAnsi="Calibri" w:cs="Calibri"/>
                <w:color w:val="000000"/>
                <w:sz w:val="16"/>
                <w:szCs w:val="16"/>
                <w:lang w:eastAsia="fr-FR"/>
              </w:rPr>
              <w:t xml:space="preserve"> technique des concepts. </w:t>
            </w:r>
          </w:p>
          <w:p w14:paraId="1C9DAA14" w14:textId="77777777" w:rsidR="00D16B68" w:rsidRPr="00E11FFB" w:rsidRDefault="00D16B68" w:rsidP="00D16B68">
            <w:pPr>
              <w:ind w:left="0"/>
              <w:rPr>
                <w:rFonts w:ascii="Calibri" w:hAnsi="Calibri" w:cs="Calibri"/>
                <w:color w:val="000000"/>
                <w:sz w:val="16"/>
                <w:szCs w:val="16"/>
                <w:lang w:eastAsia="fr-FR"/>
              </w:rPr>
            </w:pPr>
          </w:p>
          <w:p w14:paraId="031B3197" w14:textId="6792897F" w:rsidR="00D16B68" w:rsidRPr="00E11FFB" w:rsidRDefault="00D16B68" w:rsidP="00D16B68">
            <w:pPr>
              <w:rPr>
                <w:rFonts w:ascii="Calibri" w:hAnsi="Calibri" w:cs="Calibri"/>
                <w:color w:val="000000"/>
                <w:sz w:val="16"/>
                <w:szCs w:val="16"/>
                <w:lang w:eastAsia="fr-FR"/>
              </w:rPr>
            </w:pPr>
          </w:p>
        </w:tc>
        <w:tc>
          <w:tcPr>
            <w:tcW w:w="1710" w:type="dxa"/>
          </w:tcPr>
          <w:p w14:paraId="2198C41C" w14:textId="77777777" w:rsidR="001E4BE5" w:rsidRPr="00E11FFB" w:rsidRDefault="001E4BE5" w:rsidP="00D16B68">
            <w:pPr>
              <w:pBdr>
                <w:top w:val="nil"/>
                <w:left w:val="nil"/>
                <w:bottom w:val="nil"/>
                <w:right w:val="nil"/>
                <w:between w:val="nil"/>
              </w:pBdr>
              <w:rPr>
                <w:rFonts w:ascii="Calibri" w:hAnsi="Calibri" w:cs="Calibri"/>
                <w:color w:val="000000"/>
                <w:sz w:val="16"/>
                <w:szCs w:val="16"/>
                <w:lang w:eastAsia="fr-FR"/>
              </w:rPr>
            </w:pPr>
          </w:p>
          <w:p w14:paraId="58E3FBDA" w14:textId="77777777" w:rsidR="001E4BE5" w:rsidRPr="00E11FFB" w:rsidRDefault="001E4BE5" w:rsidP="00D16B68">
            <w:pPr>
              <w:pBdr>
                <w:top w:val="nil"/>
                <w:left w:val="nil"/>
                <w:bottom w:val="nil"/>
                <w:right w:val="nil"/>
                <w:between w:val="nil"/>
              </w:pBdr>
              <w:rPr>
                <w:rFonts w:ascii="Calibri" w:hAnsi="Calibri" w:cs="Calibri"/>
                <w:color w:val="000000"/>
                <w:sz w:val="16"/>
                <w:szCs w:val="16"/>
                <w:lang w:eastAsia="fr-FR"/>
              </w:rPr>
            </w:pPr>
          </w:p>
          <w:p w14:paraId="20F45D48" w14:textId="77777777" w:rsidR="001E4BE5" w:rsidRPr="00E11FFB" w:rsidRDefault="001E4BE5" w:rsidP="00D16B68">
            <w:pPr>
              <w:pBdr>
                <w:top w:val="nil"/>
                <w:left w:val="nil"/>
                <w:bottom w:val="nil"/>
                <w:right w:val="nil"/>
                <w:between w:val="nil"/>
              </w:pBdr>
              <w:rPr>
                <w:rFonts w:ascii="Calibri" w:hAnsi="Calibri" w:cs="Calibri"/>
                <w:color w:val="000000"/>
                <w:sz w:val="16"/>
                <w:szCs w:val="16"/>
                <w:lang w:eastAsia="fr-FR"/>
              </w:rPr>
            </w:pPr>
          </w:p>
          <w:p w14:paraId="1F0015A4" w14:textId="77777777" w:rsidR="001E4BE5" w:rsidRPr="00E11FFB" w:rsidRDefault="001E4BE5" w:rsidP="00D16B68">
            <w:pPr>
              <w:pBdr>
                <w:top w:val="nil"/>
                <w:left w:val="nil"/>
                <w:bottom w:val="nil"/>
                <w:right w:val="nil"/>
                <w:between w:val="nil"/>
              </w:pBdr>
              <w:rPr>
                <w:rFonts w:ascii="Calibri" w:hAnsi="Calibri" w:cs="Calibri"/>
                <w:color w:val="000000"/>
                <w:sz w:val="16"/>
                <w:szCs w:val="16"/>
                <w:lang w:eastAsia="fr-FR"/>
              </w:rPr>
            </w:pPr>
          </w:p>
          <w:p w14:paraId="13E8996A" w14:textId="77777777" w:rsidR="001E4BE5" w:rsidRPr="00E11FFB" w:rsidRDefault="001E4BE5" w:rsidP="00D16B68">
            <w:pPr>
              <w:pBdr>
                <w:top w:val="nil"/>
                <w:left w:val="nil"/>
                <w:bottom w:val="nil"/>
                <w:right w:val="nil"/>
                <w:between w:val="nil"/>
              </w:pBdr>
              <w:rPr>
                <w:rFonts w:ascii="Calibri" w:hAnsi="Calibri" w:cs="Calibri"/>
                <w:color w:val="000000"/>
                <w:sz w:val="16"/>
                <w:szCs w:val="16"/>
                <w:lang w:eastAsia="fr-FR"/>
              </w:rPr>
            </w:pPr>
          </w:p>
          <w:p w14:paraId="244C08FE" w14:textId="614AF6BD" w:rsidR="00D16B68" w:rsidRPr="00E11FFB" w:rsidRDefault="001E4BE5" w:rsidP="00D16B68">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Premier draft de définition des concepts proposés dans le cadre de projet de gestion durable de forêt (PGDF).</w:t>
            </w:r>
          </w:p>
        </w:tc>
        <w:tc>
          <w:tcPr>
            <w:tcW w:w="1493" w:type="dxa"/>
            <w:vAlign w:val="center"/>
          </w:tcPr>
          <w:p w14:paraId="4BF57CAB" w14:textId="483796E6"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Estimez à </w:t>
            </w:r>
            <w:r w:rsidR="006863B6" w:rsidRPr="00E11FFB">
              <w:rPr>
                <w:rFonts w:ascii="Calibri" w:hAnsi="Calibri" w:cs="Calibri"/>
                <w:color w:val="000000"/>
                <w:sz w:val="16"/>
                <w:szCs w:val="16"/>
                <w:lang w:eastAsia="fr-FR"/>
              </w:rPr>
              <w:t>7</w:t>
            </w:r>
            <w:r w:rsidRPr="00E11FFB">
              <w:rPr>
                <w:rFonts w:ascii="Calibri" w:hAnsi="Calibri" w:cs="Calibri"/>
                <w:color w:val="000000"/>
                <w:sz w:val="16"/>
                <w:szCs w:val="16"/>
                <w:lang w:eastAsia="fr-FR"/>
              </w:rPr>
              <w:t>0% de progression car il reste un Atelier de validation des statuts et règle de gestion de</w:t>
            </w:r>
            <w:r w:rsidR="001E4BE5" w:rsidRPr="00E11FFB">
              <w:rPr>
                <w:rFonts w:ascii="Calibri" w:hAnsi="Calibri" w:cs="Calibri"/>
                <w:color w:val="000000"/>
                <w:sz w:val="16"/>
                <w:szCs w:val="16"/>
                <w:lang w:eastAsia="fr-FR"/>
              </w:rPr>
              <w:t xml:space="preserve"> « forêts</w:t>
            </w:r>
            <w:r w:rsidRPr="00E11FFB">
              <w:rPr>
                <w:rFonts w:ascii="Calibri" w:hAnsi="Calibri" w:cs="Calibri"/>
                <w:color w:val="000000"/>
                <w:sz w:val="16"/>
                <w:szCs w:val="16"/>
                <w:lang w:eastAsia="fr-FR"/>
              </w:rPr>
              <w:t xml:space="preserve"> de grande valeur » et de « tourbières » et       </w:t>
            </w:r>
          </w:p>
          <w:p w14:paraId="459A8653" w14:textId="23BC76D4"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Prise d'actes juridiques : Décision définissant les règles de gestion et octroi de statut légal</w:t>
            </w:r>
          </w:p>
        </w:tc>
      </w:tr>
      <w:tr w:rsidR="00D16B68" w:rsidRPr="00E11FFB" w14:paraId="6E9469AE" w14:textId="77777777" w:rsidTr="00DB0400">
        <w:trPr>
          <w:trHeight w:val="337"/>
        </w:trPr>
        <w:tc>
          <w:tcPr>
            <w:tcW w:w="805" w:type="dxa"/>
            <w:vAlign w:val="center"/>
          </w:tcPr>
          <w:p w14:paraId="4FF7C9D1" w14:textId="4E93104D"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3.2 (jalon 4 i)</w:t>
            </w:r>
          </w:p>
        </w:tc>
        <w:tc>
          <w:tcPr>
            <w:tcW w:w="3330" w:type="dxa"/>
            <w:vAlign w:val="center"/>
          </w:tcPr>
          <w:p w14:paraId="70063CC0" w14:textId="52F4D676"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Une revue légale des titres de concessions forestière de conservation est finalisée d’ici [fin 2024], et prend en compte notamment les accords sur les clauses sociales, les plans de gestion et la fiscalité, en concertation avec les diverses parties prenantes dont la société civile ; ses résultats publiés aussitôt la revue finie.</w:t>
            </w:r>
          </w:p>
        </w:tc>
        <w:tc>
          <w:tcPr>
            <w:tcW w:w="3060" w:type="dxa"/>
            <w:vAlign w:val="center"/>
          </w:tcPr>
          <w:p w14:paraId="2D540B3A" w14:textId="77777777" w:rsidR="00D16B68"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TDRs du Recrutement d'un consultant est produits   </w:t>
            </w:r>
          </w:p>
          <w:p w14:paraId="2121F295" w14:textId="77777777" w:rsidR="00B40120" w:rsidRPr="00E11FFB" w:rsidRDefault="00D16B68"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Liste provisoire </w:t>
            </w:r>
            <w:r w:rsidR="00B40120" w:rsidRPr="00E11FFB">
              <w:rPr>
                <w:rFonts w:ascii="Calibri" w:hAnsi="Calibri" w:cs="Calibri"/>
                <w:color w:val="000000"/>
                <w:sz w:val="16"/>
                <w:szCs w:val="16"/>
                <w:lang w:eastAsia="fr-FR"/>
              </w:rPr>
              <w:t>des concessions</w:t>
            </w:r>
          </w:p>
          <w:p w14:paraId="3A558C2F" w14:textId="3CC4232B" w:rsidR="00D16B68" w:rsidRPr="00E11FFB" w:rsidRDefault="00B40120" w:rsidP="00D16B68">
            <w:pPr>
              <w:rPr>
                <w:rFonts w:ascii="Calibri" w:hAnsi="Calibri" w:cs="Calibri"/>
                <w:color w:val="000000"/>
                <w:sz w:val="16"/>
                <w:szCs w:val="16"/>
                <w:lang w:eastAsia="fr-FR"/>
              </w:rPr>
            </w:pPr>
            <w:r w:rsidRPr="00E11FFB">
              <w:rPr>
                <w:rFonts w:ascii="Calibri" w:hAnsi="Calibri" w:cs="Calibri"/>
                <w:color w:val="000000"/>
                <w:sz w:val="16"/>
                <w:szCs w:val="16"/>
                <w:lang w:eastAsia="fr-FR"/>
              </w:rPr>
              <w:t>F</w:t>
            </w:r>
            <w:r w:rsidR="00D16B68" w:rsidRPr="00E11FFB">
              <w:rPr>
                <w:rFonts w:ascii="Calibri" w:hAnsi="Calibri" w:cs="Calibri"/>
                <w:color w:val="000000"/>
                <w:sz w:val="16"/>
                <w:szCs w:val="16"/>
                <w:lang w:eastAsia="fr-FR"/>
              </w:rPr>
              <w:t>euille de route de collecte de données</w:t>
            </w:r>
            <w:r w:rsidR="00D16B68" w:rsidRPr="00E11FFB">
              <w:t xml:space="preserve"> </w:t>
            </w:r>
            <w:r w:rsidR="00D16B68" w:rsidRPr="00E11FFB">
              <w:rPr>
                <w:rFonts w:ascii="Calibri" w:hAnsi="Calibri" w:cs="Calibri"/>
                <w:sz w:val="16"/>
                <w:szCs w:val="16"/>
              </w:rPr>
              <w:t xml:space="preserve">pour la </w:t>
            </w:r>
            <w:r w:rsidR="00D16B68" w:rsidRPr="00E11FFB">
              <w:rPr>
                <w:rFonts w:ascii="Calibri" w:hAnsi="Calibri" w:cs="Calibri"/>
                <w:color w:val="000000"/>
                <w:sz w:val="16"/>
                <w:szCs w:val="16"/>
                <w:lang w:eastAsia="fr-FR"/>
              </w:rPr>
              <w:t>Publication de la liste des contrats de concessions de conservation attribuées,</w:t>
            </w:r>
          </w:p>
        </w:tc>
        <w:tc>
          <w:tcPr>
            <w:tcW w:w="1710" w:type="dxa"/>
          </w:tcPr>
          <w:p w14:paraId="18B8CD81" w14:textId="0BC5B64D" w:rsidR="00D16B68" w:rsidRPr="00E11FFB" w:rsidRDefault="008E7F71" w:rsidP="008E7F71">
            <w:pPr>
              <w:pBdr>
                <w:top w:val="nil"/>
                <w:left w:val="nil"/>
                <w:bottom w:val="nil"/>
                <w:right w:val="nil"/>
                <w:between w:val="nil"/>
              </w:pBdr>
              <w:ind w:left="0" w:firstLine="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Avril 2022 : mise en place d’une Commission Ministérielle de Revisitassions des contrats par arrêté 016/1 du </w:t>
            </w:r>
            <w:r w:rsidR="00BC62EA" w:rsidRPr="00E11FFB">
              <w:rPr>
                <w:rFonts w:ascii="Calibri" w:hAnsi="Calibri" w:cs="Calibri"/>
                <w:color w:val="000000"/>
                <w:sz w:val="16"/>
                <w:szCs w:val="16"/>
                <w:lang w:eastAsia="fr-FR"/>
              </w:rPr>
              <w:t>MEDD Mars</w:t>
            </w:r>
            <w:r w:rsidRPr="00E11FFB">
              <w:rPr>
                <w:rFonts w:ascii="Calibri" w:hAnsi="Calibri" w:cs="Calibri"/>
                <w:color w:val="000000"/>
                <w:sz w:val="16"/>
                <w:szCs w:val="16"/>
                <w:lang w:eastAsia="fr-FR"/>
              </w:rPr>
              <w:t xml:space="preserve"> 2023 ; </w:t>
            </w:r>
            <w:r w:rsidR="00B40120" w:rsidRPr="00E11FFB">
              <w:rPr>
                <w:rFonts w:ascii="Calibri" w:hAnsi="Calibri" w:cs="Calibri"/>
                <w:color w:val="000000"/>
                <w:sz w:val="16"/>
                <w:szCs w:val="16"/>
                <w:lang w:eastAsia="fr-FR"/>
              </w:rPr>
              <w:t>Carte de grandes affectations des terres de macro-zonage forestier avec les concessions</w:t>
            </w:r>
            <w:r w:rsidRPr="00E11FFB">
              <w:rPr>
                <w:rFonts w:ascii="Calibri" w:hAnsi="Calibri" w:cs="Calibri"/>
                <w:color w:val="000000"/>
                <w:sz w:val="16"/>
                <w:szCs w:val="16"/>
                <w:lang w:eastAsia="fr-FR"/>
              </w:rPr>
              <w:t xml:space="preserve"> ; </w:t>
            </w:r>
          </w:p>
        </w:tc>
        <w:tc>
          <w:tcPr>
            <w:tcW w:w="1493" w:type="dxa"/>
            <w:vAlign w:val="center"/>
          </w:tcPr>
          <w:p w14:paraId="4DA92F9D" w14:textId="749EB08A" w:rsidR="00D16B68" w:rsidRPr="00E11FFB" w:rsidRDefault="00D16B68" w:rsidP="00D16B68">
            <w:pPr>
              <w:rPr>
                <w:rFonts w:ascii="Calibri" w:hAnsi="Calibri" w:cs="Calibri"/>
                <w:color w:val="000000"/>
                <w:sz w:val="16"/>
                <w:szCs w:val="16"/>
                <w:lang w:eastAsia="fr-FR"/>
              </w:rPr>
            </w:pPr>
          </w:p>
        </w:tc>
      </w:tr>
      <w:tr w:rsidR="0086338E" w:rsidRPr="00E11FFB" w14:paraId="5E10B59E" w14:textId="77777777" w:rsidTr="003A6DE1">
        <w:trPr>
          <w:trHeight w:val="337"/>
        </w:trPr>
        <w:tc>
          <w:tcPr>
            <w:tcW w:w="805" w:type="dxa"/>
            <w:vAlign w:val="center"/>
          </w:tcPr>
          <w:p w14:paraId="5A05ACC3" w14:textId="20354249"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Produit 3.3 (Jalon 4 j)</w:t>
            </w:r>
          </w:p>
        </w:tc>
        <w:tc>
          <w:tcPr>
            <w:tcW w:w="3330" w:type="dxa"/>
            <w:vAlign w:val="center"/>
          </w:tcPr>
          <w:p w14:paraId="26C1980C" w14:textId="4D87AB68"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Le concept de forêt dégradée sera défini et identifié pour les divers types de forêts de la RDC, dans le cadre d’un processus national participatif et multi-sectoriel, d’ici fin 2023.</w:t>
            </w:r>
          </w:p>
        </w:tc>
        <w:tc>
          <w:tcPr>
            <w:tcW w:w="3060" w:type="dxa"/>
            <w:vAlign w:val="center"/>
          </w:tcPr>
          <w:p w14:paraId="4058A16D" w14:textId="701D5612" w:rsidR="0086338E" w:rsidRPr="00E11FFB" w:rsidRDefault="0086338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Commission mise en place par le SG pour une </w:t>
            </w:r>
            <w:r w:rsidR="00730C74" w:rsidRPr="00E11FFB">
              <w:rPr>
                <w:rFonts w:ascii="Calibri" w:hAnsi="Calibri" w:cs="Calibri"/>
                <w:color w:val="000000"/>
                <w:sz w:val="16"/>
                <w:szCs w:val="16"/>
                <w:lang w:eastAsia="fr-FR"/>
              </w:rPr>
              <w:t>e</w:t>
            </w:r>
            <w:r w:rsidRPr="00E11FFB">
              <w:rPr>
                <w:rFonts w:ascii="Calibri" w:hAnsi="Calibri" w:cs="Calibri"/>
                <w:color w:val="000000"/>
                <w:sz w:val="16"/>
                <w:szCs w:val="16"/>
                <w:lang w:eastAsia="fr-FR"/>
              </w:rPr>
              <w:t>xpertise d'appui à la définition et au processus participatif</w:t>
            </w:r>
          </w:p>
          <w:p w14:paraId="2335A505" w14:textId="646009E0"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Réunions de concertations tenues sur les variables/paramètres et leurs seuils à considérer dans la définition</w:t>
            </w:r>
          </w:p>
          <w:p w14:paraId="4E022714" w14:textId="62D45126" w:rsidR="0086338E" w:rsidRPr="00E11FFB" w:rsidRDefault="00730C74"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C</w:t>
            </w:r>
            <w:r w:rsidR="0086338E" w:rsidRPr="00E11FFB">
              <w:rPr>
                <w:rFonts w:ascii="Calibri" w:hAnsi="Calibri" w:cs="Calibri"/>
                <w:color w:val="000000"/>
                <w:sz w:val="16"/>
                <w:szCs w:val="16"/>
                <w:lang w:eastAsia="fr-FR"/>
              </w:rPr>
              <w:t xml:space="preserve">oncertations </w:t>
            </w:r>
            <w:r w:rsidRPr="00E11FFB">
              <w:rPr>
                <w:rFonts w:ascii="Calibri" w:hAnsi="Calibri" w:cs="Calibri"/>
                <w:color w:val="000000"/>
                <w:sz w:val="16"/>
                <w:szCs w:val="16"/>
                <w:lang w:eastAsia="fr-FR"/>
              </w:rPr>
              <w:t>provinciales sur les</w:t>
            </w:r>
            <w:r w:rsidR="0086338E" w:rsidRPr="00E11FFB">
              <w:rPr>
                <w:rFonts w:ascii="Calibri" w:hAnsi="Calibri" w:cs="Calibri"/>
                <w:color w:val="000000"/>
                <w:sz w:val="16"/>
                <w:szCs w:val="16"/>
                <w:lang w:eastAsia="fr-FR"/>
              </w:rPr>
              <w:t xml:space="preserve"> propositions de définition du concept.</w:t>
            </w:r>
          </w:p>
          <w:p w14:paraId="6BF2CAB7" w14:textId="7AF07D02" w:rsidR="0086338E" w:rsidRPr="00E11FFB" w:rsidRDefault="0086338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1 atelier de validation technique des concepts. </w:t>
            </w:r>
          </w:p>
        </w:tc>
        <w:tc>
          <w:tcPr>
            <w:tcW w:w="1710" w:type="dxa"/>
            <w:vAlign w:val="center"/>
          </w:tcPr>
          <w:p w14:paraId="2D81A928" w14:textId="77777777" w:rsidR="0086338E" w:rsidRPr="00E11FFB" w:rsidRDefault="0086338E" w:rsidP="0086338E">
            <w:pPr>
              <w:ind w:left="0"/>
              <w:rPr>
                <w:rFonts w:ascii="Calibri" w:hAnsi="Calibri" w:cs="Calibri"/>
                <w:color w:val="000000"/>
                <w:sz w:val="16"/>
                <w:szCs w:val="16"/>
                <w:lang w:eastAsia="fr-FR"/>
              </w:rPr>
            </w:pPr>
          </w:p>
          <w:p w14:paraId="06300C4F" w14:textId="01BFB10F" w:rsidR="0086338E" w:rsidRPr="00E11FFB" w:rsidRDefault="002062EE" w:rsidP="0086338E">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Feuille de route validée par le Conseil consultatif des forêts. </w:t>
            </w:r>
            <w:r w:rsidR="0086338E" w:rsidRPr="00E11FFB">
              <w:rPr>
                <w:rFonts w:ascii="Calibri" w:hAnsi="Calibri" w:cs="Calibri"/>
                <w:color w:val="000000"/>
                <w:sz w:val="16"/>
                <w:szCs w:val="16"/>
                <w:lang w:eastAsia="fr-FR"/>
              </w:rPr>
              <w:t>Premier draft de définition des concepts proposés dans le cadre de projet de gestion durable de forêt (PGDF).</w:t>
            </w:r>
            <w:r w:rsidRPr="00E11FFB">
              <w:t xml:space="preserve"> </w:t>
            </w:r>
          </w:p>
        </w:tc>
        <w:tc>
          <w:tcPr>
            <w:tcW w:w="1493" w:type="dxa"/>
          </w:tcPr>
          <w:p w14:paraId="62433055"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46A20DB0"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51F3E67D"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14DE232D"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28F8400E"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2D1A1E7F" w14:textId="00EA83B5" w:rsidR="0086338E" w:rsidRPr="00E11FFB" w:rsidRDefault="0086338E" w:rsidP="0086338E">
            <w:pPr>
              <w:rPr>
                <w:rFonts w:ascii="Calibri" w:hAnsi="Calibri" w:cs="Calibri"/>
                <w:color w:val="000000"/>
                <w:sz w:val="16"/>
                <w:szCs w:val="16"/>
                <w:lang w:eastAsia="fr-FR"/>
              </w:rPr>
            </w:pPr>
          </w:p>
        </w:tc>
      </w:tr>
      <w:tr w:rsidR="0086338E" w:rsidRPr="00E11FFB" w14:paraId="132906CC" w14:textId="77777777" w:rsidTr="00DB0400">
        <w:trPr>
          <w:trHeight w:val="337"/>
        </w:trPr>
        <w:tc>
          <w:tcPr>
            <w:tcW w:w="805" w:type="dxa"/>
            <w:vAlign w:val="center"/>
          </w:tcPr>
          <w:p w14:paraId="62B2C300" w14:textId="73253A93"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FF0000"/>
                <w:sz w:val="16"/>
                <w:szCs w:val="16"/>
                <w:lang w:eastAsia="fr-FR"/>
              </w:rPr>
              <w:t>Produit 3.1 (jalons 4 k)</w:t>
            </w:r>
          </w:p>
        </w:tc>
        <w:tc>
          <w:tcPr>
            <w:tcW w:w="3330" w:type="dxa"/>
            <w:vAlign w:val="center"/>
          </w:tcPr>
          <w:p w14:paraId="7EEFB029" w14:textId="0A8D821D"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Le concept de forêts de grande valeur et des tourbières est défini au travers d’un processus participatif et multisectoriel, en tenant compte des bonnes pratiques locales, nationales et internationales sur la prise en compte et la valorisation des stocks de carbone et des valeurs de biodiversité d’ici [fin 2023].</w:t>
            </w:r>
          </w:p>
        </w:tc>
        <w:tc>
          <w:tcPr>
            <w:tcW w:w="3060" w:type="dxa"/>
            <w:vAlign w:val="center"/>
          </w:tcPr>
          <w:p w14:paraId="49A88A66" w14:textId="4931C4AF" w:rsidR="002062EE" w:rsidRPr="00E11FFB" w:rsidRDefault="002062EE" w:rsidP="002062E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Première proposition de définition, </w:t>
            </w:r>
            <w:r w:rsidR="00A55495" w:rsidRPr="00E11FFB">
              <w:rPr>
                <w:rFonts w:ascii="Calibri" w:hAnsi="Calibri" w:cs="Calibri"/>
                <w:color w:val="000000"/>
                <w:sz w:val="16"/>
                <w:szCs w:val="16"/>
                <w:lang w:eastAsia="fr-FR"/>
              </w:rPr>
              <w:t>l</w:t>
            </w:r>
            <w:r w:rsidRPr="00E11FFB">
              <w:rPr>
                <w:rFonts w:ascii="Calibri" w:hAnsi="Calibri" w:cs="Calibri"/>
                <w:color w:val="000000"/>
                <w:sz w:val="16"/>
                <w:szCs w:val="16"/>
                <w:lang w:eastAsia="fr-FR"/>
              </w:rPr>
              <w:t>es concertations provinciales sur les propositions de définition des concepts</w:t>
            </w:r>
          </w:p>
          <w:p w14:paraId="4C461AF1" w14:textId="07C94854" w:rsidR="0086338E" w:rsidRPr="00E11FFB" w:rsidRDefault="002062EE" w:rsidP="002062E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1 atelier de validation technique des concepts. </w:t>
            </w:r>
          </w:p>
        </w:tc>
        <w:tc>
          <w:tcPr>
            <w:tcW w:w="1710" w:type="dxa"/>
          </w:tcPr>
          <w:p w14:paraId="62BB3F3D" w14:textId="4D4679AE" w:rsidR="0086338E" w:rsidRPr="00E11FFB" w:rsidRDefault="00F72319" w:rsidP="0086338E">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Un projet d'arrêté ministériel incluant une définition produit par PGDF, 4 missions de consolidation ont été réalisées. </w:t>
            </w:r>
          </w:p>
        </w:tc>
        <w:tc>
          <w:tcPr>
            <w:tcW w:w="1493" w:type="dxa"/>
            <w:vAlign w:val="center"/>
          </w:tcPr>
          <w:p w14:paraId="4A8CB5D8" w14:textId="77777777" w:rsidR="0086338E" w:rsidRPr="00E11FFB" w:rsidRDefault="0086338E" w:rsidP="0086338E">
            <w:pPr>
              <w:rPr>
                <w:rFonts w:ascii="Calibri" w:hAnsi="Calibri" w:cs="Calibri"/>
                <w:color w:val="000000"/>
                <w:sz w:val="16"/>
                <w:szCs w:val="16"/>
                <w:lang w:eastAsia="fr-FR"/>
              </w:rPr>
            </w:pPr>
          </w:p>
        </w:tc>
      </w:tr>
      <w:tr w:rsidR="0086338E" w:rsidRPr="00E11FFB" w14:paraId="61FF2AE1" w14:textId="77777777" w:rsidTr="00DB0400">
        <w:trPr>
          <w:trHeight w:val="337"/>
        </w:trPr>
        <w:tc>
          <w:tcPr>
            <w:tcW w:w="805" w:type="dxa"/>
            <w:vAlign w:val="center"/>
          </w:tcPr>
          <w:p w14:paraId="174F04E5" w14:textId="7B7655B9" w:rsidR="0086338E" w:rsidRPr="00E11FFB" w:rsidRDefault="0086338E" w:rsidP="0086338E">
            <w:pPr>
              <w:rPr>
                <w:rFonts w:ascii="Calibri" w:hAnsi="Calibri" w:cs="Calibri"/>
                <w:color w:val="FF0000"/>
                <w:sz w:val="16"/>
                <w:szCs w:val="16"/>
                <w:lang w:eastAsia="fr-FR"/>
              </w:rPr>
            </w:pPr>
            <w:r w:rsidRPr="00E11FFB">
              <w:rPr>
                <w:rFonts w:ascii="Calibri" w:hAnsi="Calibri" w:cs="Calibri"/>
                <w:color w:val="000000"/>
                <w:sz w:val="16"/>
                <w:szCs w:val="16"/>
                <w:lang w:eastAsia="fr-FR"/>
              </w:rPr>
              <w:t>Produit 6.1 (ITIE)</w:t>
            </w:r>
          </w:p>
        </w:tc>
        <w:tc>
          <w:tcPr>
            <w:tcW w:w="3330" w:type="dxa"/>
            <w:vAlign w:val="center"/>
          </w:tcPr>
          <w:p w14:paraId="4D7B93CA" w14:textId="5A048E61"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Le secteur Forêt est clairement et fortement intégré dans l’Initiative pour la Transparence dans les Industries Extractives (l’ITIE) et à ce titre, tous les contrats de concessions d’exploitation industrielle et de conservation, y compris les rapports d’audit21, de revue et des missions d’observation, sont publiés sur un site internet disponible publiquement d’ici [fin 2022].</w:t>
            </w:r>
          </w:p>
        </w:tc>
        <w:tc>
          <w:tcPr>
            <w:tcW w:w="3060" w:type="dxa"/>
            <w:vAlign w:val="center"/>
          </w:tcPr>
          <w:p w14:paraId="62672A03" w14:textId="638175F8" w:rsidR="0086338E" w:rsidRPr="00E11FFB" w:rsidRDefault="00A55495" w:rsidP="00A55495">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1</w:t>
            </w:r>
            <w:r w:rsidR="00D0581C" w:rsidRPr="00E11FFB">
              <w:rPr>
                <w:rFonts w:ascii="Calibri" w:hAnsi="Calibri" w:cs="Calibri"/>
                <w:color w:val="000000"/>
                <w:sz w:val="16"/>
                <w:szCs w:val="16"/>
                <w:lang w:eastAsia="fr-FR"/>
              </w:rPr>
              <w:t>6</w:t>
            </w:r>
            <w:r w:rsidRPr="00E11FFB">
              <w:rPr>
                <w:rFonts w:ascii="Calibri" w:hAnsi="Calibri" w:cs="Calibri"/>
                <w:color w:val="000000"/>
                <w:sz w:val="16"/>
                <w:szCs w:val="16"/>
                <w:lang w:eastAsia="fr-FR"/>
              </w:rPr>
              <w:t xml:space="preserve"> a</w:t>
            </w:r>
            <w:r w:rsidR="0086338E" w:rsidRPr="00E11FFB">
              <w:rPr>
                <w:rFonts w:ascii="Calibri" w:hAnsi="Calibri" w:cs="Calibri"/>
                <w:color w:val="000000"/>
                <w:sz w:val="16"/>
                <w:szCs w:val="16"/>
                <w:lang w:eastAsia="fr-FR"/>
              </w:rPr>
              <w:t xml:space="preserve">teliers de sensibilisation </w:t>
            </w:r>
            <w:r w:rsidRPr="00E11FFB">
              <w:rPr>
                <w:rFonts w:ascii="Calibri" w:hAnsi="Calibri" w:cs="Calibri"/>
                <w:color w:val="000000"/>
                <w:sz w:val="16"/>
                <w:szCs w:val="16"/>
                <w:lang w:eastAsia="fr-FR"/>
              </w:rPr>
              <w:t xml:space="preserve">et de renforcement en capacités des opérateurs du secteur forestier, tenus dans </w:t>
            </w:r>
            <w:r w:rsidR="00D0581C" w:rsidRPr="00E11FFB">
              <w:rPr>
                <w:rFonts w:ascii="Calibri" w:hAnsi="Calibri" w:cs="Calibri"/>
                <w:color w:val="000000"/>
                <w:sz w:val="16"/>
                <w:szCs w:val="16"/>
                <w:lang w:eastAsia="fr-FR"/>
              </w:rPr>
              <w:t>8</w:t>
            </w:r>
            <w:r w:rsidRPr="00E11FFB">
              <w:rPr>
                <w:rFonts w:ascii="Calibri" w:hAnsi="Calibri" w:cs="Calibri"/>
                <w:color w:val="000000"/>
                <w:sz w:val="16"/>
                <w:szCs w:val="16"/>
                <w:lang w:eastAsia="fr-FR"/>
              </w:rPr>
              <w:t xml:space="preserve"> provinces sur l’intégration de l’ITIE dans l’exploitation forestière ainsi que sur le code forestier et ses mesures d’application dans le secteur forestier</w:t>
            </w:r>
            <w:r w:rsidR="00B51D02" w:rsidRPr="00E11FFB">
              <w:rPr>
                <w:rFonts w:ascii="Calibri" w:hAnsi="Calibri" w:cs="Calibri"/>
                <w:color w:val="000000"/>
                <w:sz w:val="16"/>
                <w:szCs w:val="16"/>
                <w:lang w:eastAsia="fr-FR"/>
              </w:rPr>
              <w:t xml:space="preserve">. </w:t>
            </w:r>
          </w:p>
          <w:p w14:paraId="18E19AFB" w14:textId="6BFB26A5" w:rsidR="00B51D02" w:rsidRPr="00E11FFB" w:rsidRDefault="00B51D02" w:rsidP="00D0581C">
            <w:pPr>
              <w:rPr>
                <w:rFonts w:ascii="Calibri" w:hAnsi="Calibri" w:cs="Calibri"/>
                <w:color w:val="000000"/>
                <w:sz w:val="16"/>
                <w:szCs w:val="16"/>
                <w:lang w:eastAsia="fr-FR"/>
              </w:rPr>
            </w:pPr>
            <w:r w:rsidRPr="00E11FFB">
              <w:rPr>
                <w:rFonts w:ascii="Calibri" w:hAnsi="Calibri" w:cs="Calibri"/>
                <w:color w:val="000000"/>
                <w:sz w:val="16"/>
                <w:szCs w:val="16"/>
                <w:lang w:eastAsia="fr-FR"/>
              </w:rPr>
              <w:t>Identification des contrats disponibles au ST/ITIE-RDC (Etat des lieux)</w:t>
            </w:r>
          </w:p>
        </w:tc>
        <w:tc>
          <w:tcPr>
            <w:tcW w:w="1710" w:type="dxa"/>
          </w:tcPr>
          <w:p w14:paraId="369702CD"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489DAAFE" w14:textId="77777777" w:rsidR="00A55495" w:rsidRPr="00E11FFB" w:rsidRDefault="00A55495" w:rsidP="00A55495">
            <w:pPr>
              <w:rPr>
                <w:rFonts w:ascii="Calibri" w:hAnsi="Calibri" w:cs="Calibri"/>
                <w:sz w:val="16"/>
                <w:szCs w:val="16"/>
                <w:lang w:eastAsia="fr-FR"/>
              </w:rPr>
            </w:pPr>
          </w:p>
          <w:p w14:paraId="4CC398C2" w14:textId="77777777" w:rsidR="00A55495" w:rsidRPr="00E11FFB" w:rsidRDefault="00A55495" w:rsidP="00A55495">
            <w:pPr>
              <w:rPr>
                <w:rFonts w:ascii="Calibri" w:hAnsi="Calibri" w:cs="Calibri"/>
                <w:sz w:val="16"/>
                <w:szCs w:val="16"/>
                <w:lang w:eastAsia="fr-FR"/>
              </w:rPr>
            </w:pPr>
          </w:p>
          <w:p w14:paraId="7BB272BC" w14:textId="77777777" w:rsidR="00A55495" w:rsidRPr="00E11FFB" w:rsidRDefault="00A55495" w:rsidP="00A55495">
            <w:pPr>
              <w:jc w:val="left"/>
              <w:rPr>
                <w:rFonts w:ascii="Calibri" w:hAnsi="Calibri" w:cs="Calibri"/>
                <w:sz w:val="16"/>
                <w:szCs w:val="16"/>
                <w:lang w:eastAsia="fr-FR"/>
              </w:rPr>
            </w:pPr>
          </w:p>
        </w:tc>
        <w:tc>
          <w:tcPr>
            <w:tcW w:w="1493" w:type="dxa"/>
            <w:vAlign w:val="center"/>
          </w:tcPr>
          <w:p w14:paraId="72B69857" w14:textId="77777777" w:rsidR="0086338E" w:rsidRPr="00E11FFB" w:rsidRDefault="0086338E" w:rsidP="00A55495">
            <w:pPr>
              <w:rPr>
                <w:rFonts w:ascii="Calibri" w:hAnsi="Calibri" w:cs="Calibri"/>
                <w:color w:val="000000"/>
                <w:sz w:val="16"/>
                <w:szCs w:val="16"/>
                <w:lang w:eastAsia="fr-FR"/>
              </w:rPr>
            </w:pPr>
          </w:p>
        </w:tc>
      </w:tr>
      <w:tr w:rsidR="0086338E" w:rsidRPr="00E11FFB" w14:paraId="035EC36D" w14:textId="77777777" w:rsidTr="00DB0400">
        <w:trPr>
          <w:trHeight w:val="337"/>
        </w:trPr>
        <w:tc>
          <w:tcPr>
            <w:tcW w:w="805" w:type="dxa"/>
            <w:vAlign w:val="center"/>
          </w:tcPr>
          <w:p w14:paraId="5A118126" w14:textId="4AFF11E8"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Produit 3.4 (Jalon 4 m)</w:t>
            </w:r>
          </w:p>
        </w:tc>
        <w:tc>
          <w:tcPr>
            <w:tcW w:w="3330" w:type="dxa"/>
            <w:vAlign w:val="center"/>
          </w:tcPr>
          <w:p w14:paraId="6C9471C8" w14:textId="28C1C549"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Evaluer l’efficacité du contrôle forestier et développer sur cette base des stratégies provinciales de priorisation des contrôles basées sur le risque d’illégalité afin d’assurer une utilisation plus efficace des ressources limitées des services centraux, déconcentrés et décentralisés du MEDD dédiées au contrôle forestier. En parallèle, initier une réflexion sur le rôle de l’observation indépendante mandatée et non-mandatée dans le cadre du Conseil consultatif des forêts pour renforcer le soutien de la société civile au contrôle forestier, en coordination avec les services centraux, déconcentrés et décentralisés du MEDD.</w:t>
            </w:r>
          </w:p>
        </w:tc>
        <w:tc>
          <w:tcPr>
            <w:tcW w:w="3060" w:type="dxa"/>
            <w:vAlign w:val="center"/>
          </w:tcPr>
          <w:p w14:paraId="15DE03D7" w14:textId="13438F60" w:rsidR="0086338E" w:rsidRPr="00E11FFB" w:rsidRDefault="00633571"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Ce jalon est aligné au PTBA 2026 de la nouvelle phase de PGDF. </w:t>
            </w:r>
          </w:p>
        </w:tc>
        <w:tc>
          <w:tcPr>
            <w:tcW w:w="1710" w:type="dxa"/>
          </w:tcPr>
          <w:p w14:paraId="5F31BB78" w14:textId="2302C4E2" w:rsidR="00633571" w:rsidRPr="00E11FFB" w:rsidRDefault="00633571" w:rsidP="00633571">
            <w:pPr>
              <w:rPr>
                <w:rFonts w:ascii="Calibri" w:hAnsi="Calibri" w:cs="Calibri"/>
                <w:sz w:val="16"/>
                <w:szCs w:val="16"/>
                <w:lang w:eastAsia="fr-FR"/>
              </w:rPr>
            </w:pPr>
            <w:r w:rsidRPr="00E11FFB">
              <w:rPr>
                <w:rFonts w:ascii="Calibri" w:hAnsi="Calibri" w:cs="Calibri"/>
                <w:sz w:val="16"/>
                <w:szCs w:val="16"/>
                <w:lang w:eastAsia="fr-FR"/>
              </w:rPr>
              <w:t>Production de 4 documents :</w:t>
            </w:r>
          </w:p>
          <w:p w14:paraId="11F1E029" w14:textId="63F4A7B3" w:rsidR="00633571" w:rsidRPr="00E11FFB" w:rsidRDefault="00633571" w:rsidP="00633571">
            <w:pPr>
              <w:rPr>
                <w:rFonts w:ascii="Calibri" w:hAnsi="Calibri" w:cs="Calibri"/>
                <w:sz w:val="16"/>
                <w:szCs w:val="16"/>
                <w:lang w:eastAsia="fr-FR"/>
              </w:rPr>
            </w:pPr>
            <w:r w:rsidRPr="00E11FFB">
              <w:rPr>
                <w:rFonts w:ascii="Calibri" w:hAnsi="Calibri" w:cs="Calibri"/>
                <w:sz w:val="16"/>
                <w:szCs w:val="16"/>
                <w:lang w:eastAsia="fr-FR"/>
              </w:rPr>
              <w:t>Guide pour l’OI ;</w:t>
            </w:r>
          </w:p>
          <w:p w14:paraId="07313826" w14:textId="395F5BDC" w:rsidR="00633571" w:rsidRPr="00E11FFB" w:rsidRDefault="00633571" w:rsidP="00633571">
            <w:pPr>
              <w:ind w:left="10" w:firstLine="0"/>
              <w:rPr>
                <w:rFonts w:ascii="Calibri" w:hAnsi="Calibri" w:cs="Calibri"/>
                <w:sz w:val="16"/>
                <w:szCs w:val="16"/>
                <w:lang w:eastAsia="fr-FR"/>
              </w:rPr>
            </w:pPr>
            <w:r w:rsidRPr="00E11FFB">
              <w:rPr>
                <w:rFonts w:ascii="Calibri" w:hAnsi="Calibri" w:cs="Calibri"/>
                <w:sz w:val="16"/>
                <w:szCs w:val="16"/>
                <w:lang w:eastAsia="fr-FR"/>
              </w:rPr>
              <w:t>Rapport d’évaluation et développement de modalités de mise en œuvre du mandat de l’OI ;</w:t>
            </w:r>
          </w:p>
          <w:p w14:paraId="0643C693" w14:textId="5193E7F5" w:rsidR="00633571" w:rsidRPr="00E11FFB" w:rsidRDefault="00633571" w:rsidP="00633571">
            <w:pPr>
              <w:ind w:left="10" w:firstLine="0"/>
              <w:rPr>
                <w:rFonts w:ascii="Calibri" w:hAnsi="Calibri" w:cs="Calibri"/>
                <w:sz w:val="16"/>
                <w:szCs w:val="16"/>
                <w:lang w:eastAsia="fr-FR"/>
              </w:rPr>
            </w:pPr>
            <w:r w:rsidRPr="00E11FFB">
              <w:rPr>
                <w:rFonts w:ascii="Calibri" w:hAnsi="Calibri" w:cs="Calibri"/>
                <w:sz w:val="16"/>
                <w:szCs w:val="16"/>
                <w:lang w:eastAsia="fr-FR"/>
              </w:rPr>
              <w:t>Feuille de route pour l’OI</w:t>
            </w:r>
          </w:p>
          <w:p w14:paraId="7FA64C78" w14:textId="00D1210A" w:rsidR="00633571" w:rsidRPr="00E11FFB" w:rsidRDefault="00633571" w:rsidP="00633571">
            <w:pPr>
              <w:rPr>
                <w:rFonts w:ascii="Calibri" w:hAnsi="Calibri" w:cs="Calibri"/>
                <w:sz w:val="16"/>
                <w:szCs w:val="16"/>
                <w:lang w:eastAsia="fr-FR"/>
              </w:rPr>
            </w:pPr>
            <w:r w:rsidRPr="00E11FFB">
              <w:rPr>
                <w:rFonts w:ascii="Calibri" w:hAnsi="Calibri" w:cs="Calibri"/>
                <w:sz w:val="16"/>
                <w:szCs w:val="16"/>
                <w:lang w:eastAsia="fr-FR"/>
              </w:rPr>
              <w:t xml:space="preserve">4. Cahier des charges de l’observateur indépendant. </w:t>
            </w:r>
          </w:p>
        </w:tc>
        <w:tc>
          <w:tcPr>
            <w:tcW w:w="1493" w:type="dxa"/>
            <w:vAlign w:val="center"/>
          </w:tcPr>
          <w:p w14:paraId="7531678F" w14:textId="6F21C1AA" w:rsidR="0086338E" w:rsidRPr="00E11FFB" w:rsidRDefault="0086338E" w:rsidP="0086338E">
            <w:pPr>
              <w:rPr>
                <w:rFonts w:ascii="Calibri" w:hAnsi="Calibri" w:cs="Calibri"/>
                <w:color w:val="000000"/>
                <w:sz w:val="16"/>
                <w:szCs w:val="16"/>
                <w:highlight w:val="yellow"/>
                <w:lang w:eastAsia="fr-FR"/>
              </w:rPr>
            </w:pPr>
            <w:r w:rsidRPr="00E11FFB">
              <w:rPr>
                <w:rFonts w:ascii="Calibri" w:hAnsi="Calibri" w:cs="Calibri"/>
                <w:color w:val="000000"/>
                <w:sz w:val="16"/>
                <w:szCs w:val="16"/>
                <w:lang w:eastAsia="fr-FR"/>
              </w:rPr>
              <w:t>Jalon pris en charge totalement par le PGDF), pour mémoire et suivi</w:t>
            </w:r>
          </w:p>
        </w:tc>
      </w:tr>
      <w:tr w:rsidR="0086338E" w:rsidRPr="00E11FFB" w14:paraId="31F51FE6" w14:textId="77777777" w:rsidTr="00DB0400">
        <w:trPr>
          <w:trHeight w:val="337"/>
        </w:trPr>
        <w:tc>
          <w:tcPr>
            <w:tcW w:w="805" w:type="dxa"/>
            <w:vAlign w:val="center"/>
          </w:tcPr>
          <w:p w14:paraId="0EAA68BF" w14:textId="7D58997A"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3.5 (jalon 4 n) </w:t>
            </w:r>
          </w:p>
        </w:tc>
        <w:tc>
          <w:tcPr>
            <w:tcW w:w="3330" w:type="dxa"/>
            <w:vAlign w:val="center"/>
          </w:tcPr>
          <w:p w14:paraId="3A8118FD" w14:textId="6819EA48"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La politique forestière est élaborée et adoptée d’ici [fin 2023], résultant d’un processus participatif et transparent avec toutes les parties prenantes et intégrant notamment (i) les principes d’Aménagement du Territoire et de la préservation des forêts de grande valeur et des tourbières, ainsi que (ii) des modèles locaux et communautaires de gestion des forêts.</w:t>
            </w:r>
          </w:p>
        </w:tc>
        <w:tc>
          <w:tcPr>
            <w:tcW w:w="3060" w:type="dxa"/>
            <w:vAlign w:val="center"/>
          </w:tcPr>
          <w:p w14:paraId="6B7A98B1" w14:textId="499DB7AC" w:rsidR="0086338E" w:rsidRPr="00E11FFB" w:rsidRDefault="0086338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Retraite</w:t>
            </w:r>
            <w:r w:rsidR="00886DC4" w:rsidRPr="00E11FFB">
              <w:rPr>
                <w:rFonts w:ascii="Calibri" w:hAnsi="Calibri" w:cs="Calibri"/>
                <w:color w:val="000000"/>
                <w:sz w:val="16"/>
                <w:szCs w:val="16"/>
                <w:lang w:eastAsia="fr-FR"/>
              </w:rPr>
              <w:t>s</w:t>
            </w:r>
            <w:r w:rsidRPr="00E11FFB">
              <w:rPr>
                <w:rFonts w:ascii="Calibri" w:hAnsi="Calibri" w:cs="Calibri"/>
                <w:color w:val="000000"/>
                <w:sz w:val="16"/>
                <w:szCs w:val="16"/>
                <w:lang w:eastAsia="fr-FR"/>
              </w:rPr>
              <w:t xml:space="preserve"> de consolidation des données et finalisation du rapport des assises des états généraux</w:t>
            </w:r>
            <w:r w:rsidR="00A3750A" w:rsidRPr="00E11FFB">
              <w:rPr>
                <w:rFonts w:ascii="Calibri" w:hAnsi="Calibri" w:cs="Calibri"/>
                <w:color w:val="000000"/>
                <w:sz w:val="16"/>
                <w:szCs w:val="16"/>
                <w:lang w:eastAsia="fr-FR"/>
              </w:rPr>
              <w:t xml:space="preserve">. </w:t>
            </w:r>
          </w:p>
          <w:p w14:paraId="59409E22" w14:textId="63B742CD" w:rsidR="0086338E" w:rsidRPr="00E11FFB" w:rsidRDefault="0086338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Des actes des états généraux sont disponible et </w:t>
            </w:r>
            <w:r w:rsidR="00A3750A" w:rsidRPr="00E11FFB">
              <w:rPr>
                <w:rFonts w:ascii="Calibri" w:hAnsi="Calibri" w:cs="Calibri"/>
                <w:color w:val="000000"/>
                <w:sz w:val="16"/>
                <w:szCs w:val="16"/>
                <w:lang w:eastAsia="fr-FR"/>
              </w:rPr>
              <w:t xml:space="preserve">devraient être </w:t>
            </w:r>
            <w:r w:rsidRPr="00E11FFB">
              <w:rPr>
                <w:rFonts w:ascii="Calibri" w:hAnsi="Calibri" w:cs="Calibri"/>
                <w:color w:val="000000"/>
                <w:sz w:val="16"/>
                <w:szCs w:val="16"/>
                <w:lang w:eastAsia="fr-FR"/>
              </w:rPr>
              <w:t>publiés   sur le site web du MEDD</w:t>
            </w:r>
          </w:p>
          <w:p w14:paraId="58A07C64" w14:textId="74993759" w:rsidR="00A3750A" w:rsidRPr="00E11FFB" w:rsidRDefault="00A3750A"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Document V2 disponible pour la validation technique (TDRs élaborés)</w:t>
            </w:r>
          </w:p>
          <w:p w14:paraId="05A88532" w14:textId="7189E348" w:rsidR="0086338E" w:rsidRPr="00E11FFB" w:rsidRDefault="0086338E" w:rsidP="00F57C6B">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Contrat de consultance en cours la réalisation de l'EESS du document de Politique</w:t>
            </w:r>
            <w:r w:rsidR="00A3750A" w:rsidRPr="00E11FFB">
              <w:rPr>
                <w:rFonts w:ascii="Calibri" w:hAnsi="Calibri" w:cs="Calibri"/>
                <w:color w:val="000000"/>
                <w:sz w:val="16"/>
                <w:szCs w:val="16"/>
                <w:lang w:eastAsia="fr-FR"/>
              </w:rPr>
              <w:t xml:space="preserve">. </w:t>
            </w:r>
          </w:p>
        </w:tc>
        <w:tc>
          <w:tcPr>
            <w:tcW w:w="1710" w:type="dxa"/>
          </w:tcPr>
          <w:p w14:paraId="469492D1" w14:textId="1196A168" w:rsidR="00A3750A" w:rsidRPr="00E11FFB" w:rsidRDefault="00A3750A" w:rsidP="00A3750A">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Séances d'harmonisation et consolidation de la feuille de route d'élaboration de la politique organisé. </w:t>
            </w:r>
          </w:p>
          <w:p w14:paraId="2A8FADED" w14:textId="77777777" w:rsidR="00A3750A" w:rsidRPr="00E11FFB" w:rsidRDefault="00A3750A" w:rsidP="00A3750A">
            <w:pPr>
              <w:ind w:left="0"/>
              <w:rPr>
                <w:rFonts w:ascii="Calibri" w:hAnsi="Calibri" w:cs="Calibri"/>
                <w:color w:val="000000"/>
                <w:sz w:val="16"/>
                <w:szCs w:val="16"/>
                <w:lang w:eastAsia="fr-FR"/>
              </w:rPr>
            </w:pPr>
          </w:p>
          <w:p w14:paraId="2792D1F5" w14:textId="60853688" w:rsidR="00A3750A" w:rsidRPr="00E11FFB" w:rsidRDefault="00A3750A" w:rsidP="00A3750A">
            <w:pPr>
              <w:ind w:left="0"/>
              <w:rPr>
                <w:rFonts w:ascii="Calibri" w:hAnsi="Calibri" w:cs="Calibri"/>
                <w:color w:val="000000"/>
                <w:sz w:val="16"/>
                <w:szCs w:val="16"/>
                <w:lang w:eastAsia="fr-FR"/>
              </w:rPr>
            </w:pPr>
            <w:hyperlink r:id="rId27" w:history="1">
              <w:r w:rsidRPr="00E11FFB">
                <w:rPr>
                  <w:rFonts w:ascii="Calibri" w:hAnsi="Calibri" w:cs="Calibri"/>
                  <w:sz w:val="16"/>
                  <w:szCs w:val="16"/>
                  <w:lang w:eastAsia="fr-FR"/>
                </w:rPr>
                <w:t xml:space="preserve">Consultations provinciales réalisées dans 26 provinces sur la V1 </w:t>
              </w:r>
            </w:hyperlink>
          </w:p>
          <w:p w14:paraId="42481FB0" w14:textId="77777777" w:rsidR="00A3750A" w:rsidRPr="00E11FFB" w:rsidRDefault="00A3750A" w:rsidP="00A3750A">
            <w:pPr>
              <w:jc w:val="center"/>
              <w:rPr>
                <w:rFonts w:ascii="Calibri" w:hAnsi="Calibri" w:cs="Calibri"/>
                <w:sz w:val="16"/>
                <w:szCs w:val="16"/>
                <w:lang w:eastAsia="fr-FR"/>
              </w:rPr>
            </w:pPr>
          </w:p>
        </w:tc>
        <w:tc>
          <w:tcPr>
            <w:tcW w:w="1493" w:type="dxa"/>
            <w:vAlign w:val="center"/>
          </w:tcPr>
          <w:p w14:paraId="056294DA" w14:textId="4DE138CF" w:rsidR="0086338E" w:rsidRPr="00E11FFB" w:rsidRDefault="00487AFB" w:rsidP="0086338E">
            <w:pPr>
              <w:rPr>
                <w:rFonts w:ascii="Calibri" w:hAnsi="Calibri" w:cs="Calibri"/>
                <w:color w:val="000000"/>
                <w:sz w:val="16"/>
                <w:szCs w:val="16"/>
                <w:highlight w:val="yellow"/>
                <w:lang w:eastAsia="fr-FR"/>
              </w:rPr>
            </w:pPr>
            <w:r w:rsidRPr="00E11FFB">
              <w:rPr>
                <w:rFonts w:ascii="Calibri" w:hAnsi="Calibri" w:cs="Calibri"/>
                <w:color w:val="000000"/>
                <w:sz w:val="16"/>
                <w:szCs w:val="16"/>
                <w:lang w:eastAsia="fr-FR"/>
              </w:rPr>
              <w:t>8</w:t>
            </w:r>
            <w:r w:rsidR="0086338E" w:rsidRPr="00E11FFB">
              <w:rPr>
                <w:rFonts w:ascii="Calibri" w:hAnsi="Calibri" w:cs="Calibri"/>
                <w:color w:val="000000"/>
                <w:sz w:val="16"/>
                <w:szCs w:val="16"/>
                <w:lang w:eastAsia="fr-FR"/>
              </w:rPr>
              <w:t>0% de progression car il reste la Vulgarisation du document de politique après adoption en conseil de ministres</w:t>
            </w:r>
          </w:p>
        </w:tc>
      </w:tr>
      <w:tr w:rsidR="0086338E" w:rsidRPr="00E11FFB" w14:paraId="28F1F0EF" w14:textId="77777777" w:rsidTr="00DB0400">
        <w:trPr>
          <w:trHeight w:val="337"/>
        </w:trPr>
        <w:tc>
          <w:tcPr>
            <w:tcW w:w="805" w:type="dxa"/>
            <w:vAlign w:val="center"/>
          </w:tcPr>
          <w:p w14:paraId="5E31C2C2" w14:textId="6EFA8442"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3.6 (Jalon 4 o) </w:t>
            </w:r>
          </w:p>
        </w:tc>
        <w:tc>
          <w:tcPr>
            <w:tcW w:w="3330" w:type="dxa"/>
            <w:vAlign w:val="center"/>
          </w:tcPr>
          <w:p w14:paraId="36097AD9" w14:textId="2D957F19"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Le Code forestier est révisé d’ici [fin 2023] pour intégrer (i) les orientations stratégiques de la politique forestière, y compris les avancées et les défis liés à la REDD+, à la gestion industrielle, artisanale et communautaire des forêts ; (ii) le renforcement de la pénalisation des infractions forestières et fauniques ; et (iii) les nouvelles dynamiques de conservation, de protection de la biodiversité et des solutions fondées sur la nature.</w:t>
            </w:r>
          </w:p>
        </w:tc>
        <w:tc>
          <w:tcPr>
            <w:tcW w:w="3060" w:type="dxa"/>
            <w:vAlign w:val="center"/>
          </w:tcPr>
          <w:p w14:paraId="127EB661" w14:textId="72EE36DD" w:rsidR="0086338E" w:rsidRPr="00E11FFB" w:rsidRDefault="0086338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Séances d'harmonisation et consolidation de la feuille de route de la révision du Code forestier</w:t>
            </w:r>
            <w:r w:rsidR="00466A9E" w:rsidRPr="00E11FFB">
              <w:rPr>
                <w:rFonts w:ascii="Calibri" w:hAnsi="Calibri" w:cs="Calibri"/>
                <w:color w:val="000000"/>
                <w:sz w:val="16"/>
                <w:szCs w:val="16"/>
                <w:lang w:eastAsia="fr-FR"/>
              </w:rPr>
              <w:t xml:space="preserve"> ; </w:t>
            </w:r>
          </w:p>
          <w:p w14:paraId="36F607D9" w14:textId="67259D12" w:rsidR="00466A9E" w:rsidRPr="00E11FFB" w:rsidRDefault="00466A9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CCNF organisé pour la validation de la feuille de route finale. </w:t>
            </w:r>
          </w:p>
          <w:p w14:paraId="1E1FEEF7" w14:textId="77777777" w:rsidR="00466A9E" w:rsidRPr="00E11FFB" w:rsidRDefault="0086338E" w:rsidP="00487AFB">
            <w:pPr>
              <w:rPr>
                <w:rFonts w:ascii="Calibri" w:hAnsi="Calibri" w:cs="Calibri"/>
                <w:color w:val="000000"/>
                <w:sz w:val="16"/>
                <w:szCs w:val="16"/>
                <w:lang w:eastAsia="fr-FR"/>
              </w:rPr>
            </w:pPr>
            <w:r w:rsidRPr="00E11FFB">
              <w:rPr>
                <w:rFonts w:ascii="Calibri" w:hAnsi="Calibri" w:cs="Calibri"/>
                <w:color w:val="000000"/>
                <w:sz w:val="16"/>
                <w:szCs w:val="16"/>
                <w:lang w:eastAsia="fr-FR"/>
              </w:rPr>
              <w:t>Expertise d'appui à la révision du Code forestier</w:t>
            </w:r>
            <w:r w:rsidR="00466A9E" w:rsidRPr="00E11FFB">
              <w:rPr>
                <w:rFonts w:ascii="Calibri" w:hAnsi="Calibri" w:cs="Calibri"/>
                <w:color w:val="000000"/>
                <w:sz w:val="16"/>
                <w:szCs w:val="16"/>
                <w:lang w:eastAsia="fr-FR"/>
              </w:rPr>
              <w:t xml:space="preserve"> à travers la mise en place d’une task-force multi acteurs ; </w:t>
            </w:r>
          </w:p>
          <w:p w14:paraId="24BA9FAA" w14:textId="480F5961" w:rsidR="00487AFB" w:rsidRPr="00E11FFB" w:rsidRDefault="00487AFB" w:rsidP="00487AFB">
            <w:pPr>
              <w:rPr>
                <w:rFonts w:ascii="Calibri" w:hAnsi="Calibri" w:cs="Calibri"/>
                <w:color w:val="000000"/>
                <w:sz w:val="16"/>
                <w:szCs w:val="16"/>
                <w:lang w:eastAsia="fr-FR"/>
              </w:rPr>
            </w:pPr>
            <w:r w:rsidRPr="00E11FFB">
              <w:rPr>
                <w:rFonts w:ascii="Calibri" w:hAnsi="Calibri" w:cs="Calibri"/>
                <w:color w:val="000000"/>
                <w:sz w:val="16"/>
                <w:szCs w:val="16"/>
                <w:lang w:eastAsia="fr-FR"/>
              </w:rPr>
              <w:t>Atelier de concertation des directions MEDD sur la révision du code forestier</w:t>
            </w:r>
          </w:p>
        </w:tc>
        <w:tc>
          <w:tcPr>
            <w:tcW w:w="1710" w:type="dxa"/>
          </w:tcPr>
          <w:p w14:paraId="0AD117BB"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p w14:paraId="0CB14D38" w14:textId="77777777" w:rsidR="00FD25D6" w:rsidRPr="00E11FFB" w:rsidRDefault="00FD25D6" w:rsidP="00FD25D6">
            <w:pPr>
              <w:rPr>
                <w:rFonts w:ascii="Calibri" w:hAnsi="Calibri" w:cs="Calibri"/>
                <w:sz w:val="16"/>
                <w:szCs w:val="16"/>
                <w:lang w:eastAsia="fr-FR"/>
              </w:rPr>
            </w:pPr>
          </w:p>
          <w:p w14:paraId="66AF5308" w14:textId="77777777" w:rsidR="00FD25D6" w:rsidRPr="00E11FFB" w:rsidRDefault="00FD25D6" w:rsidP="00FD25D6">
            <w:pPr>
              <w:rPr>
                <w:rFonts w:ascii="Calibri" w:hAnsi="Calibri" w:cs="Calibri"/>
                <w:sz w:val="16"/>
                <w:szCs w:val="16"/>
                <w:lang w:eastAsia="fr-FR"/>
              </w:rPr>
            </w:pPr>
          </w:p>
          <w:p w14:paraId="05BDECBD" w14:textId="77777777" w:rsidR="00FD25D6" w:rsidRPr="00E11FFB" w:rsidRDefault="00FD25D6" w:rsidP="00FD25D6">
            <w:pPr>
              <w:rPr>
                <w:rFonts w:ascii="Calibri" w:hAnsi="Calibri" w:cs="Calibri"/>
                <w:color w:val="000000"/>
                <w:sz w:val="16"/>
                <w:szCs w:val="16"/>
                <w:lang w:eastAsia="fr-FR"/>
              </w:rPr>
            </w:pPr>
          </w:p>
          <w:p w14:paraId="33E5612B" w14:textId="77777777" w:rsidR="00FD25D6" w:rsidRPr="00E11FFB" w:rsidRDefault="00FD25D6" w:rsidP="00FD25D6">
            <w:pPr>
              <w:jc w:val="left"/>
              <w:rPr>
                <w:rFonts w:ascii="Calibri" w:hAnsi="Calibri" w:cs="Calibri"/>
                <w:sz w:val="16"/>
                <w:szCs w:val="16"/>
                <w:lang w:eastAsia="fr-FR"/>
              </w:rPr>
            </w:pPr>
          </w:p>
        </w:tc>
        <w:tc>
          <w:tcPr>
            <w:tcW w:w="1493" w:type="dxa"/>
            <w:vAlign w:val="center"/>
          </w:tcPr>
          <w:p w14:paraId="64BC5ABD" w14:textId="73BC12CD" w:rsidR="0086338E" w:rsidRPr="00E11FFB" w:rsidRDefault="0086338E" w:rsidP="0086338E">
            <w:pPr>
              <w:rPr>
                <w:rFonts w:ascii="Calibri" w:hAnsi="Calibri" w:cs="Calibri"/>
                <w:color w:val="000000"/>
                <w:sz w:val="16"/>
                <w:szCs w:val="16"/>
                <w:highlight w:val="yellow"/>
                <w:lang w:eastAsia="fr-FR"/>
              </w:rPr>
            </w:pPr>
          </w:p>
        </w:tc>
      </w:tr>
      <w:tr w:rsidR="0086338E" w:rsidRPr="00E11FFB" w14:paraId="296B7507" w14:textId="77777777" w:rsidTr="00DB0400">
        <w:trPr>
          <w:trHeight w:val="337"/>
        </w:trPr>
        <w:tc>
          <w:tcPr>
            <w:tcW w:w="805" w:type="dxa"/>
            <w:vAlign w:val="center"/>
          </w:tcPr>
          <w:p w14:paraId="1E094927" w14:textId="6CD5B7A1"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Produit 3.7 (Jalon 4 p) :</w:t>
            </w:r>
          </w:p>
        </w:tc>
        <w:tc>
          <w:tcPr>
            <w:tcW w:w="3330" w:type="dxa"/>
            <w:vAlign w:val="center"/>
          </w:tcPr>
          <w:p w14:paraId="65480F25" w14:textId="5E90E5AE"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Dans le cadre de l’allocation de nouvelles concessions forestières industrielles, les mesures efficaces d’évaluation, les standards de qualité et les procédures prévues par le Code forestier et ses mesures d’application (notamment le Décret n° 08/09 du 08 août 2008 fixant la procédure d’attribution des concessions forestières et le Décret n°011/25 du 20 mai 2011 modifiant ledit Décret n° 08/09 du 08 août 2008) en termes notamment (i) d’adjudication, (ii) d’enquête publique préalable, (iii) de négociation des clauses sociales avec les communautés dans le cadre du cahier des charges, et (iv) d’observation indépendante du processus, sont respectés, comme prévu dans le cadre réglementaire de gestion des forêts.</w:t>
            </w:r>
          </w:p>
        </w:tc>
        <w:tc>
          <w:tcPr>
            <w:tcW w:w="3060" w:type="dxa"/>
            <w:vAlign w:val="center"/>
          </w:tcPr>
          <w:p w14:paraId="1879DE34" w14:textId="5D3D4A20" w:rsidR="0086338E" w:rsidRPr="00E11FFB" w:rsidRDefault="00FD25D6"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Ce jalon est aligné au PTBA 2026 de la nouvelle phase de PGDF.</w:t>
            </w:r>
          </w:p>
        </w:tc>
        <w:tc>
          <w:tcPr>
            <w:tcW w:w="1710" w:type="dxa"/>
          </w:tcPr>
          <w:p w14:paraId="40CE7885"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4F9F32C4" w14:textId="7C6FF705"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Jalon pris en charge totalement par le PGDF)</w:t>
            </w:r>
          </w:p>
        </w:tc>
      </w:tr>
      <w:tr w:rsidR="0086338E" w:rsidRPr="00E11FFB" w14:paraId="0A42BE65" w14:textId="77777777" w:rsidTr="00DB0400">
        <w:trPr>
          <w:trHeight w:val="337"/>
        </w:trPr>
        <w:tc>
          <w:tcPr>
            <w:tcW w:w="805" w:type="dxa"/>
            <w:vAlign w:val="center"/>
          </w:tcPr>
          <w:p w14:paraId="2E2E808C" w14:textId="646C6972"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3.8 (Jalon 4 q) </w:t>
            </w:r>
          </w:p>
        </w:tc>
        <w:tc>
          <w:tcPr>
            <w:tcW w:w="3330" w:type="dxa"/>
            <w:vAlign w:val="center"/>
          </w:tcPr>
          <w:p w14:paraId="49064AA8" w14:textId="26A0A1B8"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Le décret formalisant la levée du moratoire sera adopté seulement après la réalisation, sur base d’un processus consultatif, d’une programmation géographique22 des futures allocations en adéquation avec le Décret Présidentiel n° 05/116 du 24 octobre 2005, entièrement financée par CAFI d’ici fin 2022.</w:t>
            </w:r>
          </w:p>
        </w:tc>
        <w:tc>
          <w:tcPr>
            <w:tcW w:w="3060" w:type="dxa"/>
            <w:vAlign w:val="center"/>
          </w:tcPr>
          <w:p w14:paraId="4EC78A37" w14:textId="77777777" w:rsidR="0086338E" w:rsidRPr="00E11FFB" w:rsidRDefault="0086338E"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Commission sur la programmation géographique est mise en place par le SG CCNF</w:t>
            </w:r>
          </w:p>
          <w:p w14:paraId="3E38FEB1" w14:textId="5049147F" w:rsidR="00FD25D6" w:rsidRPr="00E11FFB" w:rsidRDefault="00FD25D6"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Production des cartes macro-zonage</w:t>
            </w:r>
          </w:p>
          <w:p w14:paraId="68337228" w14:textId="1B181092" w:rsidR="00FD25D6" w:rsidRPr="00E11FFB" w:rsidRDefault="00FD25D6" w:rsidP="0086338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Validation technique des cartes de macro-zonage, </w:t>
            </w:r>
          </w:p>
          <w:p w14:paraId="116AFA08" w14:textId="51D1F1F6" w:rsidR="00FD25D6" w:rsidRPr="00E11FFB" w:rsidRDefault="00FD25D6" w:rsidP="00DC3614">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Premier draft du décret </w:t>
            </w:r>
          </w:p>
        </w:tc>
        <w:tc>
          <w:tcPr>
            <w:tcW w:w="1710" w:type="dxa"/>
          </w:tcPr>
          <w:p w14:paraId="2B76F1AF"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2F0FBFED" w14:textId="77777777" w:rsidR="0086338E" w:rsidRPr="00E11FFB" w:rsidRDefault="0086338E" w:rsidP="00284522">
            <w:pPr>
              <w:rPr>
                <w:rFonts w:ascii="Calibri" w:hAnsi="Calibri" w:cs="Calibri"/>
                <w:color w:val="000000"/>
                <w:sz w:val="16"/>
                <w:szCs w:val="16"/>
                <w:lang w:eastAsia="fr-FR"/>
              </w:rPr>
            </w:pPr>
          </w:p>
        </w:tc>
      </w:tr>
      <w:tr w:rsidR="0086338E" w:rsidRPr="00E11FFB" w14:paraId="0D878117" w14:textId="77777777" w:rsidTr="00DB0400">
        <w:trPr>
          <w:trHeight w:val="337"/>
        </w:trPr>
        <w:tc>
          <w:tcPr>
            <w:tcW w:w="805" w:type="dxa"/>
            <w:vAlign w:val="center"/>
          </w:tcPr>
          <w:p w14:paraId="13F3C964" w14:textId="58ACAF0F"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3.9 (Jalon 4 r) </w:t>
            </w:r>
          </w:p>
        </w:tc>
        <w:tc>
          <w:tcPr>
            <w:tcW w:w="3330" w:type="dxa"/>
            <w:vAlign w:val="center"/>
          </w:tcPr>
          <w:p w14:paraId="0A81CFDB" w14:textId="016FD8AD" w:rsidR="0086338E" w:rsidRPr="00E11FFB" w:rsidRDefault="0086338E"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Élaborer de manière participative et adopter un Plan d’ici [fin 2022] pour assurer la protection effective des aires protégées existantes et étendre les espaces sous statut de protection à 30%, au minimum du territoire national d’ici à 2030</w:t>
            </w:r>
          </w:p>
        </w:tc>
        <w:tc>
          <w:tcPr>
            <w:tcW w:w="3060" w:type="dxa"/>
            <w:vAlign w:val="center"/>
          </w:tcPr>
          <w:p w14:paraId="1D6FF864" w14:textId="30449232" w:rsidR="00E55817" w:rsidRPr="00E11FFB" w:rsidRDefault="00E55817"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Diagnostic des aires protégées produit et validé techniquement</w:t>
            </w:r>
          </w:p>
          <w:p w14:paraId="5BD9AFA8" w14:textId="77777777" w:rsidR="00E55817" w:rsidRPr="00E11FFB" w:rsidRDefault="00E55817"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La </w:t>
            </w:r>
            <w:r w:rsidR="0086338E" w:rsidRPr="00E11FFB">
              <w:rPr>
                <w:rFonts w:ascii="Calibri" w:hAnsi="Calibri" w:cs="Calibri"/>
                <w:color w:val="000000"/>
                <w:sz w:val="16"/>
                <w:szCs w:val="16"/>
                <w:lang w:eastAsia="fr-FR"/>
              </w:rPr>
              <w:t xml:space="preserve">SPANB 2025-2030 </w:t>
            </w:r>
            <w:r w:rsidRPr="00E11FFB">
              <w:rPr>
                <w:rFonts w:ascii="Calibri" w:hAnsi="Calibri" w:cs="Calibri"/>
                <w:color w:val="000000"/>
                <w:sz w:val="16"/>
                <w:szCs w:val="16"/>
                <w:lang w:eastAsia="fr-FR"/>
              </w:rPr>
              <w:t xml:space="preserve">publiée </w:t>
            </w:r>
          </w:p>
          <w:p w14:paraId="310FC5D3" w14:textId="5FD5BCA5" w:rsidR="0086338E" w:rsidRPr="00E11FFB" w:rsidRDefault="00E55817" w:rsidP="0086338E">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Création du couloir vert pour étendre les espaces sous </w:t>
            </w:r>
            <w:r w:rsidR="00044680" w:rsidRPr="00E11FFB">
              <w:rPr>
                <w:rFonts w:ascii="Calibri" w:hAnsi="Calibri" w:cs="Calibri"/>
                <w:color w:val="000000"/>
                <w:sz w:val="16"/>
                <w:szCs w:val="16"/>
                <w:lang w:eastAsia="fr-FR"/>
              </w:rPr>
              <w:t>statuts</w:t>
            </w:r>
            <w:r w:rsidRPr="00E11FFB">
              <w:rPr>
                <w:rFonts w:ascii="Calibri" w:hAnsi="Calibri" w:cs="Calibri"/>
                <w:color w:val="000000"/>
                <w:sz w:val="16"/>
                <w:szCs w:val="16"/>
                <w:lang w:eastAsia="fr-FR"/>
              </w:rPr>
              <w:t xml:space="preserve"> de protection en RDC</w:t>
            </w:r>
          </w:p>
        </w:tc>
        <w:tc>
          <w:tcPr>
            <w:tcW w:w="1710" w:type="dxa"/>
          </w:tcPr>
          <w:p w14:paraId="014BF865" w14:textId="77777777" w:rsidR="0086338E" w:rsidRPr="00E11FFB" w:rsidRDefault="0086338E" w:rsidP="0086338E">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345DCCD3" w14:textId="60AF3BAF" w:rsidR="0086338E" w:rsidRPr="00E11FFB" w:rsidRDefault="0086338E" w:rsidP="0086338E">
            <w:pPr>
              <w:rPr>
                <w:rFonts w:ascii="Calibri" w:hAnsi="Calibri" w:cs="Calibri"/>
                <w:color w:val="000000"/>
                <w:sz w:val="16"/>
                <w:szCs w:val="16"/>
                <w:lang w:eastAsia="fr-FR"/>
              </w:rPr>
            </w:pPr>
          </w:p>
        </w:tc>
      </w:tr>
      <w:tr w:rsidR="00863ED8" w:rsidRPr="00E11FFB" w14:paraId="50C20D1D" w14:textId="77777777" w:rsidTr="00DB0400">
        <w:trPr>
          <w:trHeight w:val="337"/>
        </w:trPr>
        <w:tc>
          <w:tcPr>
            <w:tcW w:w="805" w:type="dxa"/>
            <w:vAlign w:val="center"/>
          </w:tcPr>
          <w:p w14:paraId="6F5F74AB" w14:textId="45DBC2A6"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3.10 (jalon 4 s) : </w:t>
            </w:r>
          </w:p>
        </w:tc>
        <w:tc>
          <w:tcPr>
            <w:tcW w:w="3330" w:type="dxa"/>
            <w:vAlign w:val="center"/>
          </w:tcPr>
          <w:p w14:paraId="3C0BA5C1" w14:textId="47B72F24"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s. Élaborer et adopter un guide de bonne pratique d’ici fin 2023, en vue d’atteindre 5 millions d’hectares au total de Concessions Forestières des Forêts des Communautés Locales (CFCL) d’ici à fin 2031.</w:t>
            </w:r>
          </w:p>
        </w:tc>
        <w:tc>
          <w:tcPr>
            <w:tcW w:w="3060" w:type="dxa"/>
            <w:vAlign w:val="center"/>
          </w:tcPr>
          <w:p w14:paraId="25E2AAAA" w14:textId="63FA3E85"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Ce jalon est aligné au PTBA 2026 de la nouvelle phase de PGDF.</w:t>
            </w:r>
          </w:p>
        </w:tc>
        <w:tc>
          <w:tcPr>
            <w:tcW w:w="1710" w:type="dxa"/>
          </w:tcPr>
          <w:p w14:paraId="391374E6"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14D88063" w14:textId="746B2600"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Jalon pris en charge totalement par le PGDF)</w:t>
            </w:r>
          </w:p>
        </w:tc>
      </w:tr>
      <w:tr w:rsidR="00863ED8" w:rsidRPr="00E11FFB" w14:paraId="1D0C3048" w14:textId="77777777" w:rsidTr="00DB0400">
        <w:trPr>
          <w:trHeight w:val="337"/>
        </w:trPr>
        <w:tc>
          <w:tcPr>
            <w:tcW w:w="805" w:type="dxa"/>
            <w:vAlign w:val="center"/>
          </w:tcPr>
          <w:p w14:paraId="707F6CE0" w14:textId="4E98E350"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3.11 (Jalon 4 t)</w:t>
            </w:r>
          </w:p>
        </w:tc>
        <w:tc>
          <w:tcPr>
            <w:tcW w:w="3330" w:type="dxa"/>
            <w:vAlign w:val="center"/>
          </w:tcPr>
          <w:p w14:paraId="6380CACE" w14:textId="1C81723C"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t. Les données de déforestation et de dégradation des forêts générées à l’échelle nationale et provinciale par le SNSF, ainsi que les données [clés] de l’inventaire forestier  national, sont mises à jour annuellement et améliorées graduellement, après adoption d’une méthodologie unique pour la RDC, tenant compte des nouvelles technologies et standards disponibles, en portant attention à la comparabilité entre périodes ; elles sont mises à disposition sur la plateforme Terra Congo d’ici [fin 2022] puis annuellement.</w:t>
            </w:r>
          </w:p>
        </w:tc>
        <w:tc>
          <w:tcPr>
            <w:tcW w:w="3060" w:type="dxa"/>
            <w:vAlign w:val="center"/>
          </w:tcPr>
          <w:p w14:paraId="5EF11D5F" w14:textId="7D4A8C86" w:rsidR="00863ED8" w:rsidRPr="00E11FFB" w:rsidRDefault="0000149F" w:rsidP="00863ED8">
            <w:pPr>
              <w:rPr>
                <w:rFonts w:ascii="Calibri" w:hAnsi="Calibri" w:cs="Calibri"/>
                <w:color w:val="000000"/>
                <w:sz w:val="16"/>
                <w:szCs w:val="16"/>
                <w:highlight w:val="yellow"/>
                <w:lang w:eastAsia="fr-FR"/>
              </w:rPr>
            </w:pPr>
            <w:r w:rsidRPr="002142A2">
              <w:rPr>
                <w:rFonts w:ascii="Calibri" w:hAnsi="Calibri" w:cs="Calibri"/>
                <w:color w:val="000000"/>
                <w:sz w:val="16"/>
                <w:szCs w:val="16"/>
                <w:lang w:eastAsia="fr-FR"/>
              </w:rPr>
              <w:t xml:space="preserve">Retraite organisée pour la production de données de déforestation et de dégradation des forêts. </w:t>
            </w:r>
          </w:p>
        </w:tc>
        <w:tc>
          <w:tcPr>
            <w:tcW w:w="1710" w:type="dxa"/>
          </w:tcPr>
          <w:p w14:paraId="0EDCC676" w14:textId="77777777" w:rsidR="0000149F" w:rsidRPr="00E11FFB" w:rsidRDefault="0000149F" w:rsidP="0000149F">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Arrêté n°023 du MEDD du 6 Mai 2022 instituant l'évaluation et la diffusion biennale des données statistiques sur la déforestation et la dégradation des forêts et chargeant la DIAF de la publication </w:t>
            </w:r>
          </w:p>
          <w:p w14:paraId="46B646D4" w14:textId="77777777" w:rsidR="0000149F" w:rsidRPr="00E11FFB" w:rsidRDefault="0000149F" w:rsidP="0000149F">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Données 2015-2020 disponibles (mais non publiées sur le site du Système National de Surveillance Forestière – SNSF – site fonctionnel) </w:t>
            </w:r>
          </w:p>
          <w:p w14:paraId="59C80210" w14:textId="77777777" w:rsidR="0000149F" w:rsidRPr="00E11FFB" w:rsidRDefault="0000149F" w:rsidP="0000149F">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Les données 2021-2022 seront produites en 2023. '- Prévu dans le Prodoc PAAJ (validation Copil Novembre 2024); </w:t>
            </w:r>
          </w:p>
          <w:p w14:paraId="690411DA" w14:textId="77777777" w:rsidR="0000149F" w:rsidRPr="00E11FFB" w:rsidRDefault="0000149F" w:rsidP="0000149F">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Actes de Etats généraux de forêt     Commission mise en place par le SG pour l’inventaire forestier national.    </w:t>
            </w:r>
          </w:p>
          <w:p w14:paraId="3822ED8C" w14:textId="5C2DC391" w:rsidR="00863ED8" w:rsidRPr="00E11FFB" w:rsidRDefault="0000149F" w:rsidP="0000149F">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Rapports des travaux Appui au traitement et à l'analyse des données et à la production du rapport de l'inventaire forestier national à publier.</w:t>
            </w:r>
          </w:p>
        </w:tc>
        <w:tc>
          <w:tcPr>
            <w:tcW w:w="1493" w:type="dxa"/>
            <w:vAlign w:val="center"/>
          </w:tcPr>
          <w:p w14:paraId="2BCE1BC5" w14:textId="77777777" w:rsidR="00863ED8" w:rsidRPr="00E11FFB" w:rsidRDefault="00863ED8" w:rsidP="00863ED8">
            <w:pPr>
              <w:rPr>
                <w:rFonts w:ascii="Calibri" w:hAnsi="Calibri" w:cs="Calibri"/>
                <w:color w:val="000000"/>
                <w:sz w:val="16"/>
                <w:szCs w:val="16"/>
                <w:lang w:eastAsia="fr-FR"/>
              </w:rPr>
            </w:pPr>
          </w:p>
        </w:tc>
      </w:tr>
      <w:tr w:rsidR="00863ED8" w:rsidRPr="00E11FFB" w14:paraId="72987251" w14:textId="77777777" w:rsidTr="00DB0400">
        <w:trPr>
          <w:trHeight w:val="337"/>
        </w:trPr>
        <w:tc>
          <w:tcPr>
            <w:tcW w:w="805" w:type="dxa"/>
            <w:vAlign w:val="center"/>
          </w:tcPr>
          <w:p w14:paraId="39A950DF" w14:textId="182F55FB"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3.12 (Jalon 4 u) </w:t>
            </w:r>
          </w:p>
        </w:tc>
        <w:tc>
          <w:tcPr>
            <w:tcW w:w="3330" w:type="dxa"/>
            <w:vAlign w:val="center"/>
          </w:tcPr>
          <w:p w14:paraId="2F9041E5" w14:textId="308F25BD"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u. Les Rapports biennaux actualisés (BUR) sont soumis à la CCNUCC, intégrant les données les plus à jour issues du processus national REDD+, en tenant compte de la CDN révisée.</w:t>
            </w:r>
          </w:p>
        </w:tc>
        <w:tc>
          <w:tcPr>
            <w:tcW w:w="3060" w:type="dxa"/>
            <w:vAlign w:val="center"/>
          </w:tcPr>
          <w:p w14:paraId="4C3CC196" w14:textId="4CE7E27D"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Equipements installés, </w:t>
            </w:r>
            <w:r w:rsidR="003A1162" w:rsidRPr="00E11FFB">
              <w:rPr>
                <w:rFonts w:ascii="Calibri" w:hAnsi="Calibri" w:cs="Calibri"/>
                <w:color w:val="000000"/>
                <w:sz w:val="16"/>
                <w:szCs w:val="16"/>
                <w:lang w:eastAsia="fr-FR"/>
              </w:rPr>
              <w:t xml:space="preserve">atelier sur les données pour le </w:t>
            </w:r>
            <w:r w:rsidRPr="002142A2">
              <w:rPr>
                <w:rFonts w:ascii="Calibri" w:hAnsi="Calibri" w:cs="Calibri"/>
                <w:color w:val="000000"/>
                <w:sz w:val="16"/>
                <w:szCs w:val="16"/>
                <w:lang w:eastAsia="fr-FR"/>
              </w:rPr>
              <w:t xml:space="preserve">rapport 2025 </w:t>
            </w:r>
            <w:r w:rsidR="003A1162" w:rsidRPr="002142A2">
              <w:rPr>
                <w:rFonts w:ascii="Calibri" w:hAnsi="Calibri" w:cs="Calibri"/>
                <w:color w:val="000000"/>
                <w:sz w:val="16"/>
                <w:szCs w:val="16"/>
                <w:lang w:eastAsia="fr-FR"/>
              </w:rPr>
              <w:t>du</w:t>
            </w:r>
            <w:r w:rsidRPr="002142A2">
              <w:rPr>
                <w:rFonts w:ascii="Calibri" w:hAnsi="Calibri" w:cs="Calibri"/>
                <w:color w:val="000000"/>
                <w:sz w:val="16"/>
                <w:szCs w:val="16"/>
                <w:lang w:eastAsia="fr-FR"/>
              </w:rPr>
              <w:t xml:space="preserve"> 17 décembre 2025</w:t>
            </w:r>
          </w:p>
        </w:tc>
        <w:tc>
          <w:tcPr>
            <w:tcW w:w="1710" w:type="dxa"/>
          </w:tcPr>
          <w:p w14:paraId="2BBED8A8"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6B8BF08E" w14:textId="77777777" w:rsidR="00863ED8" w:rsidRPr="00E11FFB" w:rsidRDefault="00863ED8" w:rsidP="00863ED8">
            <w:pPr>
              <w:rPr>
                <w:rFonts w:ascii="Calibri" w:hAnsi="Calibri" w:cs="Calibri"/>
                <w:color w:val="000000"/>
                <w:sz w:val="16"/>
                <w:szCs w:val="16"/>
                <w:lang w:eastAsia="fr-FR"/>
              </w:rPr>
            </w:pPr>
          </w:p>
        </w:tc>
      </w:tr>
      <w:tr w:rsidR="00863ED8" w:rsidRPr="00E11FFB" w14:paraId="5E28AAA6" w14:textId="77777777" w:rsidTr="00DB0400">
        <w:trPr>
          <w:trHeight w:val="337"/>
        </w:trPr>
        <w:tc>
          <w:tcPr>
            <w:tcW w:w="805" w:type="dxa"/>
            <w:vAlign w:val="center"/>
          </w:tcPr>
          <w:p w14:paraId="3D794C02" w14:textId="0EA650F3"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3.13 (jalon 4 v)</w:t>
            </w:r>
          </w:p>
        </w:tc>
        <w:tc>
          <w:tcPr>
            <w:tcW w:w="3330" w:type="dxa"/>
            <w:vAlign w:val="center"/>
          </w:tcPr>
          <w:p w14:paraId="7165BB98" w14:textId="3A9DB9B8"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v. Le Conseil Consultatif National des Forêts est opérationnel et fonctionnel à raison de deux sessions minimums par an, et des Conseils Consultatifs Provinciaux des Forêts sont fonctionnels dans les provinces PIREDD d’ici [fin 2024], avec au moins deux sessions par an.</w:t>
            </w:r>
          </w:p>
        </w:tc>
        <w:tc>
          <w:tcPr>
            <w:tcW w:w="3060" w:type="dxa"/>
            <w:vAlign w:val="center"/>
          </w:tcPr>
          <w:p w14:paraId="1EEBB6EE" w14:textId="54D7EC66"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Equipements installés Appui matériels du CCNF</w:t>
            </w:r>
            <w:r w:rsidR="006507C0" w:rsidRPr="00E11FFB">
              <w:rPr>
                <w:rFonts w:ascii="Calibri" w:hAnsi="Calibri" w:cs="Calibri"/>
                <w:color w:val="000000"/>
                <w:sz w:val="16"/>
                <w:szCs w:val="16"/>
                <w:lang w:eastAsia="fr-FR"/>
              </w:rPr>
              <w:t xml:space="preserve">. </w:t>
            </w:r>
          </w:p>
          <w:p w14:paraId="66DAB25F" w14:textId="5B616AF0" w:rsidR="006507C0" w:rsidRPr="00E11FFB" w:rsidRDefault="006507C0"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1 réunion extraordinaire tenue le 30 décembre 2025 sur la feuille de route code forestier.</w:t>
            </w:r>
          </w:p>
        </w:tc>
        <w:tc>
          <w:tcPr>
            <w:tcW w:w="1710" w:type="dxa"/>
          </w:tcPr>
          <w:p w14:paraId="0209F002"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03F80D73" w14:textId="77777777" w:rsidR="00863ED8" w:rsidRPr="00E11FFB" w:rsidRDefault="00863ED8" w:rsidP="00863ED8">
            <w:pPr>
              <w:rPr>
                <w:rFonts w:ascii="Calibri" w:hAnsi="Calibri" w:cs="Calibri"/>
                <w:color w:val="000000"/>
                <w:sz w:val="16"/>
                <w:szCs w:val="16"/>
                <w:lang w:eastAsia="fr-FR"/>
              </w:rPr>
            </w:pPr>
          </w:p>
        </w:tc>
      </w:tr>
      <w:tr w:rsidR="00863ED8" w:rsidRPr="00E11FFB" w14:paraId="3EA5EC29" w14:textId="77777777" w:rsidTr="00DB0400">
        <w:trPr>
          <w:trHeight w:val="337"/>
        </w:trPr>
        <w:tc>
          <w:tcPr>
            <w:tcW w:w="805" w:type="dxa"/>
            <w:vAlign w:val="center"/>
          </w:tcPr>
          <w:p w14:paraId="6FA13B64" w14:textId="77777777" w:rsidR="00863ED8" w:rsidRPr="00E11FFB" w:rsidRDefault="00863ED8" w:rsidP="00863ED8">
            <w:pPr>
              <w:rPr>
                <w:rFonts w:ascii="Calibri" w:hAnsi="Calibri" w:cs="Calibri"/>
                <w:color w:val="000000"/>
                <w:sz w:val="16"/>
                <w:szCs w:val="16"/>
                <w:lang w:eastAsia="fr-FR"/>
              </w:rPr>
            </w:pPr>
          </w:p>
        </w:tc>
        <w:tc>
          <w:tcPr>
            <w:tcW w:w="3330" w:type="dxa"/>
            <w:vAlign w:val="center"/>
          </w:tcPr>
          <w:p w14:paraId="17705820" w14:textId="680BFCD9"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w. La CDN révisée est alignée sur les données les plus récentes issues du processus national REDD+, avant d’être soumise à la CCNUCC et le pays répond aux engagements de communication auprès de la CCNUCC de manière régulière.</w:t>
            </w:r>
          </w:p>
        </w:tc>
        <w:tc>
          <w:tcPr>
            <w:tcW w:w="3060" w:type="dxa"/>
            <w:vAlign w:val="center"/>
          </w:tcPr>
          <w:p w14:paraId="4BF19393" w14:textId="5805012B" w:rsidR="00863ED8" w:rsidRPr="00E11FFB" w:rsidRDefault="00863ED8" w:rsidP="00863ED8">
            <w:pPr>
              <w:ind w:left="0" w:firstLine="0"/>
              <w:rPr>
                <w:rFonts w:ascii="Calibri" w:hAnsi="Calibri" w:cs="Calibri"/>
                <w:color w:val="000000"/>
                <w:sz w:val="16"/>
                <w:szCs w:val="16"/>
                <w:lang w:eastAsia="fr-FR"/>
              </w:rPr>
            </w:pPr>
            <w:r w:rsidRPr="00E11FFB">
              <w:rPr>
                <w:rFonts w:ascii="Calibri" w:hAnsi="Calibri" w:cs="Calibri"/>
                <w:color w:val="000000"/>
                <w:sz w:val="16"/>
                <w:szCs w:val="16"/>
                <w:lang w:eastAsia="fr-FR"/>
              </w:rPr>
              <w:t>Les études sur les émissions GES disponibles grâce au projet finance carbone</w:t>
            </w:r>
          </w:p>
        </w:tc>
        <w:tc>
          <w:tcPr>
            <w:tcW w:w="1710" w:type="dxa"/>
          </w:tcPr>
          <w:p w14:paraId="5D18A912"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4A4470BD" w14:textId="07CC500F"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CDN 2021 ou 2022 soumises et révisées. Le projet Finance Carbone du PNUD prévoit d'appuyer cette activité.</w:t>
            </w:r>
          </w:p>
        </w:tc>
      </w:tr>
      <w:tr w:rsidR="00863ED8" w:rsidRPr="00E11FFB" w14:paraId="56A126DD" w14:textId="77777777" w:rsidTr="00DB0400">
        <w:trPr>
          <w:trHeight w:val="337"/>
        </w:trPr>
        <w:tc>
          <w:tcPr>
            <w:tcW w:w="805" w:type="dxa"/>
            <w:vAlign w:val="center"/>
          </w:tcPr>
          <w:p w14:paraId="78B43F13" w14:textId="7DCD52B4"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3.14 (jalon 4 x) </w:t>
            </w:r>
          </w:p>
        </w:tc>
        <w:tc>
          <w:tcPr>
            <w:tcW w:w="3330" w:type="dxa"/>
            <w:vAlign w:val="center"/>
          </w:tcPr>
          <w:p w14:paraId="35E4C672" w14:textId="29B4907B"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x. Le Niveau d’émissions de référence des forêts pour la réduction des émissions dues à la déforestation en RDC (NERF) est mis à jour d’ici fin 2022et soumis à la CCNUCC.</w:t>
            </w:r>
          </w:p>
        </w:tc>
        <w:tc>
          <w:tcPr>
            <w:tcW w:w="3060" w:type="dxa"/>
            <w:vAlign w:val="center"/>
          </w:tcPr>
          <w:p w14:paraId="249DD7B6" w14:textId="0F187E2C" w:rsidR="00863ED8" w:rsidRPr="00E11FFB" w:rsidRDefault="00863ED8" w:rsidP="00863ED8">
            <w:pPr>
              <w:rPr>
                <w:rFonts w:ascii="Calibri" w:hAnsi="Calibri" w:cs="Calibri"/>
                <w:color w:val="000000"/>
                <w:sz w:val="16"/>
                <w:szCs w:val="16"/>
                <w:lang w:eastAsia="fr-FR"/>
              </w:rPr>
            </w:pPr>
            <w:r w:rsidRPr="002142A2">
              <w:rPr>
                <w:rFonts w:ascii="Calibri" w:hAnsi="Calibri" w:cs="Calibri"/>
                <w:color w:val="000000"/>
                <w:sz w:val="16"/>
                <w:szCs w:val="16"/>
                <w:lang w:eastAsia="fr-FR"/>
              </w:rPr>
              <w:t>Appui aux travaux techniques préparatoires pour la révision du NERF impliquant les parties prenantes clés sous l'égide du Secrétaire Général appuyé par la DDD et la DIAF (identification des expertises d'appui à la révision du NERF) Mobilisation des expertises d'appui à la révision du NERF.</w:t>
            </w:r>
          </w:p>
        </w:tc>
        <w:tc>
          <w:tcPr>
            <w:tcW w:w="1710" w:type="dxa"/>
          </w:tcPr>
          <w:p w14:paraId="269EBA64"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1A44A601" w14:textId="77777777" w:rsidR="00863ED8" w:rsidRPr="00E11FFB" w:rsidRDefault="00863ED8" w:rsidP="00863ED8">
            <w:pPr>
              <w:rPr>
                <w:rFonts w:ascii="Calibri" w:hAnsi="Calibri" w:cs="Calibri"/>
                <w:color w:val="000000"/>
                <w:sz w:val="16"/>
                <w:szCs w:val="16"/>
                <w:lang w:eastAsia="fr-FR"/>
              </w:rPr>
            </w:pPr>
          </w:p>
        </w:tc>
      </w:tr>
      <w:tr w:rsidR="00863ED8" w:rsidRPr="00E11FFB" w14:paraId="2B9A6053" w14:textId="77777777" w:rsidTr="00DB0400">
        <w:trPr>
          <w:trHeight w:val="337"/>
        </w:trPr>
        <w:tc>
          <w:tcPr>
            <w:tcW w:w="805" w:type="dxa"/>
            <w:vAlign w:val="center"/>
          </w:tcPr>
          <w:p w14:paraId="668F1825" w14:textId="23D07324"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4.1 (Jalon 7 b) </w:t>
            </w:r>
          </w:p>
        </w:tc>
        <w:tc>
          <w:tcPr>
            <w:tcW w:w="3330" w:type="dxa"/>
            <w:vAlign w:val="center"/>
          </w:tcPr>
          <w:p w14:paraId="1A9E31F7" w14:textId="4B8110CB"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Le Comité national de population (CONAPO), y compris son Secrétariat technique, est redynamisé d’ici fin 2022, et ses comités provinciaux et locaux sont redynamisés et/ou installés dans au moins six provinces cibles d’ici fin 2023, et au moins quatre autres d’ici fin 2025, pour encadrer le développement de la Politique, assurer la coordination et encadrer la planification multisectorielle en termes de lien entre les questions de population et le développement durable, à savoir ses dimensions économiques, sociales et environnementales, dans l’objectif de faire de la RDC un pays à revenu intermédiaire à l’horizon 2035.</w:t>
            </w:r>
          </w:p>
        </w:tc>
        <w:tc>
          <w:tcPr>
            <w:tcW w:w="3060" w:type="dxa"/>
            <w:vAlign w:val="center"/>
          </w:tcPr>
          <w:p w14:paraId="4C0B44A1" w14:textId="3CABD095" w:rsidR="00863ED8" w:rsidRPr="00E11FFB" w:rsidRDefault="00893488"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2</w:t>
            </w:r>
            <w:r w:rsidR="00863ED8" w:rsidRPr="00E11FFB">
              <w:rPr>
                <w:rFonts w:ascii="Calibri" w:hAnsi="Calibri" w:cs="Calibri"/>
                <w:color w:val="000000"/>
                <w:sz w:val="16"/>
                <w:szCs w:val="16"/>
                <w:lang w:eastAsia="fr-FR"/>
              </w:rPr>
              <w:t xml:space="preserve"> réunion</w:t>
            </w:r>
            <w:r w:rsidRPr="00E11FFB">
              <w:rPr>
                <w:rFonts w:ascii="Calibri" w:hAnsi="Calibri" w:cs="Calibri"/>
                <w:color w:val="000000"/>
                <w:sz w:val="16"/>
                <w:szCs w:val="16"/>
                <w:lang w:eastAsia="fr-FR"/>
              </w:rPr>
              <w:t>s</w:t>
            </w:r>
            <w:r w:rsidR="00863ED8" w:rsidRPr="00E11FFB">
              <w:rPr>
                <w:rFonts w:ascii="Calibri" w:hAnsi="Calibri" w:cs="Calibri"/>
                <w:color w:val="000000"/>
                <w:sz w:val="16"/>
                <w:szCs w:val="16"/>
                <w:lang w:eastAsia="fr-FR"/>
              </w:rPr>
              <w:t xml:space="preserve"> de Copil organisée,   </w:t>
            </w:r>
          </w:p>
          <w:p w14:paraId="6754C075" w14:textId="77777777" w:rsidR="00863ED8" w:rsidRPr="00E11FFB" w:rsidRDefault="00863ED8"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Equipement fourni, fonctionnement appuyer pour le secrétariat permanent </w:t>
            </w:r>
          </w:p>
          <w:p w14:paraId="39683EE4" w14:textId="6265CA11" w:rsidR="00863ED8" w:rsidRPr="00E11FFB" w:rsidRDefault="0020736F"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3</w:t>
            </w:r>
            <w:r w:rsidR="00863ED8" w:rsidRPr="00E11FFB">
              <w:rPr>
                <w:rFonts w:ascii="Calibri" w:hAnsi="Calibri" w:cs="Calibri"/>
                <w:color w:val="000000"/>
                <w:sz w:val="16"/>
                <w:szCs w:val="16"/>
                <w:lang w:eastAsia="fr-FR"/>
              </w:rPr>
              <w:t xml:space="preserve"> réunions de Comité Technique Interministériel de Population tenues, </w:t>
            </w:r>
          </w:p>
          <w:p w14:paraId="41EF8122" w14:textId="48473499"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Missions en province pour la mise en place de </w:t>
            </w:r>
            <w:r w:rsidR="0020736F" w:rsidRPr="00E11FFB">
              <w:rPr>
                <w:rFonts w:ascii="Calibri" w:hAnsi="Calibri" w:cs="Calibri"/>
                <w:color w:val="000000"/>
                <w:sz w:val="16"/>
                <w:szCs w:val="16"/>
                <w:lang w:eastAsia="fr-FR"/>
              </w:rPr>
              <w:t xml:space="preserve">5 </w:t>
            </w:r>
            <w:r w:rsidRPr="00E11FFB">
              <w:rPr>
                <w:rFonts w:ascii="Calibri" w:hAnsi="Calibri" w:cs="Calibri"/>
                <w:color w:val="000000"/>
                <w:sz w:val="16"/>
                <w:szCs w:val="16"/>
                <w:lang w:eastAsia="fr-FR"/>
              </w:rPr>
              <w:t>CPPO</w:t>
            </w:r>
          </w:p>
        </w:tc>
        <w:tc>
          <w:tcPr>
            <w:tcW w:w="1710" w:type="dxa"/>
          </w:tcPr>
          <w:p w14:paraId="5AD36795" w14:textId="77777777" w:rsidR="0020736F" w:rsidRPr="00E11FFB" w:rsidRDefault="0020736F" w:rsidP="0020736F">
            <w:pPr>
              <w:pBdr>
                <w:top w:val="nil"/>
                <w:left w:val="nil"/>
                <w:bottom w:val="nil"/>
                <w:right w:val="nil"/>
                <w:between w:val="nil"/>
              </w:pBdr>
              <w:ind w:left="0" w:firstLine="0"/>
              <w:rPr>
                <w:rFonts w:ascii="Calibri" w:hAnsi="Calibri" w:cs="Calibri"/>
                <w:color w:val="000000"/>
                <w:sz w:val="16"/>
                <w:szCs w:val="16"/>
                <w:lang w:eastAsia="fr-FR"/>
              </w:rPr>
            </w:pPr>
            <w:r w:rsidRPr="00E11FFB">
              <w:rPr>
                <w:rFonts w:ascii="Calibri" w:hAnsi="Calibri" w:cs="Calibri"/>
                <w:color w:val="000000"/>
                <w:sz w:val="16"/>
                <w:szCs w:val="16"/>
                <w:lang w:eastAsia="fr-FR"/>
              </w:rPr>
              <w:t>Sept 2022 : tenue d’une session de sensibilisation du CONAPO</w:t>
            </w:r>
          </w:p>
          <w:p w14:paraId="592901DE" w14:textId="47F9F4B4" w:rsidR="00863ED8" w:rsidRPr="00E11FFB" w:rsidRDefault="0020736F" w:rsidP="0020736F">
            <w:pPr>
              <w:pBdr>
                <w:top w:val="nil"/>
                <w:left w:val="nil"/>
                <w:bottom w:val="nil"/>
                <w:right w:val="nil"/>
                <w:between w:val="nil"/>
              </w:pBdr>
              <w:ind w:left="0" w:firstLine="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Nov 2022 : Arrêté ministériel N°02106 /CAB/MINETAT/MIN.PLAN/CMNK/2022 du 10 Nov 2022 portant mesures d’application de l’ordonnance créant le CONAPO </w:t>
            </w:r>
          </w:p>
        </w:tc>
        <w:tc>
          <w:tcPr>
            <w:tcW w:w="1493" w:type="dxa"/>
            <w:vAlign w:val="center"/>
          </w:tcPr>
          <w:p w14:paraId="72C285F8" w14:textId="77777777" w:rsidR="00863ED8" w:rsidRPr="00E11FFB" w:rsidRDefault="00863ED8" w:rsidP="00863ED8">
            <w:pPr>
              <w:rPr>
                <w:rFonts w:ascii="Calibri" w:hAnsi="Calibri" w:cs="Calibri"/>
                <w:color w:val="000000"/>
                <w:sz w:val="16"/>
                <w:szCs w:val="16"/>
                <w:lang w:eastAsia="fr-FR"/>
              </w:rPr>
            </w:pPr>
          </w:p>
        </w:tc>
      </w:tr>
      <w:tr w:rsidR="00863ED8" w:rsidRPr="00E11FFB" w14:paraId="06747F72" w14:textId="77777777" w:rsidTr="00DB0400">
        <w:trPr>
          <w:trHeight w:val="337"/>
        </w:trPr>
        <w:tc>
          <w:tcPr>
            <w:tcW w:w="805" w:type="dxa"/>
            <w:vAlign w:val="center"/>
          </w:tcPr>
          <w:p w14:paraId="23596F60" w14:textId="1E5B769D"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4.2 (Jalon 7 c)</w:t>
            </w:r>
          </w:p>
        </w:tc>
        <w:tc>
          <w:tcPr>
            <w:tcW w:w="3330" w:type="dxa"/>
            <w:vAlign w:val="center"/>
          </w:tcPr>
          <w:p w14:paraId="391270EB" w14:textId="78A3081C"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 La Politique nationale de population est actualisée et adoptée d’ici [fin 2024], y compris le volet démographique, en vue d'accélérer la transition démographique, saisir le dividende démographique et pour mieux évaluer et optimiser l'impact de l’accroissement de la population sur tous les domaines du développement, y compris l'émergence économique, la lutte contre la pauvreté et les inégalités et la gestion durable des ressources naturelles.</w:t>
            </w:r>
          </w:p>
        </w:tc>
        <w:tc>
          <w:tcPr>
            <w:tcW w:w="3060" w:type="dxa"/>
            <w:vAlign w:val="center"/>
          </w:tcPr>
          <w:p w14:paraId="269922FE" w14:textId="77777777" w:rsidR="00863ED8" w:rsidRPr="00E11FFB" w:rsidRDefault="00863ED8"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Consultant recruté pour appui à l'élaboration de la politique nationale population </w:t>
            </w:r>
          </w:p>
          <w:p w14:paraId="5BE03546" w14:textId="77777777" w:rsidR="00863ED8" w:rsidRPr="00E11FFB" w:rsidRDefault="00863ED8"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Atelier de lancement des travaux de formulation de la PNP organisé</w:t>
            </w:r>
          </w:p>
          <w:p w14:paraId="78F419D4" w14:textId="77777777"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Missions de consultations terminées sur le diagnostic démographique. </w:t>
            </w:r>
          </w:p>
          <w:p w14:paraId="2C99E638" w14:textId="77777777" w:rsidR="0020736F" w:rsidRPr="00E11FFB" w:rsidRDefault="0020736F"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Premier draft de diagnostic ou profil démographique de la RDC.</w:t>
            </w:r>
          </w:p>
          <w:p w14:paraId="1382C64F" w14:textId="67AD7326" w:rsidR="00893488" w:rsidRPr="00E11FFB" w:rsidRDefault="0089348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Premier draft de la PNP</w:t>
            </w:r>
          </w:p>
        </w:tc>
        <w:tc>
          <w:tcPr>
            <w:tcW w:w="1710" w:type="dxa"/>
          </w:tcPr>
          <w:p w14:paraId="5B1AA6DF"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30213ED7" w14:textId="77777777" w:rsidR="00863ED8" w:rsidRPr="00E11FFB" w:rsidRDefault="00863ED8" w:rsidP="00863ED8">
            <w:pPr>
              <w:rPr>
                <w:rFonts w:ascii="Calibri" w:hAnsi="Calibri" w:cs="Calibri"/>
                <w:color w:val="000000"/>
                <w:sz w:val="16"/>
                <w:szCs w:val="16"/>
                <w:lang w:eastAsia="fr-FR"/>
              </w:rPr>
            </w:pPr>
          </w:p>
        </w:tc>
      </w:tr>
      <w:tr w:rsidR="00863ED8" w:rsidRPr="00E11FFB" w14:paraId="1310A7C4" w14:textId="77777777" w:rsidTr="00DB0400">
        <w:trPr>
          <w:trHeight w:val="337"/>
        </w:trPr>
        <w:tc>
          <w:tcPr>
            <w:tcW w:w="805" w:type="dxa"/>
            <w:vAlign w:val="center"/>
          </w:tcPr>
          <w:p w14:paraId="3C0082C0" w14:textId="3253F80F"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4.3 (Jalon 7 g) </w:t>
            </w:r>
          </w:p>
        </w:tc>
        <w:tc>
          <w:tcPr>
            <w:tcW w:w="3330" w:type="dxa"/>
            <w:vAlign w:val="center"/>
          </w:tcPr>
          <w:p w14:paraId="7AA4D923" w14:textId="2910C4E5"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 Un Plan de plaidoyer auprès du Gouvernement pour (i) augmenter graduellement l’allocation et l’exécution du budget domestique à la planification familiale, en accord avec la décision gouvernementale existante, et pour (ii) allouer une ligne de crédit consistant au CONAPO, est adopté d’ici [fin 2023].</w:t>
            </w:r>
          </w:p>
        </w:tc>
        <w:tc>
          <w:tcPr>
            <w:tcW w:w="3060" w:type="dxa"/>
            <w:vAlign w:val="center"/>
          </w:tcPr>
          <w:p w14:paraId="212B084E" w14:textId="192EAF8A"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Réunion dinatoire organisé avec les partenaires</w:t>
            </w:r>
            <w:r w:rsidR="004E0C88" w:rsidRPr="00E11FFB">
              <w:rPr>
                <w:rFonts w:ascii="Calibri" w:hAnsi="Calibri" w:cs="Calibri"/>
                <w:color w:val="000000"/>
                <w:sz w:val="16"/>
                <w:szCs w:val="16"/>
                <w:lang w:eastAsia="fr-FR"/>
              </w:rPr>
              <w:t xml:space="preserve"> pour expliquer le besoin de l’augmentation du budget ; </w:t>
            </w:r>
            <w:r w:rsidR="00A36EEE" w:rsidRPr="00E11FFB">
              <w:rPr>
                <w:rFonts w:ascii="Calibri" w:hAnsi="Calibri" w:cs="Calibri"/>
                <w:color w:val="000000"/>
                <w:sz w:val="16"/>
                <w:szCs w:val="16"/>
                <w:lang w:eastAsia="fr-FR"/>
              </w:rPr>
              <w:t xml:space="preserve">Note du ministre pour justifier la demande d’allocation </w:t>
            </w:r>
          </w:p>
        </w:tc>
        <w:tc>
          <w:tcPr>
            <w:tcW w:w="1710" w:type="dxa"/>
          </w:tcPr>
          <w:p w14:paraId="666FD6AD"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5D0E9255" w14:textId="77777777" w:rsidR="00863ED8" w:rsidRPr="00E11FFB" w:rsidRDefault="00863ED8" w:rsidP="00863ED8">
            <w:pPr>
              <w:rPr>
                <w:rFonts w:ascii="Calibri" w:hAnsi="Calibri" w:cs="Calibri"/>
                <w:color w:val="000000"/>
                <w:sz w:val="16"/>
                <w:szCs w:val="16"/>
                <w:lang w:eastAsia="fr-FR"/>
              </w:rPr>
            </w:pPr>
          </w:p>
        </w:tc>
      </w:tr>
      <w:tr w:rsidR="00863ED8" w:rsidRPr="00E11FFB" w14:paraId="505DDBD9" w14:textId="77777777" w:rsidTr="00DB0400">
        <w:trPr>
          <w:trHeight w:val="337"/>
        </w:trPr>
        <w:tc>
          <w:tcPr>
            <w:tcW w:w="805" w:type="dxa"/>
            <w:vAlign w:val="center"/>
          </w:tcPr>
          <w:p w14:paraId="1CA2F4E1" w14:textId="7E1DC65B" w:rsidR="00863ED8" w:rsidRPr="00E11FFB" w:rsidRDefault="00C631D2"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5.1 hydrocarbure et Mines (jalon 6 c) :</w:t>
            </w:r>
          </w:p>
        </w:tc>
        <w:tc>
          <w:tcPr>
            <w:tcW w:w="3330" w:type="dxa"/>
            <w:vAlign w:val="center"/>
          </w:tcPr>
          <w:p w14:paraId="329913F0" w14:textId="5D3E7974"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b. Réviser le cadre réglementaire relatif aux évaluations d’impact environnemental et social dans une approche participative impliquant toutes les parties prenantes, avec un accent fort sur les principes de séparation des rôles et de rétrocontrôle ainsi que sur les impacts directs et indirects des investissements miniers et des hydrocarbures sur les forêts, les ressources en eaux, ainsi que les aires protégées.</w:t>
            </w:r>
          </w:p>
        </w:tc>
        <w:tc>
          <w:tcPr>
            <w:tcW w:w="3060" w:type="dxa"/>
            <w:vAlign w:val="center"/>
          </w:tcPr>
          <w:p w14:paraId="57D379AD" w14:textId="77777777" w:rsidR="00C631D2"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Expertise pour la production d'un acte règlementaire (arrêté interministériel) entre MEDD/ACE et Hydrocarbures</w:t>
            </w:r>
            <w:r w:rsidR="00C631D2" w:rsidRPr="00E11FFB">
              <w:rPr>
                <w:rFonts w:ascii="Calibri" w:hAnsi="Calibri" w:cs="Calibri"/>
                <w:color w:val="000000"/>
                <w:sz w:val="16"/>
                <w:szCs w:val="16"/>
                <w:lang w:eastAsia="fr-FR"/>
              </w:rPr>
              <w:t xml:space="preserve">, </w:t>
            </w:r>
          </w:p>
          <w:p w14:paraId="2C621E2B" w14:textId="77777777" w:rsidR="00C631D2" w:rsidRPr="00E11FFB" w:rsidRDefault="00C631D2"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Atelier de validation du draft de projet d’arrêté MEDD/ACE et Hydrocarbures</w:t>
            </w:r>
          </w:p>
          <w:p w14:paraId="06A411DB" w14:textId="77777777" w:rsidR="00C631D2" w:rsidRPr="00E11FFB" w:rsidRDefault="00C631D2"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Recrutement d’un consultant pour la production d’un acte règlementaire pour le secteur minier </w:t>
            </w:r>
          </w:p>
          <w:p w14:paraId="359E9A81" w14:textId="44CC077B" w:rsidR="00863ED8" w:rsidRPr="00E11FFB" w:rsidRDefault="00C631D2" w:rsidP="00C631D2">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1 atelier de validation de l’acte règlementaire du secteur minier. </w:t>
            </w:r>
          </w:p>
        </w:tc>
        <w:tc>
          <w:tcPr>
            <w:tcW w:w="1710" w:type="dxa"/>
          </w:tcPr>
          <w:p w14:paraId="466CD549"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552A3C73" w14:textId="77777777" w:rsidR="00863ED8" w:rsidRPr="00E11FFB" w:rsidRDefault="00863ED8" w:rsidP="00863ED8">
            <w:pPr>
              <w:rPr>
                <w:rFonts w:ascii="Calibri" w:hAnsi="Calibri" w:cs="Calibri"/>
                <w:color w:val="000000"/>
                <w:sz w:val="16"/>
                <w:szCs w:val="16"/>
                <w:lang w:eastAsia="fr-FR"/>
              </w:rPr>
            </w:pPr>
          </w:p>
        </w:tc>
      </w:tr>
      <w:tr w:rsidR="00863ED8" w:rsidRPr="00E11FFB" w14:paraId="50A4E2CC" w14:textId="77777777" w:rsidTr="00DB0400">
        <w:trPr>
          <w:trHeight w:val="337"/>
        </w:trPr>
        <w:tc>
          <w:tcPr>
            <w:tcW w:w="805" w:type="dxa"/>
            <w:vAlign w:val="center"/>
          </w:tcPr>
          <w:p w14:paraId="78DB6E1D" w14:textId="27FED658"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Produit 5.1 (Mines et hydrocarbures) Produit 7.1 ACE sous ITIE (jalon 6 c)</w:t>
            </w:r>
          </w:p>
        </w:tc>
        <w:tc>
          <w:tcPr>
            <w:tcW w:w="3330" w:type="dxa"/>
            <w:vAlign w:val="center"/>
          </w:tcPr>
          <w:p w14:paraId="151C508A" w14:textId="1374A294"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c. Démontrer la mise en œuvre des obligations légales de réalisation des évaluations environnementales et sociales par les opérateurs exerçant dans les secteurs forêt, mines, hydrocarbures, agriculture, infrastructures et énergie, etc.</w:t>
            </w:r>
          </w:p>
        </w:tc>
        <w:tc>
          <w:tcPr>
            <w:tcW w:w="3060" w:type="dxa"/>
            <w:vAlign w:val="center"/>
          </w:tcPr>
          <w:p w14:paraId="1B49E7A3" w14:textId="70E151AD"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Renforcement des capacités en matière d'évaluations environnementales et sociales, des suivi et contrôles (SG H</w:t>
            </w:r>
            <w:r w:rsidR="001A103E" w:rsidRPr="00E11FFB">
              <w:rPr>
                <w:rFonts w:ascii="Calibri" w:hAnsi="Calibri" w:cs="Calibri"/>
                <w:color w:val="000000"/>
                <w:sz w:val="16"/>
                <w:szCs w:val="16"/>
                <w:lang w:eastAsia="fr-FR"/>
              </w:rPr>
              <w:t xml:space="preserve">ydrocarbure </w:t>
            </w:r>
            <w:r w:rsidRPr="00E11FFB">
              <w:rPr>
                <w:rFonts w:ascii="Calibri" w:hAnsi="Calibri" w:cs="Calibri"/>
                <w:color w:val="000000"/>
                <w:sz w:val="16"/>
                <w:szCs w:val="16"/>
                <w:lang w:eastAsia="fr-FR"/>
              </w:rPr>
              <w:t>et M</w:t>
            </w:r>
            <w:r w:rsidR="001A103E" w:rsidRPr="00E11FFB">
              <w:rPr>
                <w:rFonts w:ascii="Calibri" w:hAnsi="Calibri" w:cs="Calibri"/>
                <w:color w:val="000000"/>
                <w:sz w:val="16"/>
                <w:szCs w:val="16"/>
                <w:lang w:eastAsia="fr-FR"/>
              </w:rPr>
              <w:t>ines</w:t>
            </w:r>
            <w:r w:rsidRPr="00E11FFB">
              <w:rPr>
                <w:rFonts w:ascii="Calibri" w:hAnsi="Calibri" w:cs="Calibri"/>
                <w:color w:val="000000"/>
                <w:sz w:val="16"/>
                <w:szCs w:val="16"/>
                <w:lang w:eastAsia="fr-FR"/>
              </w:rPr>
              <w:t xml:space="preserve">) </w:t>
            </w:r>
          </w:p>
          <w:p w14:paraId="2C43DC28" w14:textId="45CA15E0"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Missions annuelles de contrôle / évaluation assorties des rapports à publier (hydrocarbure). </w:t>
            </w:r>
          </w:p>
          <w:p w14:paraId="4716240C" w14:textId="78A4F896"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Vulgarisation des textes légaux et réglementaires en vigueur en la matière auprès des parties prenantes </w:t>
            </w:r>
            <w:r w:rsidR="00C631D2" w:rsidRPr="00E11FFB">
              <w:rPr>
                <w:rFonts w:ascii="Calibri" w:hAnsi="Calibri" w:cs="Calibri"/>
                <w:color w:val="000000"/>
                <w:sz w:val="16"/>
                <w:szCs w:val="16"/>
                <w:lang w:eastAsia="fr-FR"/>
              </w:rPr>
              <w:t xml:space="preserve">par ACE ; </w:t>
            </w:r>
          </w:p>
          <w:p w14:paraId="7A4A774D" w14:textId="7B687673"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Réunion de concertation et de définition des besoins et du périmètre de l'évaluation</w:t>
            </w:r>
            <w:r w:rsidR="006977A4" w:rsidRPr="00E11FFB">
              <w:rPr>
                <w:rFonts w:ascii="Calibri" w:hAnsi="Calibri" w:cs="Calibri"/>
                <w:color w:val="000000"/>
                <w:sz w:val="16"/>
                <w:szCs w:val="16"/>
                <w:lang w:eastAsia="fr-FR"/>
              </w:rPr>
              <w:t xml:space="preserve"> IES </w:t>
            </w:r>
            <w:r w:rsidR="00CA523D" w:rsidRPr="00E11FFB">
              <w:rPr>
                <w:rFonts w:ascii="Calibri" w:hAnsi="Calibri" w:cs="Calibri"/>
                <w:color w:val="000000"/>
                <w:sz w:val="16"/>
                <w:szCs w:val="16"/>
                <w:lang w:eastAsia="fr-FR"/>
              </w:rPr>
              <w:t>entre ACE et ITIE</w:t>
            </w:r>
          </w:p>
        </w:tc>
        <w:tc>
          <w:tcPr>
            <w:tcW w:w="1710" w:type="dxa"/>
          </w:tcPr>
          <w:p w14:paraId="0C357121"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5C735C32" w14:textId="77777777" w:rsidR="00863ED8" w:rsidRPr="00E11FFB" w:rsidRDefault="00863ED8" w:rsidP="00863ED8">
            <w:pPr>
              <w:rPr>
                <w:rFonts w:ascii="Calibri" w:hAnsi="Calibri" w:cs="Calibri"/>
                <w:color w:val="000000"/>
                <w:sz w:val="16"/>
                <w:szCs w:val="16"/>
                <w:lang w:eastAsia="fr-FR"/>
              </w:rPr>
            </w:pPr>
          </w:p>
        </w:tc>
      </w:tr>
      <w:tr w:rsidR="00863ED8" w:rsidRPr="00E11FFB" w14:paraId="12B10490" w14:textId="77777777" w:rsidTr="00DB0400">
        <w:trPr>
          <w:trHeight w:val="337"/>
        </w:trPr>
        <w:tc>
          <w:tcPr>
            <w:tcW w:w="805" w:type="dxa"/>
            <w:vAlign w:val="center"/>
          </w:tcPr>
          <w:p w14:paraId="26007BE7" w14:textId="70CDC559"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Produits 1.2 et 1.3 (Aménagement de territoire) (Jalon d)</w:t>
            </w:r>
          </w:p>
        </w:tc>
        <w:tc>
          <w:tcPr>
            <w:tcW w:w="3330" w:type="dxa"/>
            <w:vAlign w:val="center"/>
          </w:tcPr>
          <w:p w14:paraId="7B9E0FC0" w14:textId="77A0EA0B"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Respecter l’interdiction de toute activité minière et d’hydrocarbures incompatible avec les objectifs de conservation dans les aires protégées, conformément au cadre légal en vigueur.</w:t>
            </w:r>
          </w:p>
        </w:tc>
        <w:tc>
          <w:tcPr>
            <w:tcW w:w="3060" w:type="dxa"/>
            <w:vAlign w:val="center"/>
          </w:tcPr>
          <w:p w14:paraId="79CF39D9" w14:textId="6860BBAF" w:rsidR="00863ED8" w:rsidRPr="00E11FFB" w:rsidRDefault="00863ED8" w:rsidP="007C24BE">
            <w:pPr>
              <w:ind w:left="0" w:firstLine="0"/>
              <w:rPr>
                <w:rFonts w:ascii="Calibri" w:hAnsi="Calibri" w:cs="Calibri"/>
                <w:color w:val="000000"/>
                <w:sz w:val="16"/>
                <w:szCs w:val="16"/>
                <w:lang w:eastAsia="fr-FR"/>
              </w:rPr>
            </w:pPr>
            <w:r w:rsidRPr="00E11FFB">
              <w:rPr>
                <w:rFonts w:ascii="Calibri" w:hAnsi="Calibri" w:cs="Calibri"/>
                <w:color w:val="000000"/>
                <w:sz w:val="16"/>
                <w:szCs w:val="16"/>
                <w:lang w:eastAsia="fr-FR"/>
              </w:rPr>
              <w:t>Conflits identifiés, arbitrage en attente du CNAT</w:t>
            </w:r>
          </w:p>
        </w:tc>
        <w:tc>
          <w:tcPr>
            <w:tcW w:w="1710" w:type="dxa"/>
          </w:tcPr>
          <w:p w14:paraId="674BBDB4"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63F03F15" w14:textId="798C939E" w:rsidR="00863ED8" w:rsidRPr="00E11FFB" w:rsidRDefault="00863ED8" w:rsidP="00863ED8">
            <w:pPr>
              <w:rPr>
                <w:rFonts w:ascii="Calibri" w:hAnsi="Calibri" w:cs="Calibri"/>
                <w:color w:val="000000"/>
                <w:sz w:val="16"/>
                <w:szCs w:val="16"/>
                <w:lang w:eastAsia="fr-FR"/>
              </w:rPr>
            </w:pPr>
          </w:p>
        </w:tc>
      </w:tr>
      <w:tr w:rsidR="00863ED8" w:rsidRPr="00E11FFB" w14:paraId="57C8D01A" w14:textId="77777777" w:rsidTr="00DB0400">
        <w:trPr>
          <w:trHeight w:val="337"/>
        </w:trPr>
        <w:tc>
          <w:tcPr>
            <w:tcW w:w="805" w:type="dxa"/>
            <w:vAlign w:val="center"/>
          </w:tcPr>
          <w:p w14:paraId="283D78A2" w14:textId="3C0FF179"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Voir Produits 1.2 et 1.3 (Aménagement du territoire) (Jalon e)</w:t>
            </w:r>
          </w:p>
        </w:tc>
        <w:tc>
          <w:tcPr>
            <w:tcW w:w="3330" w:type="dxa"/>
            <w:vAlign w:val="center"/>
          </w:tcPr>
          <w:p w14:paraId="5949AEF3" w14:textId="6DC12208"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Réaliser, en vue d’appuyer les processus de l'aménagement du territoire, une analyse pour déterminer dans quelle mesure les titres miniers et des hydrocarbures chevauchent avec et/ou ont un impact sur les aires protégées, les forêts de grande valeur et les tourbières, en vue d’adopter des mesures de prévention ou atténuation adaptées, et de publier et appliquer les résultats qui en découleront d’ici fin 2023.</w:t>
            </w:r>
          </w:p>
        </w:tc>
        <w:tc>
          <w:tcPr>
            <w:tcW w:w="3060" w:type="dxa"/>
            <w:vAlign w:val="center"/>
          </w:tcPr>
          <w:p w14:paraId="7AC980C8" w14:textId="61FB502D" w:rsidR="00863ED8" w:rsidRPr="00E11FFB" w:rsidRDefault="007C24BE" w:rsidP="007C24B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Données sur les contrats collectées par l’équipe nommée par le SG, p</w:t>
            </w:r>
            <w:r w:rsidR="00863ED8" w:rsidRPr="00E11FFB">
              <w:rPr>
                <w:rFonts w:ascii="Calibri" w:hAnsi="Calibri" w:cs="Calibri"/>
                <w:color w:val="000000"/>
                <w:sz w:val="16"/>
                <w:szCs w:val="16"/>
                <w:lang w:eastAsia="fr-FR"/>
              </w:rPr>
              <w:t>remières cartes sous production.</w:t>
            </w:r>
          </w:p>
        </w:tc>
        <w:tc>
          <w:tcPr>
            <w:tcW w:w="1710" w:type="dxa"/>
          </w:tcPr>
          <w:p w14:paraId="6D778BB8"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060A64C7" w14:textId="3DFCF7BD" w:rsidR="00863ED8" w:rsidRPr="00E11FFB" w:rsidRDefault="00863ED8" w:rsidP="00863ED8">
            <w:pPr>
              <w:rPr>
                <w:rFonts w:ascii="Calibri" w:hAnsi="Calibri" w:cs="Calibri"/>
                <w:color w:val="000000"/>
                <w:sz w:val="16"/>
                <w:szCs w:val="16"/>
                <w:highlight w:val="yellow"/>
                <w:lang w:eastAsia="fr-FR"/>
              </w:rPr>
            </w:pPr>
          </w:p>
        </w:tc>
      </w:tr>
      <w:tr w:rsidR="00863ED8" w:rsidRPr="00E11FFB" w14:paraId="276361E6" w14:textId="77777777" w:rsidTr="00DB0400">
        <w:trPr>
          <w:trHeight w:val="337"/>
        </w:trPr>
        <w:tc>
          <w:tcPr>
            <w:tcW w:w="805" w:type="dxa"/>
            <w:vAlign w:val="center"/>
          </w:tcPr>
          <w:p w14:paraId="15BCB414" w14:textId="77777777" w:rsidR="00863ED8" w:rsidRPr="00E11FFB" w:rsidRDefault="00863ED8" w:rsidP="00863ED8">
            <w:pPr>
              <w:jc w:val="cente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Produit 7.2 (ACE)  </w:t>
            </w:r>
          </w:p>
          <w:p w14:paraId="09448890" w14:textId="0355244F"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(Jalon f)</w:t>
            </w:r>
          </w:p>
        </w:tc>
        <w:tc>
          <w:tcPr>
            <w:tcW w:w="3330" w:type="dxa"/>
            <w:vAlign w:val="center"/>
          </w:tcPr>
          <w:p w14:paraId="2537B27D" w14:textId="7428A061"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Conditionner tout investissement minier et d’hydrocarbures dans la zone tampon d’aires protégées par le fait qu’il n’ait pas d’incidence négative sur l’aire protégée, et assujettir ces investissements à une étude d’impact environnemental et social préalable, assortie de son plan de gestion dûment approuvés, conformément au cadre légal en vigueur. </w:t>
            </w:r>
          </w:p>
        </w:tc>
        <w:tc>
          <w:tcPr>
            <w:tcW w:w="3060" w:type="dxa"/>
            <w:vAlign w:val="center"/>
          </w:tcPr>
          <w:p w14:paraId="64C72566" w14:textId="5F546F2E"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Contre-vérification des données de terrain par les services compétents par l'installation des Brigades de surveillance environnementale pérenne réalisé </w:t>
            </w:r>
            <w:r w:rsidR="007C24BE" w:rsidRPr="00E11FFB">
              <w:rPr>
                <w:rFonts w:ascii="Calibri" w:hAnsi="Calibri" w:cs="Calibri"/>
                <w:color w:val="000000"/>
                <w:sz w:val="16"/>
                <w:szCs w:val="16"/>
                <w:lang w:eastAsia="fr-FR"/>
              </w:rPr>
              <w:t>dans quatre provinces</w:t>
            </w:r>
            <w:r w:rsidR="00C27797" w:rsidRPr="00E11FFB">
              <w:rPr>
                <w:rFonts w:ascii="Calibri" w:hAnsi="Calibri" w:cs="Calibri"/>
                <w:color w:val="000000"/>
                <w:sz w:val="16"/>
                <w:szCs w:val="16"/>
                <w:lang w:eastAsia="fr-FR"/>
              </w:rPr>
              <w:t xml:space="preserve"> du pays. </w:t>
            </w:r>
          </w:p>
        </w:tc>
        <w:tc>
          <w:tcPr>
            <w:tcW w:w="1710" w:type="dxa"/>
          </w:tcPr>
          <w:p w14:paraId="65E001B6" w14:textId="77777777" w:rsidR="00863ED8" w:rsidRPr="00E11FFB" w:rsidRDefault="00863ED8" w:rsidP="00863ED8">
            <w:pPr>
              <w:pBdr>
                <w:top w:val="nil"/>
                <w:left w:val="nil"/>
                <w:bottom w:val="nil"/>
                <w:right w:val="nil"/>
                <w:between w:val="nil"/>
              </w:pBdr>
              <w:rPr>
                <w:rFonts w:ascii="Calibri" w:hAnsi="Calibri" w:cs="Calibri"/>
                <w:color w:val="000000"/>
                <w:sz w:val="16"/>
                <w:szCs w:val="16"/>
                <w:lang w:eastAsia="fr-FR"/>
              </w:rPr>
            </w:pPr>
          </w:p>
        </w:tc>
        <w:tc>
          <w:tcPr>
            <w:tcW w:w="1493" w:type="dxa"/>
            <w:vAlign w:val="center"/>
          </w:tcPr>
          <w:p w14:paraId="63D2C1D8" w14:textId="77777777" w:rsidR="00863ED8" w:rsidRPr="00E11FFB" w:rsidRDefault="00863ED8" w:rsidP="00863ED8">
            <w:pPr>
              <w:rPr>
                <w:rFonts w:ascii="Calibri" w:hAnsi="Calibri" w:cs="Calibri"/>
                <w:color w:val="000000"/>
                <w:sz w:val="16"/>
                <w:szCs w:val="16"/>
                <w:lang w:eastAsia="fr-FR"/>
              </w:rPr>
            </w:pPr>
          </w:p>
        </w:tc>
      </w:tr>
      <w:tr w:rsidR="00863ED8" w:rsidRPr="00E11FFB" w14:paraId="503F0ABF" w14:textId="77777777" w:rsidTr="00DB0400">
        <w:trPr>
          <w:trHeight w:val="337"/>
        </w:trPr>
        <w:tc>
          <w:tcPr>
            <w:tcW w:w="805" w:type="dxa"/>
            <w:vAlign w:val="center"/>
          </w:tcPr>
          <w:p w14:paraId="7832E99B" w14:textId="5B4D4B26" w:rsidR="00863ED8" w:rsidRPr="00E11FFB" w:rsidRDefault="00863ED8" w:rsidP="00863ED8">
            <w:pPr>
              <w:jc w:val="center"/>
              <w:rPr>
                <w:rFonts w:ascii="Calibri" w:hAnsi="Calibri" w:cs="Calibri"/>
                <w:color w:val="000000"/>
                <w:sz w:val="16"/>
                <w:szCs w:val="16"/>
                <w:lang w:eastAsia="fr-FR"/>
              </w:rPr>
            </w:pPr>
            <w:r w:rsidRPr="00E11FFB">
              <w:rPr>
                <w:rFonts w:ascii="Calibri" w:hAnsi="Calibri" w:cs="Calibri"/>
                <w:color w:val="000000"/>
                <w:sz w:val="16"/>
                <w:szCs w:val="16"/>
                <w:lang w:eastAsia="fr-FR"/>
              </w:rPr>
              <w:t>Produit 5.3 Mines ; ACE 7.3; Produit 5.3 hydrocarbures (Jalon g)</w:t>
            </w:r>
          </w:p>
        </w:tc>
        <w:tc>
          <w:tcPr>
            <w:tcW w:w="3330" w:type="dxa"/>
            <w:vAlign w:val="center"/>
          </w:tcPr>
          <w:p w14:paraId="5438CA01" w14:textId="7687E462"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Les Normes REDD+ sont élaborées de manière participative, adoptées et intégrées dans le Manuel d’Opérations et des Procédures des évaluations environnementales et sociales, en prenant en compte les meilleures pratiques nationales et internationales en relation avec la prévention, l’atténuation et la compensation (par ordre de priorité) des impacts négatifs directs et indirects des investissements miniers et des hydrocarbures, d’ici fin 2023. Les normes REDD+ sont assorties d’un mécanisme d’audit indépendant.</w:t>
            </w:r>
          </w:p>
        </w:tc>
        <w:tc>
          <w:tcPr>
            <w:tcW w:w="3060" w:type="dxa"/>
            <w:vAlign w:val="center"/>
          </w:tcPr>
          <w:p w14:paraId="1477405C" w14:textId="1829B76C" w:rsidR="00863ED8" w:rsidRPr="00E11FFB" w:rsidRDefault="00863ED8"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2 réunions </w:t>
            </w:r>
            <w:r w:rsidR="007C24BE" w:rsidRPr="00E11FFB">
              <w:rPr>
                <w:rFonts w:ascii="Calibri" w:hAnsi="Calibri" w:cs="Calibri"/>
                <w:color w:val="000000"/>
                <w:sz w:val="16"/>
                <w:szCs w:val="16"/>
                <w:lang w:eastAsia="fr-FR"/>
              </w:rPr>
              <w:t>organisées entre ACE, Hydrocarbure et GIZ</w:t>
            </w:r>
            <w:r w:rsidRPr="00E11FFB">
              <w:rPr>
                <w:rFonts w:ascii="Calibri" w:hAnsi="Calibri" w:cs="Calibri"/>
                <w:color w:val="000000"/>
                <w:sz w:val="16"/>
                <w:szCs w:val="16"/>
                <w:lang w:eastAsia="fr-FR"/>
              </w:rPr>
              <w:t xml:space="preserve">  </w:t>
            </w:r>
          </w:p>
          <w:p w14:paraId="3DECB568" w14:textId="172A8388" w:rsidR="00863ED8" w:rsidRPr="00E11FFB" w:rsidRDefault="00C27797" w:rsidP="00863ED8">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M</w:t>
            </w:r>
            <w:r w:rsidR="00863ED8" w:rsidRPr="00E11FFB">
              <w:rPr>
                <w:rFonts w:ascii="Calibri" w:hAnsi="Calibri" w:cs="Calibri"/>
                <w:color w:val="000000"/>
                <w:sz w:val="16"/>
                <w:szCs w:val="16"/>
                <w:lang w:eastAsia="fr-FR"/>
              </w:rPr>
              <w:t xml:space="preserve">anuel d’opérations et de procédures des EES </w:t>
            </w:r>
            <w:r w:rsidRPr="00E11FFB">
              <w:rPr>
                <w:rFonts w:ascii="Calibri" w:hAnsi="Calibri" w:cs="Calibri"/>
                <w:color w:val="000000"/>
                <w:sz w:val="16"/>
                <w:szCs w:val="16"/>
                <w:lang w:eastAsia="fr-FR"/>
              </w:rPr>
              <w:t>élaboré par ACE</w:t>
            </w:r>
          </w:p>
          <w:p w14:paraId="21AA7B61" w14:textId="47D4A521" w:rsidR="00863ED8" w:rsidRPr="00E11FFB" w:rsidRDefault="00863ED8" w:rsidP="007C24BE">
            <w:pPr>
              <w:ind w:left="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Feuille de route, et draft 0 du Plan Nationale des Hydrocarbures produits  </w:t>
            </w:r>
          </w:p>
        </w:tc>
        <w:tc>
          <w:tcPr>
            <w:tcW w:w="1710" w:type="dxa"/>
          </w:tcPr>
          <w:p w14:paraId="0C835795" w14:textId="34F57C45" w:rsidR="00863ED8" w:rsidRPr="00E11FFB" w:rsidRDefault="0024175C" w:rsidP="00863ED8">
            <w:pPr>
              <w:pBdr>
                <w:top w:val="nil"/>
                <w:left w:val="nil"/>
                <w:bottom w:val="nil"/>
                <w:right w:val="nil"/>
                <w:between w:val="nil"/>
              </w:pBdr>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Projet Normes est exécuté par la GIZ depuis 2025 et collabore avec les task-forces de PAAJ sur les questions de normes. </w:t>
            </w:r>
          </w:p>
        </w:tc>
        <w:tc>
          <w:tcPr>
            <w:tcW w:w="1493" w:type="dxa"/>
            <w:vAlign w:val="center"/>
          </w:tcPr>
          <w:p w14:paraId="145306F8" w14:textId="77777777" w:rsidR="00863ED8" w:rsidRPr="00E11FFB" w:rsidRDefault="00863ED8" w:rsidP="00863ED8">
            <w:pPr>
              <w:rPr>
                <w:rFonts w:ascii="Calibri" w:hAnsi="Calibri" w:cs="Calibri"/>
                <w:color w:val="000000"/>
                <w:sz w:val="16"/>
                <w:szCs w:val="16"/>
                <w:lang w:eastAsia="fr-FR"/>
              </w:rPr>
            </w:pPr>
          </w:p>
        </w:tc>
      </w:tr>
      <w:tr w:rsidR="00863ED8" w:rsidRPr="00E11FFB" w14:paraId="1ADB700D" w14:textId="77777777" w:rsidTr="00DB0400">
        <w:trPr>
          <w:trHeight w:val="337"/>
        </w:trPr>
        <w:tc>
          <w:tcPr>
            <w:tcW w:w="805" w:type="dxa"/>
            <w:vAlign w:val="center"/>
          </w:tcPr>
          <w:p w14:paraId="7D88B111" w14:textId="069E2661" w:rsidR="00863ED8" w:rsidRPr="00E11FFB" w:rsidRDefault="00863ED8" w:rsidP="00863ED8">
            <w:pPr>
              <w:jc w:val="center"/>
              <w:rPr>
                <w:rFonts w:ascii="Calibri" w:hAnsi="Calibri" w:cs="Calibri"/>
                <w:color w:val="000000"/>
                <w:sz w:val="16"/>
                <w:szCs w:val="16"/>
                <w:lang w:eastAsia="fr-FR"/>
              </w:rPr>
            </w:pPr>
            <w:r w:rsidRPr="00E11FFB">
              <w:rPr>
                <w:rFonts w:ascii="Calibri" w:hAnsi="Calibri" w:cs="Calibri"/>
                <w:color w:val="000000"/>
                <w:sz w:val="16"/>
                <w:szCs w:val="16"/>
                <w:lang w:eastAsia="fr-FR"/>
              </w:rPr>
              <w:t>Produit 5.2 (Mines et hydrocarbures) (Jalons h)</w:t>
            </w:r>
          </w:p>
        </w:tc>
        <w:tc>
          <w:tcPr>
            <w:tcW w:w="3330" w:type="dxa"/>
            <w:vAlign w:val="center"/>
          </w:tcPr>
          <w:p w14:paraId="7FFDE1EB" w14:textId="49B1A732" w:rsidR="00863ED8" w:rsidRPr="00E11FFB" w:rsidRDefault="00863ED8" w:rsidP="00863ED8">
            <w:pPr>
              <w:rPr>
                <w:rFonts w:ascii="Calibri" w:hAnsi="Calibri" w:cs="Calibri"/>
                <w:color w:val="000000"/>
                <w:sz w:val="16"/>
                <w:szCs w:val="16"/>
                <w:lang w:eastAsia="fr-FR"/>
              </w:rPr>
            </w:pPr>
            <w:r w:rsidRPr="00E11FFB">
              <w:rPr>
                <w:rFonts w:ascii="Calibri" w:hAnsi="Calibri" w:cs="Calibri"/>
                <w:color w:val="000000"/>
                <w:sz w:val="16"/>
                <w:szCs w:val="16"/>
                <w:lang w:eastAsia="fr-FR"/>
              </w:rPr>
              <w:t>Tous les contrats de concessions de mines et hydrocarbures sont publiés, conformément aux accords entre le Gouvernement de la RDC et l’ITIE d’ici fin 2022.</w:t>
            </w:r>
          </w:p>
        </w:tc>
        <w:tc>
          <w:tcPr>
            <w:tcW w:w="3060" w:type="dxa"/>
            <w:vAlign w:val="center"/>
          </w:tcPr>
          <w:p w14:paraId="06BEFCB3" w14:textId="2BC107A1" w:rsidR="008A6F74" w:rsidRPr="00E11FFB" w:rsidRDefault="008A6F74" w:rsidP="008A6F74">
            <w:pPr>
              <w:rPr>
                <w:rFonts w:ascii="Avenir" w:eastAsia="Avenir" w:hAnsi="Avenir" w:cs="Avenir"/>
                <w:color w:val="000000"/>
                <w:sz w:val="16"/>
                <w:szCs w:val="16"/>
              </w:rPr>
            </w:pPr>
            <w:r w:rsidRPr="00E11FFB">
              <w:rPr>
                <w:rFonts w:ascii="Avenir" w:eastAsia="Avenir" w:hAnsi="Avenir" w:cs="Avenir"/>
                <w:color w:val="000000"/>
                <w:sz w:val="16"/>
                <w:szCs w:val="16"/>
              </w:rPr>
              <w:t>1 formation des agents sur la publication des contrats sur le site datawarehouse hydrocarbure</w:t>
            </w:r>
          </w:p>
          <w:p w14:paraId="67F1131A" w14:textId="10975BEA" w:rsidR="008A6F74" w:rsidRPr="00E11FFB" w:rsidRDefault="008A6F74" w:rsidP="008A6F74">
            <w:pPr>
              <w:rPr>
                <w:rFonts w:ascii="Avenir" w:eastAsia="Avenir" w:hAnsi="Avenir" w:cs="Avenir"/>
                <w:color w:val="000000"/>
                <w:sz w:val="16"/>
                <w:szCs w:val="16"/>
              </w:rPr>
            </w:pPr>
            <w:r w:rsidRPr="00E11FFB">
              <w:rPr>
                <w:rFonts w:ascii="Calibri" w:hAnsi="Calibri" w:cs="Calibri"/>
                <w:sz w:val="16"/>
                <w:szCs w:val="16"/>
                <w:lang w:eastAsia="fr-CD"/>
              </w:rPr>
              <w:t xml:space="preserve">Réunion dans le cadre de l'élaboration et mise à jour du site web  hydrocarbure. </w:t>
            </w:r>
          </w:p>
          <w:p w14:paraId="2676AF81" w14:textId="1977EA82" w:rsidR="008A6F74" w:rsidRPr="00E11FFB" w:rsidRDefault="008A6F74" w:rsidP="008A6F74">
            <w:pPr>
              <w:rPr>
                <w:rFonts w:ascii="Avenir" w:eastAsia="Avenir" w:hAnsi="Avenir" w:cs="Avenir"/>
                <w:color w:val="000000"/>
                <w:sz w:val="16"/>
                <w:szCs w:val="16"/>
              </w:rPr>
            </w:pPr>
            <w:r w:rsidRPr="00E11FFB">
              <w:rPr>
                <w:rFonts w:ascii="Avenir" w:eastAsia="Avenir" w:hAnsi="Avenir" w:cs="Avenir"/>
                <w:color w:val="000000"/>
                <w:sz w:val="16"/>
                <w:szCs w:val="16"/>
              </w:rPr>
              <w:t>2 site web opérationnel (</w:t>
            </w:r>
            <w:hyperlink r:id="rId28" w:history="1">
              <w:r w:rsidRPr="00E11FFB">
                <w:rPr>
                  <w:rStyle w:val="Lienhypertexte"/>
                  <w:rFonts w:ascii="Avenir" w:eastAsia="Avenir" w:hAnsi="Avenir" w:cs="Avenir"/>
                  <w:sz w:val="16"/>
                  <w:szCs w:val="16"/>
                </w:rPr>
                <w:t>mines</w:t>
              </w:r>
            </w:hyperlink>
            <w:r w:rsidRPr="00E11FFB">
              <w:rPr>
                <w:rFonts w:ascii="Avenir" w:eastAsia="Avenir" w:hAnsi="Avenir" w:cs="Avenir"/>
                <w:color w:val="000000"/>
                <w:sz w:val="16"/>
                <w:szCs w:val="16"/>
              </w:rPr>
              <w:t xml:space="preserve"> et </w:t>
            </w:r>
            <w:hyperlink r:id="rId29" w:history="1">
              <w:r w:rsidRPr="00E11FFB">
                <w:rPr>
                  <w:rStyle w:val="Lienhypertexte"/>
                  <w:rFonts w:ascii="Avenir" w:eastAsia="Avenir" w:hAnsi="Avenir" w:cs="Avenir"/>
                  <w:sz w:val="16"/>
                  <w:szCs w:val="16"/>
                </w:rPr>
                <w:t>hydrocarbures</w:t>
              </w:r>
            </w:hyperlink>
            <w:r w:rsidRPr="00E11FFB">
              <w:rPr>
                <w:rFonts w:ascii="Avenir" w:eastAsia="Avenir" w:hAnsi="Avenir" w:cs="Avenir"/>
                <w:color w:val="000000"/>
                <w:sz w:val="16"/>
                <w:szCs w:val="16"/>
              </w:rPr>
              <w:t>)</w:t>
            </w:r>
          </w:p>
          <w:p w14:paraId="3237A049" w14:textId="434C59A9" w:rsidR="008A6F74" w:rsidRPr="00E11FFB" w:rsidRDefault="008A6F74" w:rsidP="008A6F74">
            <w:pPr>
              <w:rPr>
                <w:rFonts w:ascii="Avenir" w:eastAsia="Avenir" w:hAnsi="Avenir" w:cs="Avenir"/>
                <w:color w:val="000000"/>
                <w:sz w:val="16"/>
                <w:szCs w:val="16"/>
              </w:rPr>
            </w:pPr>
            <w:r w:rsidRPr="00E11FFB">
              <w:rPr>
                <w:rFonts w:ascii="Avenir" w:eastAsia="Avenir" w:hAnsi="Avenir" w:cs="Avenir"/>
                <w:color w:val="000000"/>
                <w:sz w:val="16"/>
                <w:szCs w:val="16"/>
              </w:rPr>
              <w:t>Les anciens contrats publiés hydrocarbure</w:t>
            </w:r>
          </w:p>
          <w:p w14:paraId="71B4BD54" w14:textId="2B65AA7B" w:rsidR="008A6F74" w:rsidRPr="00E11FFB" w:rsidRDefault="003F07D8" w:rsidP="008A6F74">
            <w:pPr>
              <w:rPr>
                <w:rFonts w:ascii="Avenir" w:eastAsia="Avenir" w:hAnsi="Avenir" w:cs="Avenir"/>
                <w:color w:val="000000"/>
                <w:sz w:val="16"/>
                <w:szCs w:val="16"/>
              </w:rPr>
            </w:pPr>
            <w:r w:rsidRPr="00E11FFB">
              <w:rPr>
                <w:rFonts w:ascii="Avenir" w:eastAsia="Avenir" w:hAnsi="Avenir" w:cs="Avenir"/>
                <w:color w:val="000000"/>
                <w:sz w:val="16"/>
                <w:szCs w:val="16"/>
              </w:rPr>
              <w:t>7</w:t>
            </w:r>
            <w:r w:rsidR="008A6F74" w:rsidRPr="00E11FFB">
              <w:rPr>
                <w:rFonts w:ascii="Avenir" w:eastAsia="Avenir" w:hAnsi="Avenir" w:cs="Avenir"/>
                <w:color w:val="000000"/>
                <w:sz w:val="16"/>
                <w:szCs w:val="16"/>
              </w:rPr>
              <w:t xml:space="preserve"> contrats du secteur minier publiés en 2025, </w:t>
            </w:r>
          </w:p>
          <w:p w14:paraId="3C5D7F96" w14:textId="11296C5D" w:rsidR="008A6F74" w:rsidRPr="00E11FFB" w:rsidRDefault="003F07D8" w:rsidP="008A6F74">
            <w:pPr>
              <w:rPr>
                <w:rFonts w:ascii="Avenir" w:eastAsia="Avenir" w:hAnsi="Avenir" w:cs="Avenir"/>
                <w:color w:val="000000"/>
                <w:sz w:val="16"/>
                <w:szCs w:val="16"/>
              </w:rPr>
            </w:pPr>
            <w:r w:rsidRPr="00E11FFB">
              <w:rPr>
                <w:rFonts w:ascii="Avenir" w:eastAsia="Avenir" w:hAnsi="Avenir" w:cs="Avenir"/>
                <w:color w:val="000000"/>
                <w:sz w:val="16"/>
                <w:szCs w:val="16"/>
              </w:rPr>
              <w:t>Plus</w:t>
            </w:r>
            <w:r w:rsidR="008A6F74" w:rsidRPr="00E11FFB">
              <w:rPr>
                <w:rFonts w:ascii="Avenir" w:eastAsia="Avenir" w:hAnsi="Avenir" w:cs="Avenir"/>
                <w:color w:val="000000"/>
                <w:sz w:val="16"/>
                <w:szCs w:val="16"/>
              </w:rPr>
              <w:t xml:space="preserve"> de 20 séances de préparation données</w:t>
            </w:r>
          </w:p>
          <w:p w14:paraId="583D0BF7" w14:textId="77777777" w:rsidR="008A6F74" w:rsidRPr="00E11FFB" w:rsidRDefault="008A6F74" w:rsidP="008A6F74">
            <w:pPr>
              <w:rPr>
                <w:rFonts w:ascii="Avenir" w:eastAsia="Avenir" w:hAnsi="Avenir" w:cs="Avenir"/>
                <w:color w:val="000000"/>
                <w:sz w:val="16"/>
                <w:szCs w:val="16"/>
              </w:rPr>
            </w:pPr>
          </w:p>
          <w:p w14:paraId="49D0E13E" w14:textId="3B3E898A" w:rsidR="00863ED8" w:rsidRPr="00E11FFB" w:rsidRDefault="00863ED8" w:rsidP="008A6F74">
            <w:pPr>
              <w:ind w:left="0" w:firstLine="0"/>
              <w:rPr>
                <w:rFonts w:ascii="Calibri" w:hAnsi="Calibri" w:cs="Calibri"/>
                <w:color w:val="000000"/>
                <w:sz w:val="16"/>
                <w:szCs w:val="16"/>
                <w:lang w:eastAsia="fr-FR"/>
              </w:rPr>
            </w:pPr>
          </w:p>
        </w:tc>
        <w:tc>
          <w:tcPr>
            <w:tcW w:w="1710" w:type="dxa"/>
          </w:tcPr>
          <w:p w14:paraId="17C9E96F" w14:textId="77777777" w:rsidR="000B458E" w:rsidRPr="00E11FFB" w:rsidRDefault="000B458E" w:rsidP="000B458E">
            <w:pPr>
              <w:pBdr>
                <w:top w:val="nil"/>
                <w:left w:val="nil"/>
                <w:bottom w:val="nil"/>
                <w:right w:val="nil"/>
                <w:between w:val="nil"/>
              </w:pBdr>
              <w:ind w:left="10" w:firstLine="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Publication le 1er Déc 2022 de l’Accord Ventura-RDC (accord de fév. 2022 pour récupérer les actifs miniers de Gertler)  </w:t>
            </w:r>
          </w:p>
          <w:p w14:paraId="72BEDDCE" w14:textId="77777777" w:rsidR="000B458E" w:rsidRPr="00E11FFB" w:rsidRDefault="000B458E" w:rsidP="000B458E">
            <w:pPr>
              <w:pBdr>
                <w:top w:val="nil"/>
                <w:left w:val="nil"/>
                <w:bottom w:val="nil"/>
                <w:right w:val="nil"/>
                <w:between w:val="nil"/>
              </w:pBdr>
              <w:ind w:left="10" w:firstLine="0"/>
              <w:rPr>
                <w:rFonts w:ascii="Calibri" w:hAnsi="Calibri" w:cs="Calibri"/>
                <w:color w:val="000000"/>
                <w:sz w:val="16"/>
                <w:szCs w:val="16"/>
                <w:lang w:eastAsia="fr-FR"/>
              </w:rPr>
            </w:pPr>
            <w:r w:rsidRPr="00E11FFB">
              <w:rPr>
                <w:rFonts w:ascii="Calibri" w:hAnsi="Calibri" w:cs="Calibri"/>
                <w:color w:val="000000"/>
                <w:sz w:val="16"/>
                <w:szCs w:val="16"/>
                <w:lang w:eastAsia="fr-FR"/>
              </w:rPr>
              <w:t>13/10/2022 : obtention par la RDC d’un score global élevé (85.5 points) dans la mise en œuvre de la Norme ITIE 2019 (voir : Décision du Board de l’ITIE et Rapport de Validation)</w:t>
            </w:r>
          </w:p>
          <w:p w14:paraId="5C369202" w14:textId="35C26C99" w:rsidR="00863ED8" w:rsidRPr="00E11FFB" w:rsidRDefault="000B458E" w:rsidP="000B458E">
            <w:pPr>
              <w:pBdr>
                <w:top w:val="nil"/>
                <w:left w:val="nil"/>
                <w:bottom w:val="nil"/>
                <w:right w:val="nil"/>
                <w:between w:val="nil"/>
              </w:pBdr>
              <w:ind w:left="10" w:firstLine="0"/>
              <w:rPr>
                <w:rFonts w:ascii="Calibri" w:hAnsi="Calibri" w:cs="Calibri"/>
                <w:color w:val="000000"/>
                <w:sz w:val="16"/>
                <w:szCs w:val="16"/>
                <w:lang w:eastAsia="fr-FR"/>
              </w:rPr>
            </w:pPr>
            <w:r w:rsidRPr="00E11FFB">
              <w:rPr>
                <w:rFonts w:ascii="Calibri" w:hAnsi="Calibri" w:cs="Calibri"/>
                <w:color w:val="000000"/>
                <w:sz w:val="16"/>
                <w:szCs w:val="16"/>
                <w:lang w:eastAsia="fr-FR"/>
              </w:rPr>
              <w:t xml:space="preserve">92% des contrats miniers publiés (la moitié des non-publiés du fait de contraintes techniques (Tableau de suivi de la publication) : </w:t>
            </w:r>
            <w:hyperlink r:id="rId30" w:history="1">
              <w:r w:rsidRPr="00E11FFB">
                <w:rPr>
                  <w:rStyle w:val="Lienhypertexte"/>
                  <w:rFonts w:ascii="Calibri" w:hAnsi="Calibri" w:cs="Calibri"/>
                  <w:sz w:val="16"/>
                  <w:szCs w:val="16"/>
                  <w:lang w:eastAsia="fr-FR"/>
                </w:rPr>
                <w:t>https://www.itierdc.net/carte-de-la-rdc-cliquable/contrats-miniers/</w:t>
              </w:r>
            </w:hyperlink>
            <w:r w:rsidRPr="00E11FFB">
              <w:rPr>
                <w:rFonts w:ascii="Calibri" w:hAnsi="Calibri" w:cs="Calibri"/>
                <w:color w:val="000000"/>
                <w:sz w:val="16"/>
                <w:szCs w:val="16"/>
                <w:lang w:eastAsia="fr-FR"/>
              </w:rPr>
              <w:t xml:space="preserve"> </w:t>
            </w:r>
          </w:p>
        </w:tc>
        <w:tc>
          <w:tcPr>
            <w:tcW w:w="1493" w:type="dxa"/>
            <w:vAlign w:val="center"/>
          </w:tcPr>
          <w:p w14:paraId="452E435F" w14:textId="77777777" w:rsidR="00863ED8" w:rsidRPr="00E11FFB" w:rsidRDefault="00863ED8" w:rsidP="00863ED8">
            <w:pPr>
              <w:rPr>
                <w:rFonts w:ascii="Calibri" w:hAnsi="Calibri" w:cs="Calibri"/>
                <w:color w:val="000000"/>
                <w:sz w:val="16"/>
                <w:szCs w:val="16"/>
                <w:lang w:eastAsia="fr-FR"/>
              </w:rPr>
            </w:pPr>
          </w:p>
        </w:tc>
      </w:tr>
    </w:tbl>
    <w:p w14:paraId="68AFC736" w14:textId="20EC35AE" w:rsidR="00056DA6" w:rsidRPr="00E11FFB" w:rsidRDefault="00056DA6">
      <w:pPr>
        <w:tabs>
          <w:tab w:val="center" w:pos="5024"/>
        </w:tabs>
        <w:spacing w:before="57" w:after="198"/>
        <w:ind w:left="-15"/>
        <w:rPr>
          <w:rFonts w:ascii="Avenir" w:eastAsia="Avenir" w:hAnsi="Avenir" w:cs="Avenir"/>
          <w:color w:val="000000"/>
        </w:rPr>
      </w:pPr>
    </w:p>
    <w:p w14:paraId="63F00ACB" w14:textId="77777777" w:rsidR="0024617D" w:rsidRPr="00E11FFB" w:rsidRDefault="00C83F85">
      <w:pPr>
        <w:pStyle w:val="Titre1"/>
        <w:numPr>
          <w:ilvl w:val="0"/>
          <w:numId w:val="1"/>
        </w:numPr>
      </w:pPr>
      <w:bookmarkStart w:id="23" w:name="_Toc224044713"/>
      <w:r w:rsidRPr="00E11FFB">
        <w:t>Communication et promotion</w:t>
      </w:r>
      <w:bookmarkEnd w:id="23"/>
    </w:p>
    <w:p w14:paraId="0E26724F" w14:textId="77777777" w:rsidR="0024617D" w:rsidRPr="00E11FFB" w:rsidRDefault="00C83F85">
      <w:pPr>
        <w:pStyle w:val="Titre2"/>
      </w:pPr>
      <w:bookmarkStart w:id="24" w:name="_Toc224044714"/>
      <w:r w:rsidRPr="00E11FFB">
        <w:t>6.1 Illustration spécifique – Photos et vidéos HD</w:t>
      </w:r>
      <w:bookmarkEnd w:id="24"/>
    </w:p>
    <w:p w14:paraId="73FC027C" w14:textId="77777777" w:rsidR="0024617D" w:rsidRPr="00E11FFB" w:rsidRDefault="0024617D">
      <w:pPr>
        <w:spacing w:after="5"/>
        <w:ind w:left="20" w:right="28" w:hanging="10"/>
        <w:jc w:val="both"/>
        <w:rPr>
          <w:rFonts w:ascii="Avenir" w:eastAsia="Avenir" w:hAnsi="Avenir" w:cs="Avenir"/>
          <w:color w:val="000000"/>
          <w:sz w:val="16"/>
          <w:szCs w:val="16"/>
        </w:rPr>
      </w:pPr>
    </w:p>
    <w:p w14:paraId="31490FF9" w14:textId="7D081E3C" w:rsidR="00B7598F" w:rsidRPr="00E11FFB" w:rsidRDefault="003A4316">
      <w:pPr>
        <w:spacing w:after="5" w:line="271" w:lineRule="auto"/>
        <w:ind w:left="20" w:right="35" w:hanging="10"/>
        <w:jc w:val="both"/>
        <w:rPr>
          <w:rFonts w:ascii="Avenir" w:eastAsia="Avenir" w:hAnsi="Avenir" w:cs="Avenir"/>
          <w:iCs/>
          <w:sz w:val="20"/>
          <w:szCs w:val="20"/>
        </w:rPr>
      </w:pPr>
      <w:r w:rsidRPr="00E11FFB">
        <w:rPr>
          <w:rFonts w:ascii="Avenir" w:eastAsia="Avenir" w:hAnsi="Avenir" w:cs="Avenir"/>
          <w:iCs/>
          <w:sz w:val="20"/>
          <w:szCs w:val="20"/>
        </w:rPr>
        <w:t xml:space="preserve">La sensibilisation </w:t>
      </w:r>
      <w:r w:rsidR="0050321E" w:rsidRPr="00E11FFB">
        <w:rPr>
          <w:rFonts w:ascii="Avenir" w:eastAsia="Avenir" w:hAnsi="Avenir" w:cs="Avenir"/>
          <w:iCs/>
          <w:sz w:val="20"/>
          <w:szCs w:val="20"/>
        </w:rPr>
        <w:t xml:space="preserve">de haut niveau </w:t>
      </w:r>
      <w:r w:rsidRPr="00E11FFB">
        <w:rPr>
          <w:rFonts w:ascii="Avenir" w:eastAsia="Avenir" w:hAnsi="Avenir" w:cs="Avenir"/>
          <w:iCs/>
          <w:sz w:val="20"/>
          <w:szCs w:val="20"/>
        </w:rPr>
        <w:t xml:space="preserve">de plus de </w:t>
      </w:r>
      <w:r w:rsidR="00056EDB" w:rsidRPr="00E11FFB">
        <w:rPr>
          <w:rFonts w:ascii="Avenir" w:eastAsia="Avenir" w:hAnsi="Avenir" w:cs="Avenir"/>
          <w:iCs/>
          <w:sz w:val="20"/>
          <w:szCs w:val="20"/>
        </w:rPr>
        <w:t xml:space="preserve">1 143 </w:t>
      </w:r>
      <w:r w:rsidRPr="00E11FFB">
        <w:rPr>
          <w:rFonts w:ascii="Avenir" w:eastAsia="Avenir" w:hAnsi="Avenir" w:cs="Avenir"/>
          <w:iCs/>
          <w:sz w:val="20"/>
          <w:szCs w:val="20"/>
        </w:rPr>
        <w:t>personnes sur la politique forestière nationale dans 25 provinces de la République Démocratique du Cong</w:t>
      </w:r>
      <w:r w:rsidR="00056EDB" w:rsidRPr="00E11FFB">
        <w:rPr>
          <w:rFonts w:ascii="Avenir" w:eastAsia="Avenir" w:hAnsi="Avenir" w:cs="Avenir"/>
          <w:iCs/>
          <w:sz w:val="20"/>
          <w:szCs w:val="20"/>
        </w:rPr>
        <w:t>o et environ 200 personnes en ligne a permis de mieux communiquer sur les activités du projet</w:t>
      </w:r>
      <w:r w:rsidRPr="00E11FFB">
        <w:rPr>
          <w:rFonts w:ascii="Avenir" w:eastAsia="Avenir" w:hAnsi="Avenir" w:cs="Avenir"/>
          <w:iCs/>
          <w:sz w:val="20"/>
          <w:szCs w:val="20"/>
        </w:rPr>
        <w:t xml:space="preserve">. Au-delà de </w:t>
      </w:r>
      <w:r w:rsidR="0050321E" w:rsidRPr="00E11FFB">
        <w:rPr>
          <w:rFonts w:ascii="Avenir" w:eastAsia="Avenir" w:hAnsi="Avenir" w:cs="Avenir"/>
          <w:iCs/>
          <w:sz w:val="20"/>
          <w:szCs w:val="20"/>
        </w:rPr>
        <w:t>ces personnes sensibilisées</w:t>
      </w:r>
      <w:r w:rsidR="004B06D8" w:rsidRPr="00E11FFB">
        <w:rPr>
          <w:rFonts w:ascii="Avenir" w:eastAsia="Avenir" w:hAnsi="Avenir" w:cs="Avenir"/>
          <w:iCs/>
          <w:sz w:val="20"/>
          <w:szCs w:val="20"/>
        </w:rPr>
        <w:t xml:space="preserve"> </w:t>
      </w:r>
      <w:r w:rsidR="00056EDB" w:rsidRPr="00E11FFB">
        <w:rPr>
          <w:rFonts w:ascii="Avenir" w:eastAsia="Avenir" w:hAnsi="Avenir" w:cs="Avenir"/>
          <w:iCs/>
          <w:sz w:val="20"/>
          <w:szCs w:val="20"/>
        </w:rPr>
        <w:t>au travers d</w:t>
      </w:r>
      <w:r w:rsidR="004B06D8" w:rsidRPr="00E11FFB">
        <w:rPr>
          <w:rFonts w:ascii="Avenir" w:eastAsia="Avenir" w:hAnsi="Avenir" w:cs="Avenir"/>
          <w:iCs/>
          <w:sz w:val="20"/>
          <w:szCs w:val="20"/>
        </w:rPr>
        <w:t xml:space="preserve">es </w:t>
      </w:r>
      <w:r w:rsidRPr="00E11FFB">
        <w:rPr>
          <w:rFonts w:ascii="Avenir" w:eastAsia="Avenir" w:hAnsi="Avenir" w:cs="Avenir"/>
          <w:iCs/>
          <w:sz w:val="20"/>
          <w:szCs w:val="20"/>
        </w:rPr>
        <w:t>atelier</w:t>
      </w:r>
      <w:r w:rsidR="004B06D8" w:rsidRPr="00E11FFB">
        <w:rPr>
          <w:rFonts w:ascii="Avenir" w:eastAsia="Avenir" w:hAnsi="Avenir" w:cs="Avenir"/>
          <w:iCs/>
          <w:sz w:val="20"/>
          <w:szCs w:val="20"/>
        </w:rPr>
        <w:t>s</w:t>
      </w:r>
      <w:r w:rsidR="00056EDB" w:rsidRPr="00E11FFB">
        <w:rPr>
          <w:rFonts w:ascii="Avenir" w:eastAsia="Avenir" w:hAnsi="Avenir" w:cs="Avenir"/>
          <w:iCs/>
          <w:sz w:val="20"/>
          <w:szCs w:val="20"/>
        </w:rPr>
        <w:t xml:space="preserve">, </w:t>
      </w:r>
      <w:r w:rsidRPr="00E11FFB">
        <w:rPr>
          <w:rFonts w:ascii="Avenir" w:eastAsia="Avenir" w:hAnsi="Avenir" w:cs="Avenir"/>
          <w:iCs/>
          <w:sz w:val="20"/>
          <w:szCs w:val="20"/>
        </w:rPr>
        <w:t>d’autres communications</w:t>
      </w:r>
      <w:r w:rsidR="00056EDB" w:rsidRPr="00E11FFB">
        <w:rPr>
          <w:rFonts w:ascii="Avenir" w:eastAsia="Avenir" w:hAnsi="Avenir" w:cs="Avenir"/>
          <w:iCs/>
          <w:sz w:val="20"/>
          <w:szCs w:val="20"/>
        </w:rPr>
        <w:t xml:space="preserve"> ont été développées</w:t>
      </w:r>
      <w:r w:rsidRPr="00E11FFB">
        <w:rPr>
          <w:rFonts w:ascii="Avenir" w:eastAsia="Avenir" w:hAnsi="Avenir" w:cs="Avenir"/>
          <w:iCs/>
          <w:sz w:val="20"/>
          <w:szCs w:val="20"/>
        </w:rPr>
        <w:t xml:space="preserve"> à travers </w:t>
      </w:r>
      <w:r w:rsidR="005D7D7C" w:rsidRPr="00E11FFB">
        <w:rPr>
          <w:rFonts w:ascii="Avenir" w:eastAsia="Avenir" w:hAnsi="Avenir" w:cs="Avenir"/>
          <w:iCs/>
          <w:sz w:val="20"/>
          <w:szCs w:val="20"/>
        </w:rPr>
        <w:t>les presses locales audiovisuelles et écrites</w:t>
      </w:r>
      <w:r w:rsidRPr="00E11FFB">
        <w:rPr>
          <w:rFonts w:ascii="Avenir" w:eastAsia="Avenir" w:hAnsi="Avenir" w:cs="Avenir"/>
          <w:iCs/>
          <w:sz w:val="20"/>
          <w:szCs w:val="20"/>
        </w:rPr>
        <w:t>.</w:t>
      </w:r>
    </w:p>
    <w:p w14:paraId="0E2D8DEF" w14:textId="7A1B6F6D" w:rsidR="00B45CF0" w:rsidRPr="00E11FFB" w:rsidRDefault="00B45CF0" w:rsidP="00B45CF0">
      <w:pPr>
        <w:spacing w:after="5" w:line="271" w:lineRule="auto"/>
        <w:ind w:left="20" w:right="35" w:hanging="10"/>
        <w:jc w:val="both"/>
      </w:pPr>
      <w:r w:rsidRPr="00E11FFB">
        <w:rPr>
          <w:rFonts w:ascii="Avenir" w:eastAsia="Avenir" w:hAnsi="Avenir" w:cs="Avenir"/>
          <w:iCs/>
          <w:noProof/>
          <w:sz w:val="20"/>
          <w:szCs w:val="20"/>
        </w:rPr>
        <w:drawing>
          <wp:inline distT="0" distB="0" distL="0" distR="0" wp14:anchorId="1E5CC91A" wp14:editId="1A46FF0C">
            <wp:extent cx="2737914" cy="2053436"/>
            <wp:effectExtent l="0" t="0" r="5715" b="4445"/>
            <wp:docPr id="2076148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983" cy="2057988"/>
                    </a:xfrm>
                    <a:prstGeom prst="rect">
                      <a:avLst/>
                    </a:prstGeom>
                    <a:noFill/>
                    <a:ln>
                      <a:noFill/>
                    </a:ln>
                  </pic:spPr>
                </pic:pic>
              </a:graphicData>
            </a:graphic>
          </wp:inline>
        </w:drawing>
      </w:r>
      <w:r w:rsidRPr="00E11FFB">
        <w:t xml:space="preserve"> </w:t>
      </w:r>
      <w:r w:rsidRPr="00E11FFB">
        <w:rPr>
          <w:rFonts w:ascii="Avenir" w:eastAsia="Avenir" w:hAnsi="Avenir" w:cs="Avenir"/>
          <w:iCs/>
          <w:noProof/>
          <w:sz w:val="20"/>
          <w:szCs w:val="20"/>
        </w:rPr>
        <w:drawing>
          <wp:inline distT="0" distB="0" distL="0" distR="0" wp14:anchorId="34FDF85B" wp14:editId="31BF7DB9">
            <wp:extent cx="2706202" cy="2029652"/>
            <wp:effectExtent l="0" t="0" r="0" b="8890"/>
            <wp:docPr id="1441230376" name="Picture 5"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30376" name="Picture 5" descr="A group of people sitting around a table&#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08840" cy="2031630"/>
                    </a:xfrm>
                    <a:prstGeom prst="rect">
                      <a:avLst/>
                    </a:prstGeom>
                    <a:noFill/>
                    <a:ln>
                      <a:noFill/>
                    </a:ln>
                  </pic:spPr>
                </pic:pic>
              </a:graphicData>
            </a:graphic>
          </wp:inline>
        </w:drawing>
      </w:r>
    </w:p>
    <w:p w14:paraId="5108BCED" w14:textId="2FD72710" w:rsidR="00B45CF0" w:rsidRPr="00E11FFB" w:rsidRDefault="00B45CF0" w:rsidP="00B45CF0">
      <w:pPr>
        <w:jc w:val="center"/>
        <w:rPr>
          <w:rFonts w:ascii="Avenir" w:eastAsia="Avenir" w:hAnsi="Avenir" w:cs="Avenir"/>
          <w:iCs/>
          <w:color w:val="4F81BD" w:themeColor="accent1"/>
          <w:sz w:val="16"/>
          <w:szCs w:val="16"/>
        </w:rPr>
      </w:pPr>
      <w:r w:rsidRPr="00E11FFB">
        <w:rPr>
          <w:rFonts w:ascii="Avenir" w:eastAsia="Avenir" w:hAnsi="Avenir" w:cs="Avenir"/>
          <w:iCs/>
          <w:color w:val="4F81BD" w:themeColor="accent1"/>
          <w:sz w:val="16"/>
          <w:szCs w:val="16"/>
        </w:rPr>
        <w:t>Sensibilisation et consultations des parties prenantes sur la politique forestière dans le Haut Katanga</w:t>
      </w:r>
    </w:p>
    <w:p w14:paraId="70512597" w14:textId="77777777" w:rsidR="00B45CF0" w:rsidRPr="00E11FFB" w:rsidRDefault="00B45CF0" w:rsidP="00B45CF0">
      <w:pPr>
        <w:spacing w:after="5" w:line="271" w:lineRule="auto"/>
        <w:ind w:left="20" w:right="35" w:hanging="10"/>
        <w:jc w:val="both"/>
        <w:rPr>
          <w:rFonts w:ascii="Avenir" w:eastAsia="Avenir" w:hAnsi="Avenir" w:cs="Avenir"/>
          <w:iCs/>
          <w:sz w:val="20"/>
          <w:szCs w:val="20"/>
        </w:rPr>
      </w:pPr>
    </w:p>
    <w:p w14:paraId="689BBEF6" w14:textId="04AAB942" w:rsidR="00B45CF0" w:rsidRPr="00E11FFB" w:rsidRDefault="00B45CF0" w:rsidP="00B45CF0">
      <w:pPr>
        <w:spacing w:after="5" w:line="271" w:lineRule="auto"/>
        <w:ind w:left="20" w:right="35" w:hanging="10"/>
        <w:jc w:val="both"/>
        <w:rPr>
          <w:rFonts w:ascii="Avenir" w:eastAsia="Avenir" w:hAnsi="Avenir" w:cs="Avenir"/>
          <w:iCs/>
          <w:sz w:val="20"/>
          <w:szCs w:val="20"/>
        </w:rPr>
      </w:pPr>
    </w:p>
    <w:p w14:paraId="0EC8BC18" w14:textId="4228EC22" w:rsidR="00BC4309" w:rsidRPr="00E11FFB" w:rsidRDefault="00B45CF0" w:rsidP="00BC4309">
      <w:pPr>
        <w:spacing w:after="5" w:line="271" w:lineRule="auto"/>
        <w:ind w:left="20" w:right="35" w:hanging="10"/>
        <w:jc w:val="both"/>
      </w:pPr>
      <w:r w:rsidRPr="00E11FFB">
        <w:rPr>
          <w:rFonts w:ascii="Avenir" w:eastAsia="Avenir" w:hAnsi="Avenir" w:cs="Avenir"/>
          <w:iCs/>
          <w:noProof/>
          <w:sz w:val="20"/>
          <w:szCs w:val="20"/>
        </w:rPr>
        <w:drawing>
          <wp:inline distT="0" distB="0" distL="0" distR="0" wp14:anchorId="306EF917" wp14:editId="1590925C">
            <wp:extent cx="2632203" cy="1974152"/>
            <wp:effectExtent l="0" t="0" r="0" b="7620"/>
            <wp:docPr id="1525803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36651" cy="1977488"/>
                    </a:xfrm>
                    <a:prstGeom prst="rect">
                      <a:avLst/>
                    </a:prstGeom>
                    <a:noFill/>
                    <a:ln>
                      <a:noFill/>
                    </a:ln>
                  </pic:spPr>
                </pic:pic>
              </a:graphicData>
            </a:graphic>
          </wp:inline>
        </w:drawing>
      </w:r>
      <w:r w:rsidR="00BC4309" w:rsidRPr="00E11FFB">
        <w:t xml:space="preserve"> </w:t>
      </w:r>
      <w:r w:rsidR="00BC4309" w:rsidRPr="00E11FFB">
        <w:rPr>
          <w:rFonts w:ascii="Avenir" w:eastAsia="Avenir" w:hAnsi="Avenir" w:cs="Avenir"/>
          <w:iCs/>
          <w:noProof/>
          <w:sz w:val="20"/>
          <w:szCs w:val="20"/>
        </w:rPr>
        <w:drawing>
          <wp:inline distT="0" distB="0" distL="0" distR="0" wp14:anchorId="75F9E4BA" wp14:editId="529B842D">
            <wp:extent cx="2621633" cy="1966224"/>
            <wp:effectExtent l="0" t="0" r="7620" b="0"/>
            <wp:docPr id="17429397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44813" cy="1983609"/>
                    </a:xfrm>
                    <a:prstGeom prst="rect">
                      <a:avLst/>
                    </a:prstGeom>
                    <a:noFill/>
                    <a:ln>
                      <a:noFill/>
                    </a:ln>
                  </pic:spPr>
                </pic:pic>
              </a:graphicData>
            </a:graphic>
          </wp:inline>
        </w:drawing>
      </w:r>
    </w:p>
    <w:p w14:paraId="2F2820B0" w14:textId="4DA1E9DB" w:rsidR="00BC4309" w:rsidRPr="00E11FFB" w:rsidRDefault="00BC4309" w:rsidP="00BC4309">
      <w:pPr>
        <w:jc w:val="center"/>
        <w:rPr>
          <w:rFonts w:ascii="Avenir" w:eastAsia="Avenir" w:hAnsi="Avenir" w:cs="Avenir"/>
          <w:iCs/>
          <w:color w:val="4F81BD" w:themeColor="accent1"/>
          <w:sz w:val="16"/>
          <w:szCs w:val="16"/>
        </w:rPr>
      </w:pPr>
      <w:r w:rsidRPr="00E11FFB">
        <w:rPr>
          <w:rFonts w:ascii="Avenir" w:eastAsia="Avenir" w:hAnsi="Avenir" w:cs="Avenir"/>
          <w:iCs/>
          <w:color w:val="4F81BD" w:themeColor="accent1"/>
          <w:sz w:val="16"/>
          <w:szCs w:val="16"/>
        </w:rPr>
        <w:t>Consultations des femmes et autres acteurs de la société civile sur la politique forestière dans le Kongo central</w:t>
      </w:r>
    </w:p>
    <w:p w14:paraId="26BCAC3B" w14:textId="77777777" w:rsidR="00BC4309" w:rsidRPr="00E11FFB" w:rsidRDefault="00BC4309" w:rsidP="00BC4309">
      <w:pPr>
        <w:spacing w:after="5" w:line="271" w:lineRule="auto"/>
        <w:ind w:left="20" w:right="35" w:hanging="10"/>
        <w:jc w:val="both"/>
        <w:rPr>
          <w:rFonts w:ascii="Avenir" w:eastAsia="Avenir" w:hAnsi="Avenir" w:cs="Avenir"/>
          <w:iCs/>
          <w:sz w:val="20"/>
          <w:szCs w:val="20"/>
        </w:rPr>
      </w:pPr>
    </w:p>
    <w:p w14:paraId="2C56B834" w14:textId="6CA736C4" w:rsidR="00B45CF0" w:rsidRPr="00E11FFB" w:rsidRDefault="005D7D7C" w:rsidP="00B45CF0">
      <w:pPr>
        <w:spacing w:after="5" w:line="271" w:lineRule="auto"/>
        <w:ind w:left="20" w:right="35" w:hanging="10"/>
        <w:jc w:val="both"/>
        <w:rPr>
          <w:rFonts w:ascii="Avenir" w:eastAsia="Avenir" w:hAnsi="Avenir" w:cs="Avenir"/>
          <w:iCs/>
          <w:sz w:val="20"/>
          <w:szCs w:val="20"/>
        </w:rPr>
      </w:pPr>
      <w:r w:rsidRPr="00E11FFB">
        <w:rPr>
          <w:rFonts w:ascii="Avenir" w:eastAsia="Avenir" w:hAnsi="Avenir" w:cs="Avenir"/>
          <w:iCs/>
          <w:sz w:val="20"/>
          <w:szCs w:val="20"/>
        </w:rPr>
        <w:t xml:space="preserve">Sur la politique forestière nationale, la communication a </w:t>
      </w:r>
      <w:r w:rsidR="004D15A3" w:rsidRPr="00E11FFB">
        <w:rPr>
          <w:rFonts w:ascii="Avenir" w:eastAsia="Avenir" w:hAnsi="Avenir" w:cs="Avenir"/>
          <w:iCs/>
          <w:sz w:val="20"/>
          <w:szCs w:val="20"/>
        </w:rPr>
        <w:t xml:space="preserve">également </w:t>
      </w:r>
      <w:r w:rsidRPr="00E11FFB">
        <w:rPr>
          <w:rFonts w:ascii="Avenir" w:eastAsia="Avenir" w:hAnsi="Avenir" w:cs="Avenir"/>
          <w:iCs/>
          <w:sz w:val="20"/>
          <w:szCs w:val="20"/>
        </w:rPr>
        <w:t>eu lieu à travers les consultations en ligne (</w:t>
      </w:r>
      <w:r w:rsidR="00572CC7" w:rsidRPr="00E11FFB">
        <w:rPr>
          <w:rFonts w:ascii="Avenir" w:eastAsia="Avenir" w:hAnsi="Avenir" w:cs="Avenir"/>
          <w:iCs/>
          <w:sz w:val="20"/>
          <w:szCs w:val="20"/>
        </w:rPr>
        <w:t>environ 200</w:t>
      </w:r>
      <w:r w:rsidRPr="00E11FFB">
        <w:rPr>
          <w:rFonts w:ascii="Avenir" w:eastAsia="Avenir" w:hAnsi="Avenir" w:cs="Avenir"/>
          <w:iCs/>
          <w:sz w:val="20"/>
          <w:szCs w:val="20"/>
        </w:rPr>
        <w:t xml:space="preserve"> personnes consultées) à travers le </w:t>
      </w:r>
      <w:hyperlink r:id="rId35" w:history="1">
        <w:r w:rsidRPr="00E11FFB">
          <w:rPr>
            <w:rStyle w:val="Lienhypertexte"/>
            <w:rFonts w:ascii="Avenir" w:eastAsia="Avenir" w:hAnsi="Avenir" w:cs="Avenir"/>
            <w:iCs/>
            <w:sz w:val="20"/>
            <w:szCs w:val="20"/>
          </w:rPr>
          <w:t>site du ministère de l’environnement, développement durable et</w:t>
        </w:r>
      </w:hyperlink>
      <w:r w:rsidRPr="00E11FFB">
        <w:rPr>
          <w:rFonts w:ascii="Avenir" w:eastAsia="Avenir" w:hAnsi="Avenir" w:cs="Avenir"/>
          <w:iCs/>
          <w:sz w:val="20"/>
          <w:szCs w:val="20"/>
        </w:rPr>
        <w:t xml:space="preserve"> nouvelle économie du climat ainsi que </w:t>
      </w:r>
      <w:hyperlink r:id="rId36" w:history="1">
        <w:r w:rsidRPr="00E11FFB">
          <w:rPr>
            <w:rStyle w:val="Lienhypertexte"/>
            <w:rFonts w:ascii="Avenir" w:eastAsia="Avenir" w:hAnsi="Avenir" w:cs="Avenir"/>
            <w:iCs/>
            <w:sz w:val="20"/>
            <w:szCs w:val="20"/>
          </w:rPr>
          <w:t>sa page facebook</w:t>
        </w:r>
      </w:hyperlink>
      <w:r w:rsidRPr="00E11FFB">
        <w:rPr>
          <w:rFonts w:ascii="Avenir" w:eastAsia="Avenir" w:hAnsi="Avenir" w:cs="Avenir"/>
          <w:iCs/>
          <w:sz w:val="20"/>
          <w:szCs w:val="20"/>
        </w:rPr>
        <w:t xml:space="preserve">. </w:t>
      </w:r>
    </w:p>
    <w:p w14:paraId="231BC3D1" w14:textId="77777777" w:rsidR="0092759E" w:rsidRPr="00E11FFB" w:rsidRDefault="0092759E" w:rsidP="00B45CF0">
      <w:pPr>
        <w:spacing w:after="5" w:line="271" w:lineRule="auto"/>
        <w:ind w:left="20" w:right="35" w:hanging="10"/>
        <w:jc w:val="both"/>
        <w:rPr>
          <w:rFonts w:ascii="Avenir" w:eastAsia="Avenir" w:hAnsi="Avenir" w:cs="Avenir"/>
          <w:iCs/>
          <w:sz w:val="20"/>
          <w:szCs w:val="20"/>
        </w:rPr>
      </w:pPr>
    </w:p>
    <w:p w14:paraId="13A03ECB" w14:textId="68822BAC" w:rsidR="0092759E" w:rsidRPr="00E11FFB" w:rsidRDefault="0092759E" w:rsidP="00B45CF0">
      <w:pPr>
        <w:spacing w:after="5" w:line="271" w:lineRule="auto"/>
        <w:ind w:left="20" w:right="35" w:hanging="10"/>
        <w:jc w:val="both"/>
        <w:rPr>
          <w:rFonts w:ascii="Avenir" w:eastAsia="Avenir" w:hAnsi="Avenir" w:cs="Avenir"/>
          <w:iCs/>
          <w:sz w:val="20"/>
          <w:szCs w:val="20"/>
        </w:rPr>
      </w:pPr>
      <w:r w:rsidRPr="00E11FFB">
        <w:rPr>
          <w:rFonts w:ascii="Avenir" w:eastAsia="Avenir" w:hAnsi="Avenir" w:cs="Avenir"/>
          <w:iCs/>
          <w:sz w:val="20"/>
          <w:szCs w:val="20"/>
        </w:rPr>
        <w:t>Le processus d’élaboration de la politique nationale de population a permis d’informer</w:t>
      </w:r>
      <w:r w:rsidR="00F50522" w:rsidRPr="00E11FFB">
        <w:rPr>
          <w:rFonts w:ascii="Avenir" w:eastAsia="Avenir" w:hAnsi="Avenir" w:cs="Avenir"/>
          <w:iCs/>
          <w:sz w:val="20"/>
          <w:szCs w:val="20"/>
        </w:rPr>
        <w:t xml:space="preserve"> </w:t>
      </w:r>
      <w:r w:rsidR="00572CC7" w:rsidRPr="00E11FFB">
        <w:rPr>
          <w:rFonts w:ascii="Avenir" w:eastAsia="Avenir" w:hAnsi="Avenir" w:cs="Avenir"/>
          <w:iCs/>
          <w:sz w:val="20"/>
          <w:szCs w:val="20"/>
        </w:rPr>
        <w:t>97</w:t>
      </w:r>
      <w:r w:rsidRPr="00E11FFB">
        <w:rPr>
          <w:rFonts w:ascii="Avenir" w:eastAsia="Avenir" w:hAnsi="Avenir" w:cs="Avenir"/>
          <w:iCs/>
          <w:sz w:val="20"/>
          <w:szCs w:val="20"/>
        </w:rPr>
        <w:t xml:space="preserve"> personnes sur la feuille de route de ce processus et son approche. </w:t>
      </w:r>
      <w:r w:rsidR="00F50522" w:rsidRPr="00E11FFB">
        <w:rPr>
          <w:rFonts w:ascii="Avenir" w:eastAsia="Avenir" w:hAnsi="Avenir" w:cs="Avenir"/>
          <w:iCs/>
          <w:sz w:val="20"/>
          <w:szCs w:val="20"/>
        </w:rPr>
        <w:t xml:space="preserve">Le ministère national du plan a organisé un atelier de haut niveau réunissant les partenaires techniques et financiers, les acteurs de la société civile, le représentant de bailleurs et plus acteurs de développement national. </w:t>
      </w:r>
    </w:p>
    <w:p w14:paraId="6B126627" w14:textId="77777777" w:rsidR="00B7598F" w:rsidRPr="00E11FFB" w:rsidRDefault="00B7598F" w:rsidP="00B7598F">
      <w:pPr>
        <w:rPr>
          <w:rFonts w:ascii="Avenir" w:eastAsia="Avenir" w:hAnsi="Avenir" w:cs="Avenir"/>
          <w:color w:val="000000"/>
          <w:sz w:val="16"/>
          <w:szCs w:val="16"/>
        </w:rPr>
      </w:pPr>
      <w:hyperlink r:id="rId37" w:history="1">
        <w:r w:rsidRPr="00E11FFB">
          <w:rPr>
            <w:rStyle w:val="Lienhypertexte"/>
            <w:rFonts w:ascii="Avenir" w:eastAsia="Avenir" w:hAnsi="Avenir" w:cs="Avenir"/>
            <w:sz w:val="16"/>
            <w:szCs w:val="16"/>
          </w:rPr>
          <w:t>https://laprosperite.top/index.php/categories/la-prosperite/nation/plan-et-cad-rdc-guylain-nyembo-enclenche-le-processus-delaboration-de-la-politique-nationale-de-population</w:t>
        </w:r>
      </w:hyperlink>
    </w:p>
    <w:p w14:paraId="7C1D0F31" w14:textId="7AC3A53A" w:rsidR="00B7598F" w:rsidRPr="00E11FFB" w:rsidRDefault="00B7598F" w:rsidP="00B7598F">
      <w:pPr>
        <w:rPr>
          <w:rFonts w:ascii="Avenir" w:eastAsia="Avenir" w:hAnsi="Avenir" w:cs="Avenir"/>
          <w:color w:val="000000"/>
          <w:sz w:val="16"/>
          <w:szCs w:val="16"/>
        </w:rPr>
      </w:pPr>
      <w:r w:rsidRPr="00E11FFB">
        <w:rPr>
          <w:rFonts w:ascii="Avenir" w:eastAsia="Avenir" w:hAnsi="Avenir" w:cs="Avenir"/>
          <w:color w:val="000000"/>
          <w:sz w:val="16"/>
          <w:szCs w:val="16"/>
        </w:rPr>
        <w:t> </w:t>
      </w:r>
      <w:hyperlink r:id="rId38" w:tgtFrame="_blank" w:tooltip="https://ecomine.cd/actualite/2025/11/11/rdc-guylain-nyembo-lance-les-travaux-delaboration-de-la-politique-nationale-de" w:history="1">
        <w:r w:rsidRPr="00E11FFB">
          <w:rPr>
            <w:rStyle w:val="Lienhypertexte"/>
            <w:rFonts w:ascii="Avenir" w:eastAsia="Avenir" w:hAnsi="Avenir" w:cs="Avenir"/>
            <w:sz w:val="16"/>
            <w:szCs w:val="16"/>
          </w:rPr>
          <w:t>https://ecomine.cd/actualite/2025/11/11/rdc-guylain-nyembo-lance-les-travaux-delaboration-de-la-politique-nationale-de</w:t>
        </w:r>
      </w:hyperlink>
    </w:p>
    <w:p w14:paraId="3D68730C" w14:textId="588D4BB3" w:rsidR="00B7598F" w:rsidRPr="00E11FFB" w:rsidRDefault="00412998">
      <w:pPr>
        <w:spacing w:after="5" w:line="271" w:lineRule="auto"/>
        <w:ind w:left="20" w:right="35" w:hanging="10"/>
        <w:jc w:val="both"/>
        <w:rPr>
          <w:rFonts w:ascii="Avenir" w:eastAsia="Avenir" w:hAnsi="Avenir" w:cs="Avenir"/>
          <w:iCs/>
          <w:color w:val="000000"/>
          <w:sz w:val="20"/>
          <w:szCs w:val="20"/>
        </w:rPr>
      </w:pPr>
      <w:r w:rsidRPr="00E11FFB">
        <w:rPr>
          <w:rFonts w:ascii="Avenir" w:eastAsia="Avenir" w:hAnsi="Avenir" w:cs="Avenir"/>
          <w:iCs/>
          <w:color w:val="000000"/>
          <w:sz w:val="20"/>
          <w:szCs w:val="20"/>
        </w:rPr>
        <w:t xml:space="preserve">  </w:t>
      </w:r>
    </w:p>
    <w:p w14:paraId="3E10FC31" w14:textId="066602DA" w:rsidR="00F50522" w:rsidRPr="00E11FFB" w:rsidRDefault="00F50522" w:rsidP="00F50522">
      <w:pPr>
        <w:spacing w:after="5" w:line="271" w:lineRule="auto"/>
        <w:ind w:left="20" w:right="35" w:hanging="10"/>
        <w:jc w:val="both"/>
        <w:rPr>
          <w:rFonts w:ascii="Avenir" w:eastAsia="Avenir" w:hAnsi="Avenir" w:cs="Avenir"/>
          <w:i/>
          <w:color w:val="000000"/>
          <w:sz w:val="20"/>
          <w:szCs w:val="20"/>
        </w:rPr>
      </w:pPr>
      <w:r w:rsidRPr="00E11FFB">
        <w:rPr>
          <w:rFonts w:ascii="Avenir" w:eastAsia="Avenir" w:hAnsi="Avenir" w:cs="Avenir"/>
          <w:i/>
          <w:noProof/>
          <w:color w:val="000000"/>
          <w:sz w:val="20"/>
          <w:szCs w:val="20"/>
        </w:rPr>
        <w:drawing>
          <wp:inline distT="0" distB="0" distL="0" distR="0" wp14:anchorId="69F383B7" wp14:editId="2BD0DAC8">
            <wp:extent cx="5565140" cy="3701415"/>
            <wp:effectExtent l="0" t="0" r="0" b="0"/>
            <wp:docPr id="19036111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65140" cy="3701415"/>
                    </a:xfrm>
                    <a:prstGeom prst="rect">
                      <a:avLst/>
                    </a:prstGeom>
                    <a:noFill/>
                    <a:ln>
                      <a:noFill/>
                    </a:ln>
                  </pic:spPr>
                </pic:pic>
              </a:graphicData>
            </a:graphic>
          </wp:inline>
        </w:drawing>
      </w:r>
    </w:p>
    <w:p w14:paraId="35894353" w14:textId="4C73146E" w:rsidR="00BC1D0B" w:rsidRPr="00E11FFB" w:rsidRDefault="00BC1D0B" w:rsidP="00BC1D0B">
      <w:pPr>
        <w:jc w:val="center"/>
        <w:rPr>
          <w:rFonts w:ascii="Avenir" w:eastAsia="Avenir" w:hAnsi="Avenir" w:cs="Avenir"/>
          <w:i/>
          <w:color w:val="000000"/>
          <w:sz w:val="20"/>
          <w:szCs w:val="20"/>
        </w:rPr>
      </w:pPr>
      <w:r w:rsidRPr="00E11FFB">
        <w:rPr>
          <w:rFonts w:ascii="Avenir" w:eastAsia="Avenir" w:hAnsi="Avenir" w:cs="Avenir"/>
          <w:iCs/>
          <w:color w:val="4F81BD" w:themeColor="accent1"/>
          <w:sz w:val="16"/>
          <w:szCs w:val="16"/>
        </w:rPr>
        <w:t>Atelier de haut niveau sur le lancement officiel du processus d’élaboration de la politique nationale de population</w:t>
      </w:r>
    </w:p>
    <w:p w14:paraId="748E8043" w14:textId="77777777" w:rsidR="0024617D" w:rsidRPr="00E11FFB" w:rsidRDefault="0024617D">
      <w:pPr>
        <w:spacing w:after="5" w:line="271" w:lineRule="auto"/>
        <w:ind w:left="20" w:right="35" w:hanging="10"/>
        <w:jc w:val="both"/>
        <w:rPr>
          <w:rFonts w:ascii="Avenir" w:eastAsia="Avenir" w:hAnsi="Avenir" w:cs="Avenir"/>
          <w:i/>
          <w:color w:val="000000"/>
          <w:sz w:val="20"/>
          <w:szCs w:val="20"/>
        </w:rPr>
      </w:pPr>
    </w:p>
    <w:p w14:paraId="389E52FD" w14:textId="13467555" w:rsidR="00BC1D0B" w:rsidRPr="00E11FFB" w:rsidRDefault="00BC1D0B">
      <w:pPr>
        <w:spacing w:after="5" w:line="271" w:lineRule="auto"/>
        <w:ind w:left="20" w:right="35" w:hanging="10"/>
        <w:jc w:val="both"/>
        <w:rPr>
          <w:rFonts w:ascii="Avenir" w:eastAsia="Avenir" w:hAnsi="Avenir" w:cs="Avenir"/>
          <w:iCs/>
          <w:color w:val="000000"/>
          <w:sz w:val="20"/>
          <w:szCs w:val="20"/>
        </w:rPr>
      </w:pPr>
      <w:r w:rsidRPr="00E11FFB">
        <w:rPr>
          <w:rFonts w:ascii="Avenir" w:eastAsia="Avenir" w:hAnsi="Avenir" w:cs="Avenir"/>
          <w:iCs/>
          <w:color w:val="000000"/>
          <w:sz w:val="20"/>
          <w:szCs w:val="20"/>
        </w:rPr>
        <w:t xml:space="preserve">Pour donner suite à ce lancement officiel, les consultations des parties ont été organisées dans les 26 provinces de la RDC. Au total </w:t>
      </w:r>
      <w:r w:rsidR="001D4A91" w:rsidRPr="00E11FFB">
        <w:rPr>
          <w:rFonts w:ascii="Avenir" w:eastAsia="Avenir" w:hAnsi="Avenir" w:cs="Avenir"/>
          <w:iCs/>
          <w:color w:val="000000"/>
          <w:sz w:val="20"/>
          <w:szCs w:val="20"/>
        </w:rPr>
        <w:t>836</w:t>
      </w:r>
      <w:r w:rsidRPr="00E11FFB">
        <w:rPr>
          <w:rFonts w:ascii="Avenir" w:eastAsia="Avenir" w:hAnsi="Avenir" w:cs="Avenir"/>
          <w:iCs/>
          <w:color w:val="000000"/>
          <w:sz w:val="20"/>
          <w:szCs w:val="20"/>
        </w:rPr>
        <w:t xml:space="preserve"> personnes ont été consultés à travers </w:t>
      </w:r>
      <w:r w:rsidR="001D4A91" w:rsidRPr="00E11FFB">
        <w:rPr>
          <w:rFonts w:ascii="Avenir" w:eastAsia="Avenir" w:hAnsi="Avenir" w:cs="Avenir"/>
          <w:iCs/>
          <w:color w:val="000000"/>
          <w:sz w:val="20"/>
          <w:szCs w:val="20"/>
        </w:rPr>
        <w:t>les</w:t>
      </w:r>
      <w:r w:rsidRPr="00E11FFB">
        <w:rPr>
          <w:rFonts w:ascii="Avenir" w:eastAsia="Avenir" w:hAnsi="Avenir" w:cs="Avenir"/>
          <w:iCs/>
          <w:color w:val="000000"/>
          <w:sz w:val="20"/>
          <w:szCs w:val="20"/>
        </w:rPr>
        <w:t xml:space="preserve"> focus groupes organisés. </w:t>
      </w:r>
    </w:p>
    <w:p w14:paraId="58B59927" w14:textId="77777777" w:rsidR="00495D48" w:rsidRPr="00E11FFB" w:rsidRDefault="00495D48">
      <w:pPr>
        <w:spacing w:after="5" w:line="271" w:lineRule="auto"/>
        <w:ind w:left="20" w:right="35" w:hanging="10"/>
        <w:jc w:val="both"/>
        <w:rPr>
          <w:rFonts w:ascii="Avenir" w:eastAsia="Avenir" w:hAnsi="Avenir" w:cs="Avenir"/>
          <w:iCs/>
          <w:color w:val="000000"/>
          <w:sz w:val="20"/>
          <w:szCs w:val="20"/>
        </w:rPr>
      </w:pPr>
    </w:p>
    <w:p w14:paraId="5F723F7A" w14:textId="0AE541B0" w:rsidR="00495D48" w:rsidRPr="00E11FFB" w:rsidRDefault="00495D48" w:rsidP="00495D48">
      <w:pPr>
        <w:spacing w:after="5" w:line="271" w:lineRule="auto"/>
        <w:ind w:left="20" w:right="35" w:hanging="10"/>
        <w:jc w:val="both"/>
      </w:pPr>
      <w:r w:rsidRPr="00E11FFB">
        <w:rPr>
          <w:rFonts w:ascii="Avenir" w:eastAsia="Avenir" w:hAnsi="Avenir" w:cs="Avenir"/>
          <w:iCs/>
          <w:noProof/>
          <w:color w:val="000000"/>
          <w:sz w:val="20"/>
          <w:szCs w:val="20"/>
        </w:rPr>
        <w:drawing>
          <wp:inline distT="0" distB="0" distL="0" distR="0" wp14:anchorId="58771CEA" wp14:editId="71284A83">
            <wp:extent cx="2811912" cy="2108934"/>
            <wp:effectExtent l="0" t="0" r="7620" b="5715"/>
            <wp:docPr id="9088172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13518" cy="2110138"/>
                    </a:xfrm>
                    <a:prstGeom prst="rect">
                      <a:avLst/>
                    </a:prstGeom>
                    <a:noFill/>
                    <a:ln>
                      <a:noFill/>
                    </a:ln>
                  </pic:spPr>
                </pic:pic>
              </a:graphicData>
            </a:graphic>
          </wp:inline>
        </w:drawing>
      </w:r>
      <w:r w:rsidRPr="00E11FFB">
        <w:t xml:space="preserve"> </w:t>
      </w:r>
      <w:r w:rsidRPr="00E11FFB">
        <w:rPr>
          <w:rFonts w:ascii="Avenir" w:eastAsia="Avenir" w:hAnsi="Avenir" w:cs="Avenir"/>
          <w:iCs/>
          <w:noProof/>
          <w:color w:val="000000"/>
          <w:sz w:val="20"/>
          <w:szCs w:val="20"/>
        </w:rPr>
        <w:drawing>
          <wp:inline distT="0" distB="0" distL="0" distR="0" wp14:anchorId="688207CD" wp14:editId="102B88B5">
            <wp:extent cx="1990230" cy="2118470"/>
            <wp:effectExtent l="0" t="0" r="0" b="0"/>
            <wp:docPr id="12324621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20165"/>
                    <a:stretch>
                      <a:fillRect/>
                    </a:stretch>
                  </pic:blipFill>
                  <pic:spPr bwMode="auto">
                    <a:xfrm>
                      <a:off x="0" y="0"/>
                      <a:ext cx="1997108" cy="2125792"/>
                    </a:xfrm>
                    <a:prstGeom prst="rect">
                      <a:avLst/>
                    </a:prstGeom>
                    <a:noFill/>
                    <a:ln>
                      <a:noFill/>
                    </a:ln>
                    <a:extLst>
                      <a:ext uri="{53640926-AAD7-44D8-BBD7-CCE9431645EC}">
                        <a14:shadowObscured xmlns:a14="http://schemas.microsoft.com/office/drawing/2010/main"/>
                      </a:ext>
                    </a:extLst>
                  </pic:spPr>
                </pic:pic>
              </a:graphicData>
            </a:graphic>
          </wp:inline>
        </w:drawing>
      </w:r>
    </w:p>
    <w:p w14:paraId="771A34C0" w14:textId="03B02330" w:rsidR="00CC5C4F" w:rsidRPr="00E11FFB" w:rsidRDefault="00CC5C4F" w:rsidP="00CC5C4F">
      <w:pPr>
        <w:spacing w:after="5" w:line="271" w:lineRule="auto"/>
        <w:ind w:left="20" w:right="35" w:hanging="10"/>
        <w:jc w:val="both"/>
        <w:rPr>
          <w:rFonts w:ascii="Avenir" w:eastAsia="Avenir" w:hAnsi="Avenir" w:cs="Avenir"/>
          <w:iCs/>
          <w:color w:val="000000"/>
          <w:sz w:val="20"/>
          <w:szCs w:val="20"/>
        </w:rPr>
      </w:pPr>
      <w:r w:rsidRPr="00E11FFB">
        <w:rPr>
          <w:rFonts w:ascii="Avenir" w:eastAsia="Avenir" w:hAnsi="Avenir" w:cs="Avenir"/>
          <w:iCs/>
          <w:noProof/>
          <w:color w:val="000000"/>
          <w:sz w:val="20"/>
          <w:szCs w:val="20"/>
        </w:rPr>
        <w:drawing>
          <wp:inline distT="0" distB="0" distL="0" distR="0" wp14:anchorId="1BD0C0B4" wp14:editId="68D6B6B1">
            <wp:extent cx="2749550" cy="2018624"/>
            <wp:effectExtent l="0" t="0" r="0" b="1270"/>
            <wp:docPr id="74083803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12448"/>
                    <a:stretch>
                      <a:fillRect/>
                    </a:stretch>
                  </pic:blipFill>
                  <pic:spPr bwMode="auto">
                    <a:xfrm>
                      <a:off x="0" y="0"/>
                      <a:ext cx="2765424" cy="2030278"/>
                    </a:xfrm>
                    <a:prstGeom prst="rect">
                      <a:avLst/>
                    </a:prstGeom>
                    <a:noFill/>
                    <a:ln>
                      <a:noFill/>
                    </a:ln>
                    <a:extLst>
                      <a:ext uri="{53640926-AAD7-44D8-BBD7-CCE9431645EC}">
                        <a14:shadowObscured xmlns:a14="http://schemas.microsoft.com/office/drawing/2010/main"/>
                      </a:ext>
                    </a:extLst>
                  </pic:spPr>
                </pic:pic>
              </a:graphicData>
            </a:graphic>
          </wp:inline>
        </w:drawing>
      </w:r>
      <w:r w:rsidRPr="00E11FFB">
        <w:t xml:space="preserve"> </w:t>
      </w:r>
      <w:r w:rsidRPr="00E11FFB">
        <w:rPr>
          <w:rFonts w:ascii="Avenir" w:eastAsia="Avenir" w:hAnsi="Avenir" w:cs="Avenir"/>
          <w:iCs/>
          <w:noProof/>
          <w:color w:val="000000"/>
          <w:sz w:val="20"/>
          <w:szCs w:val="20"/>
        </w:rPr>
        <w:drawing>
          <wp:inline distT="0" distB="0" distL="0" distR="0" wp14:anchorId="7F6C4183" wp14:editId="5667D802">
            <wp:extent cx="2648061" cy="1986046"/>
            <wp:effectExtent l="0" t="0" r="0" b="0"/>
            <wp:docPr id="1945112257" name="Picture 29"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12257" name="Picture 29" descr="A group of people posing for a photo&#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59530" cy="1994648"/>
                    </a:xfrm>
                    <a:prstGeom prst="rect">
                      <a:avLst/>
                    </a:prstGeom>
                    <a:noFill/>
                    <a:ln>
                      <a:noFill/>
                    </a:ln>
                  </pic:spPr>
                </pic:pic>
              </a:graphicData>
            </a:graphic>
          </wp:inline>
        </w:drawing>
      </w:r>
    </w:p>
    <w:p w14:paraId="64CC3281" w14:textId="0921A9AE" w:rsidR="00495D48" w:rsidRPr="00E11FFB" w:rsidRDefault="00495D48">
      <w:pPr>
        <w:spacing w:after="5" w:line="271" w:lineRule="auto"/>
        <w:ind w:left="20" w:right="35" w:hanging="10"/>
        <w:jc w:val="both"/>
        <w:rPr>
          <w:rFonts w:ascii="Avenir" w:eastAsia="Avenir" w:hAnsi="Avenir" w:cs="Avenir"/>
          <w:iCs/>
          <w:color w:val="4F81BD" w:themeColor="accent1"/>
          <w:sz w:val="16"/>
          <w:szCs w:val="16"/>
        </w:rPr>
      </w:pPr>
      <w:r w:rsidRPr="00E11FFB">
        <w:rPr>
          <w:rFonts w:ascii="Avenir" w:eastAsia="Avenir" w:hAnsi="Avenir" w:cs="Avenir"/>
          <w:iCs/>
          <w:color w:val="4F81BD" w:themeColor="accent1"/>
          <w:sz w:val="16"/>
          <w:szCs w:val="16"/>
        </w:rPr>
        <w:t>Consultations des personnes ressources au niveau provincial sur la politique nationale de population et le profil démographique</w:t>
      </w:r>
    </w:p>
    <w:p w14:paraId="53FA8D32" w14:textId="77777777" w:rsidR="00495D48" w:rsidRPr="00E11FFB" w:rsidRDefault="00495D48">
      <w:pPr>
        <w:spacing w:after="5" w:line="271" w:lineRule="auto"/>
        <w:ind w:left="20" w:right="35" w:hanging="10"/>
        <w:jc w:val="both"/>
        <w:rPr>
          <w:rFonts w:ascii="Avenir" w:eastAsia="Avenir" w:hAnsi="Avenir" w:cs="Avenir"/>
          <w:iCs/>
          <w:color w:val="000000"/>
          <w:sz w:val="20"/>
          <w:szCs w:val="20"/>
        </w:rPr>
      </w:pPr>
    </w:p>
    <w:p w14:paraId="4085C910" w14:textId="4A06FC3B" w:rsidR="007A6E31" w:rsidRPr="00E11FFB" w:rsidRDefault="007A6E31" w:rsidP="007A6E31">
      <w:pPr>
        <w:spacing w:after="5" w:line="271" w:lineRule="auto"/>
        <w:ind w:left="20" w:right="35" w:hanging="10"/>
        <w:jc w:val="center"/>
        <w:rPr>
          <w:rFonts w:ascii="Avenir" w:eastAsia="Avenir" w:hAnsi="Avenir" w:cs="Avenir"/>
          <w:iCs/>
          <w:color w:val="000000"/>
          <w:sz w:val="20"/>
          <w:szCs w:val="20"/>
        </w:rPr>
      </w:pPr>
      <w:r w:rsidRPr="00E11FFB">
        <w:rPr>
          <w:rFonts w:ascii="Avenir" w:eastAsia="Avenir" w:hAnsi="Avenir" w:cs="Avenir"/>
          <w:iCs/>
          <w:noProof/>
          <w:color w:val="000000"/>
          <w:sz w:val="20"/>
          <w:szCs w:val="20"/>
        </w:rPr>
        <w:drawing>
          <wp:inline distT="0" distB="0" distL="0" distR="0" wp14:anchorId="5D2A2D02" wp14:editId="63E8007E">
            <wp:extent cx="2762250" cy="2068221"/>
            <wp:effectExtent l="0" t="0" r="0" b="8255"/>
            <wp:docPr id="113025070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4829" cy="2077639"/>
                    </a:xfrm>
                    <a:prstGeom prst="rect">
                      <a:avLst/>
                    </a:prstGeom>
                    <a:noFill/>
                    <a:ln>
                      <a:noFill/>
                    </a:ln>
                  </pic:spPr>
                </pic:pic>
              </a:graphicData>
            </a:graphic>
          </wp:inline>
        </w:drawing>
      </w:r>
      <w:r w:rsidRPr="00E11FFB">
        <w:rPr>
          <w:rFonts w:ascii="Avenir" w:eastAsia="Avenir" w:hAnsi="Avenir" w:cs="Avenir"/>
          <w:iCs/>
          <w:noProof/>
          <w:color w:val="000000"/>
          <w:sz w:val="20"/>
          <w:szCs w:val="20"/>
        </w:rPr>
        <w:drawing>
          <wp:inline distT="0" distB="0" distL="0" distR="0" wp14:anchorId="26DB2777" wp14:editId="0FD47061">
            <wp:extent cx="2762250" cy="2068220"/>
            <wp:effectExtent l="0" t="0" r="0" b="8255"/>
            <wp:docPr id="1902170192" name="Picture 35"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70192" name="Picture 35" descr="A group of people standing together&#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75901" cy="2078441"/>
                    </a:xfrm>
                    <a:prstGeom prst="rect">
                      <a:avLst/>
                    </a:prstGeom>
                    <a:noFill/>
                    <a:ln>
                      <a:noFill/>
                    </a:ln>
                  </pic:spPr>
                </pic:pic>
              </a:graphicData>
            </a:graphic>
          </wp:inline>
        </w:drawing>
      </w:r>
    </w:p>
    <w:p w14:paraId="52E7817B" w14:textId="69B40E3A" w:rsidR="007A6E31" w:rsidRPr="00E11FFB" w:rsidRDefault="007A6E31" w:rsidP="007A6E31">
      <w:pPr>
        <w:spacing w:after="5" w:line="271" w:lineRule="auto"/>
        <w:ind w:left="20" w:right="35" w:hanging="10"/>
        <w:jc w:val="center"/>
        <w:rPr>
          <w:rFonts w:ascii="Avenir" w:eastAsia="Avenir" w:hAnsi="Avenir" w:cs="Avenir"/>
          <w:iCs/>
          <w:color w:val="4F81BD" w:themeColor="accent1"/>
          <w:sz w:val="16"/>
          <w:szCs w:val="16"/>
        </w:rPr>
      </w:pPr>
      <w:r w:rsidRPr="00E11FFB">
        <w:rPr>
          <w:rFonts w:ascii="Avenir" w:eastAsia="Avenir" w:hAnsi="Avenir" w:cs="Avenir"/>
          <w:iCs/>
          <w:color w:val="4F81BD" w:themeColor="accent1"/>
          <w:sz w:val="16"/>
          <w:szCs w:val="16"/>
        </w:rPr>
        <w:t>Conseil consultatif national des forêts, session extraordinaire sur la validation de la feuille de route sur le code forestier</w:t>
      </w:r>
    </w:p>
    <w:p w14:paraId="19DB8261" w14:textId="77777777" w:rsidR="0024617D" w:rsidRPr="00E11FFB" w:rsidRDefault="00C83F85">
      <w:pPr>
        <w:pStyle w:val="Titre2"/>
      </w:pPr>
      <w:bookmarkStart w:id="25" w:name="_Toc224044715"/>
      <w:r w:rsidRPr="00E11FFB">
        <w:t>6.2 Stratégie et plan de communication</w:t>
      </w:r>
      <w:bookmarkEnd w:id="25"/>
    </w:p>
    <w:p w14:paraId="1525766B" w14:textId="77777777" w:rsidR="0024617D" w:rsidRPr="00E11FFB" w:rsidRDefault="0024617D">
      <w:pPr>
        <w:spacing w:after="5" w:line="271" w:lineRule="auto"/>
        <w:ind w:left="20" w:right="28" w:hanging="10"/>
        <w:jc w:val="both"/>
        <w:rPr>
          <w:rFonts w:ascii="Avenir" w:eastAsia="Avenir" w:hAnsi="Avenir" w:cs="Avenir"/>
          <w:color w:val="000000"/>
          <w:sz w:val="21"/>
          <w:szCs w:val="21"/>
        </w:rPr>
      </w:pPr>
    </w:p>
    <w:p w14:paraId="7E142F2D" w14:textId="6EDA4D64" w:rsidR="003E3C65" w:rsidRPr="00E11FFB" w:rsidRDefault="001F587D" w:rsidP="003E3C65">
      <w:pPr>
        <w:spacing w:after="5" w:line="271" w:lineRule="auto"/>
        <w:ind w:left="20" w:right="28" w:hanging="10"/>
        <w:jc w:val="both"/>
        <w:rPr>
          <w:rFonts w:ascii="Avenir" w:eastAsia="Avenir" w:hAnsi="Avenir" w:cs="Avenir"/>
          <w:color w:val="000000"/>
          <w:sz w:val="20"/>
          <w:szCs w:val="20"/>
        </w:rPr>
      </w:pPr>
      <w:r w:rsidRPr="00E11FFB">
        <w:rPr>
          <w:rFonts w:ascii="Avenir" w:eastAsia="Avenir" w:hAnsi="Avenir" w:cs="Avenir"/>
          <w:color w:val="000000"/>
          <w:sz w:val="20"/>
          <w:szCs w:val="20"/>
        </w:rPr>
        <w:t xml:space="preserve">Une stratégie de communication a été développée dans le cadre de ce projet suivant la nature d’activités (atelier, consultations provinciales, formation, sensibilisation, vulgarisation des documents légaux) et les entités concernées. </w:t>
      </w:r>
      <w:r w:rsidR="003E3C65" w:rsidRPr="00E11FFB">
        <w:rPr>
          <w:rFonts w:ascii="Avenir" w:eastAsia="Avenir" w:hAnsi="Avenir" w:cs="Avenir"/>
          <w:color w:val="000000"/>
          <w:sz w:val="20"/>
          <w:szCs w:val="20"/>
        </w:rPr>
        <w:t xml:space="preserve">La communication et la visibilité </w:t>
      </w:r>
      <w:r w:rsidRPr="00E11FFB">
        <w:rPr>
          <w:rFonts w:ascii="Avenir" w:eastAsia="Avenir" w:hAnsi="Avenir" w:cs="Avenir"/>
          <w:color w:val="000000"/>
          <w:sz w:val="20"/>
          <w:szCs w:val="20"/>
        </w:rPr>
        <w:t xml:space="preserve">avaient </w:t>
      </w:r>
      <w:r w:rsidR="003E3C65" w:rsidRPr="00E11FFB">
        <w:rPr>
          <w:rFonts w:ascii="Avenir" w:eastAsia="Avenir" w:hAnsi="Avenir" w:cs="Avenir"/>
          <w:color w:val="000000"/>
          <w:sz w:val="20"/>
          <w:szCs w:val="20"/>
        </w:rPr>
        <w:t xml:space="preserve">deux objectifs principaux : i) influencer les perceptions et susciter le changement ii) accroître la visibilité du travail et des résultats du projet, ainsi que de </w:t>
      </w:r>
      <w:r w:rsidR="005531A6" w:rsidRPr="00E11FFB">
        <w:rPr>
          <w:rFonts w:ascii="Avenir" w:eastAsia="Avenir" w:hAnsi="Avenir" w:cs="Avenir"/>
          <w:color w:val="000000"/>
          <w:sz w:val="20"/>
          <w:szCs w:val="20"/>
        </w:rPr>
        <w:t>ses bailleurs</w:t>
      </w:r>
      <w:r w:rsidR="003E3C65" w:rsidRPr="00E11FFB">
        <w:rPr>
          <w:rFonts w:ascii="Avenir" w:eastAsia="Avenir" w:hAnsi="Avenir" w:cs="Avenir"/>
          <w:color w:val="000000"/>
          <w:sz w:val="20"/>
          <w:szCs w:val="20"/>
        </w:rPr>
        <w:t xml:space="preserve">. </w:t>
      </w:r>
    </w:p>
    <w:p w14:paraId="55777ECD" w14:textId="77777777" w:rsidR="003E3C65" w:rsidRPr="00E11FFB" w:rsidRDefault="003E3C65" w:rsidP="003E3C65">
      <w:pPr>
        <w:spacing w:after="5" w:line="271" w:lineRule="auto"/>
        <w:ind w:left="20" w:right="28" w:hanging="10"/>
        <w:jc w:val="both"/>
        <w:rPr>
          <w:rFonts w:ascii="Avenir" w:eastAsia="Avenir" w:hAnsi="Avenir" w:cs="Avenir"/>
          <w:color w:val="000000"/>
          <w:sz w:val="20"/>
          <w:szCs w:val="20"/>
        </w:rPr>
      </w:pPr>
    </w:p>
    <w:p w14:paraId="0C8A13FC" w14:textId="6FCFD001" w:rsidR="003E3C65" w:rsidRPr="00E11FFB" w:rsidRDefault="001F587D" w:rsidP="003E3C65">
      <w:pPr>
        <w:spacing w:after="5" w:line="271" w:lineRule="auto"/>
        <w:ind w:left="20" w:right="28" w:hanging="10"/>
        <w:jc w:val="both"/>
        <w:rPr>
          <w:rFonts w:ascii="Avenir" w:eastAsia="Avenir" w:hAnsi="Avenir" w:cs="Avenir"/>
          <w:color w:val="000000"/>
          <w:sz w:val="20"/>
          <w:szCs w:val="20"/>
        </w:rPr>
      </w:pPr>
      <w:r w:rsidRPr="00E11FFB">
        <w:rPr>
          <w:rFonts w:ascii="Avenir" w:eastAsia="Avenir" w:hAnsi="Avenir" w:cs="Avenir"/>
          <w:color w:val="000000"/>
          <w:sz w:val="20"/>
          <w:szCs w:val="20"/>
        </w:rPr>
        <w:t>Au d</w:t>
      </w:r>
      <w:r w:rsidR="00B37261" w:rsidRPr="00E11FFB">
        <w:rPr>
          <w:rFonts w:ascii="Avenir" w:eastAsia="Avenir" w:hAnsi="Avenir" w:cs="Avenir"/>
          <w:color w:val="000000"/>
          <w:sz w:val="20"/>
          <w:szCs w:val="20"/>
        </w:rPr>
        <w:t>émarrage du projet</w:t>
      </w:r>
      <w:hyperlink r:id="rId46" w:history="1">
        <w:r w:rsidRPr="00E11FFB">
          <w:rPr>
            <w:rStyle w:val="Lienhypertexte"/>
            <w:rFonts w:ascii="Avenir" w:eastAsia="Avenir" w:hAnsi="Avenir" w:cs="Avenir"/>
            <w:sz w:val="20"/>
            <w:szCs w:val="20"/>
          </w:rPr>
          <w:t>,</w:t>
        </w:r>
        <w:r w:rsidR="00D43B10" w:rsidRPr="00E11FFB">
          <w:rPr>
            <w:rStyle w:val="Lienhypertexte"/>
            <w:rFonts w:ascii="Avenir" w:eastAsia="Avenir" w:hAnsi="Avenir" w:cs="Avenir"/>
            <w:sz w:val="20"/>
            <w:szCs w:val="20"/>
          </w:rPr>
          <w:t xml:space="preserve"> </w:t>
        </w:r>
        <w:r w:rsidRPr="00E11FFB">
          <w:rPr>
            <w:rStyle w:val="Lienhypertexte"/>
            <w:rFonts w:ascii="Avenir" w:eastAsia="Avenir" w:hAnsi="Avenir" w:cs="Avenir"/>
            <w:sz w:val="20"/>
            <w:szCs w:val="20"/>
          </w:rPr>
          <w:t>les logos</w:t>
        </w:r>
      </w:hyperlink>
      <w:r w:rsidRPr="00E11FFB">
        <w:rPr>
          <w:rFonts w:ascii="Avenir" w:eastAsia="Avenir" w:hAnsi="Avenir" w:cs="Avenir"/>
          <w:color w:val="000000"/>
          <w:sz w:val="20"/>
          <w:szCs w:val="20"/>
        </w:rPr>
        <w:t xml:space="preserve"> ont été choisis </w:t>
      </w:r>
      <w:r w:rsidR="001E4ECC" w:rsidRPr="00E11FFB">
        <w:rPr>
          <w:rFonts w:ascii="Avenir" w:eastAsia="Avenir" w:hAnsi="Avenir" w:cs="Avenir"/>
          <w:color w:val="000000"/>
          <w:sz w:val="20"/>
          <w:szCs w:val="20"/>
        </w:rPr>
        <w:t xml:space="preserve">pour </w:t>
      </w:r>
      <w:r w:rsidRPr="00E11FFB">
        <w:rPr>
          <w:rFonts w:ascii="Avenir" w:eastAsia="Avenir" w:hAnsi="Avenir" w:cs="Avenir"/>
          <w:color w:val="000000"/>
          <w:sz w:val="20"/>
          <w:szCs w:val="20"/>
        </w:rPr>
        <w:t>facili</w:t>
      </w:r>
      <w:r w:rsidR="001E4ECC" w:rsidRPr="00E11FFB">
        <w:rPr>
          <w:rFonts w:ascii="Avenir" w:eastAsia="Avenir" w:hAnsi="Avenir" w:cs="Avenir"/>
          <w:color w:val="000000"/>
          <w:sz w:val="20"/>
          <w:szCs w:val="20"/>
        </w:rPr>
        <w:t xml:space="preserve">ter </w:t>
      </w:r>
      <w:r w:rsidRPr="00E11FFB">
        <w:rPr>
          <w:rFonts w:ascii="Avenir" w:eastAsia="Avenir" w:hAnsi="Avenir" w:cs="Avenir"/>
          <w:color w:val="000000"/>
          <w:sz w:val="20"/>
          <w:szCs w:val="20"/>
        </w:rPr>
        <w:t xml:space="preserve">la communication et la visibilité des publications et </w:t>
      </w:r>
      <w:r w:rsidR="00B37261" w:rsidRPr="00E11FFB">
        <w:rPr>
          <w:rFonts w:ascii="Avenir" w:eastAsia="Avenir" w:hAnsi="Avenir" w:cs="Avenir"/>
          <w:color w:val="000000"/>
          <w:sz w:val="20"/>
          <w:szCs w:val="20"/>
        </w:rPr>
        <w:t xml:space="preserve">des </w:t>
      </w:r>
      <w:r w:rsidRPr="00E11FFB">
        <w:rPr>
          <w:rFonts w:ascii="Avenir" w:eastAsia="Avenir" w:hAnsi="Avenir" w:cs="Avenir"/>
          <w:color w:val="000000"/>
          <w:sz w:val="20"/>
          <w:szCs w:val="20"/>
        </w:rPr>
        <w:t xml:space="preserve">activités. </w:t>
      </w:r>
      <w:r w:rsidR="00B37261" w:rsidRPr="00E11FFB">
        <w:rPr>
          <w:rFonts w:ascii="Avenir" w:eastAsia="Avenir" w:hAnsi="Avenir" w:cs="Avenir"/>
          <w:color w:val="000000"/>
          <w:sz w:val="20"/>
          <w:szCs w:val="20"/>
        </w:rPr>
        <w:t>Pour la</w:t>
      </w:r>
      <w:r w:rsidR="001E4ECC" w:rsidRPr="00E11FFB">
        <w:rPr>
          <w:rFonts w:ascii="Avenir" w:eastAsia="Avenir" w:hAnsi="Avenir" w:cs="Avenir"/>
          <w:color w:val="000000"/>
          <w:sz w:val="20"/>
          <w:szCs w:val="20"/>
        </w:rPr>
        <w:t xml:space="preserve"> communication sur le financement la formule suivante a été utilisé par toutes les entités </w:t>
      </w:r>
      <w:r w:rsidR="003E3C65" w:rsidRPr="00E11FFB">
        <w:rPr>
          <w:rFonts w:ascii="Avenir" w:eastAsia="Avenir" w:hAnsi="Avenir" w:cs="Avenir"/>
          <w:color w:val="000000"/>
          <w:sz w:val="20"/>
          <w:szCs w:val="20"/>
        </w:rPr>
        <w:t xml:space="preserve">« </w:t>
      </w:r>
      <w:r w:rsidR="003D7094" w:rsidRPr="00E11FFB">
        <w:rPr>
          <w:rFonts w:ascii="Avenir" w:eastAsia="Avenir" w:hAnsi="Avenir" w:cs="Avenir"/>
          <w:color w:val="000000"/>
          <w:sz w:val="20"/>
          <w:szCs w:val="20"/>
        </w:rPr>
        <w:t xml:space="preserve">exécuté par PNUD sur </w:t>
      </w:r>
      <w:r w:rsidR="003E3C65" w:rsidRPr="00E11FFB">
        <w:rPr>
          <w:rFonts w:ascii="Avenir" w:eastAsia="Avenir" w:hAnsi="Avenir" w:cs="Avenir"/>
          <w:color w:val="000000"/>
          <w:sz w:val="20"/>
          <w:szCs w:val="20"/>
        </w:rPr>
        <w:t>financ</w:t>
      </w:r>
      <w:r w:rsidR="003D7094" w:rsidRPr="00E11FFB">
        <w:rPr>
          <w:rFonts w:ascii="Avenir" w:eastAsia="Avenir" w:hAnsi="Avenir" w:cs="Avenir"/>
          <w:color w:val="000000"/>
          <w:sz w:val="20"/>
          <w:szCs w:val="20"/>
        </w:rPr>
        <w:t xml:space="preserve">ement du </w:t>
      </w:r>
      <w:r w:rsidR="003E3C65" w:rsidRPr="00E11FFB">
        <w:rPr>
          <w:rFonts w:ascii="Avenir" w:eastAsia="Avenir" w:hAnsi="Avenir" w:cs="Avenir"/>
          <w:color w:val="000000"/>
          <w:sz w:val="20"/>
          <w:szCs w:val="20"/>
        </w:rPr>
        <w:t>FONAREDD</w:t>
      </w:r>
      <w:r w:rsidR="001E4ECC" w:rsidRPr="00E11FFB">
        <w:rPr>
          <w:rFonts w:ascii="Avenir" w:eastAsia="Avenir" w:hAnsi="Avenir" w:cs="Avenir"/>
          <w:color w:val="000000"/>
          <w:sz w:val="20"/>
          <w:szCs w:val="20"/>
        </w:rPr>
        <w:t xml:space="preserve"> à travers les fonds </w:t>
      </w:r>
      <w:r w:rsidR="003E3C65" w:rsidRPr="00E11FFB">
        <w:rPr>
          <w:rFonts w:ascii="Avenir" w:eastAsia="Avenir" w:hAnsi="Avenir" w:cs="Avenir"/>
          <w:color w:val="000000"/>
          <w:sz w:val="20"/>
          <w:szCs w:val="20"/>
        </w:rPr>
        <w:t>CAFI</w:t>
      </w:r>
      <w:r w:rsidR="001E4ECC" w:rsidRPr="00E11FFB">
        <w:rPr>
          <w:rStyle w:val="Appelnotedebasdep"/>
          <w:rFonts w:ascii="Avenir" w:eastAsia="Avenir" w:hAnsi="Avenir" w:cs="Avenir"/>
          <w:color w:val="000000"/>
          <w:sz w:val="20"/>
          <w:szCs w:val="20"/>
        </w:rPr>
        <w:footnoteReference w:id="38"/>
      </w:r>
      <w:r w:rsidR="003E3C65" w:rsidRPr="00E11FFB">
        <w:rPr>
          <w:rFonts w:ascii="Avenir" w:eastAsia="Avenir" w:hAnsi="Avenir" w:cs="Avenir"/>
          <w:color w:val="000000"/>
          <w:sz w:val="20"/>
          <w:szCs w:val="20"/>
        </w:rPr>
        <w:t xml:space="preserve"> ». </w:t>
      </w:r>
    </w:p>
    <w:p w14:paraId="3060B2B5" w14:textId="77777777" w:rsidR="001F587D" w:rsidRPr="00E11FFB" w:rsidRDefault="001F587D" w:rsidP="003E3C65">
      <w:pPr>
        <w:spacing w:after="5" w:line="271" w:lineRule="auto"/>
        <w:ind w:left="20" w:right="28" w:hanging="10"/>
        <w:jc w:val="both"/>
        <w:rPr>
          <w:rFonts w:ascii="Avenir" w:eastAsia="Avenir" w:hAnsi="Avenir" w:cs="Avenir"/>
          <w:color w:val="000000"/>
          <w:sz w:val="20"/>
          <w:szCs w:val="20"/>
        </w:rPr>
      </w:pPr>
    </w:p>
    <w:p w14:paraId="1A11516B" w14:textId="568B87B2" w:rsidR="00B37261" w:rsidRPr="00E11FFB" w:rsidRDefault="00B37261" w:rsidP="001F587D">
      <w:pPr>
        <w:spacing w:after="5" w:line="271" w:lineRule="auto"/>
        <w:ind w:left="20" w:right="28" w:hanging="10"/>
        <w:jc w:val="both"/>
        <w:rPr>
          <w:rFonts w:ascii="Avenir" w:eastAsia="Avenir" w:hAnsi="Avenir" w:cs="Avenir"/>
          <w:sz w:val="20"/>
          <w:szCs w:val="20"/>
        </w:rPr>
      </w:pPr>
      <w:r w:rsidRPr="00E11FFB">
        <w:rPr>
          <w:rFonts w:ascii="Avenir" w:eastAsia="Avenir" w:hAnsi="Avenir" w:cs="Avenir"/>
          <w:sz w:val="20"/>
          <w:szCs w:val="20"/>
        </w:rPr>
        <w:t xml:space="preserve">Pour toutes les entités, </w:t>
      </w:r>
      <w:r w:rsidR="007A6A56" w:rsidRPr="00E11FFB">
        <w:rPr>
          <w:rFonts w:ascii="Avenir" w:eastAsia="Avenir" w:hAnsi="Avenir" w:cs="Avenir"/>
          <w:sz w:val="20"/>
          <w:szCs w:val="20"/>
        </w:rPr>
        <w:t xml:space="preserve">les sites internes sont </w:t>
      </w:r>
      <w:r w:rsidRPr="00E11FFB">
        <w:rPr>
          <w:rFonts w:ascii="Avenir" w:eastAsia="Avenir" w:hAnsi="Avenir" w:cs="Avenir"/>
          <w:sz w:val="20"/>
          <w:szCs w:val="20"/>
        </w:rPr>
        <w:t>créé</w:t>
      </w:r>
      <w:r w:rsidR="007A6A56" w:rsidRPr="00E11FFB">
        <w:rPr>
          <w:rFonts w:ascii="Avenir" w:eastAsia="Avenir" w:hAnsi="Avenir" w:cs="Avenir"/>
          <w:sz w:val="20"/>
          <w:szCs w:val="20"/>
        </w:rPr>
        <w:t xml:space="preserve">s ou en cours de création. Ces sites présentent </w:t>
      </w:r>
      <w:r w:rsidRPr="00E11FFB">
        <w:rPr>
          <w:rFonts w:ascii="Avenir" w:eastAsia="Avenir" w:hAnsi="Avenir" w:cs="Avenir"/>
          <w:sz w:val="20"/>
          <w:szCs w:val="20"/>
        </w:rPr>
        <w:t xml:space="preserve">les </w:t>
      </w:r>
      <w:r w:rsidR="007A6A56" w:rsidRPr="00E11FFB">
        <w:rPr>
          <w:rFonts w:ascii="Avenir" w:eastAsia="Avenir" w:hAnsi="Avenir" w:cs="Avenir"/>
          <w:sz w:val="20"/>
          <w:szCs w:val="20"/>
        </w:rPr>
        <w:t xml:space="preserve">différents </w:t>
      </w:r>
      <w:r w:rsidRPr="00E11FFB">
        <w:rPr>
          <w:rFonts w:ascii="Avenir" w:eastAsia="Avenir" w:hAnsi="Avenir" w:cs="Avenir"/>
          <w:sz w:val="20"/>
          <w:szCs w:val="20"/>
        </w:rPr>
        <w:t xml:space="preserve">livrables </w:t>
      </w:r>
      <w:r w:rsidR="007A6A56" w:rsidRPr="00E11FFB">
        <w:rPr>
          <w:rFonts w:ascii="Avenir" w:eastAsia="Avenir" w:hAnsi="Avenir" w:cs="Avenir"/>
          <w:sz w:val="20"/>
          <w:szCs w:val="20"/>
        </w:rPr>
        <w:t xml:space="preserve">sectoriels </w:t>
      </w:r>
      <w:r w:rsidRPr="00E11FFB">
        <w:rPr>
          <w:rFonts w:ascii="Avenir" w:eastAsia="Avenir" w:hAnsi="Avenir" w:cs="Avenir"/>
          <w:sz w:val="20"/>
          <w:szCs w:val="20"/>
        </w:rPr>
        <w:t xml:space="preserve">du projet. Le but est de permettre une large diffusion des résultats obtenus et améliorer la capacité de communication des entités. </w:t>
      </w:r>
    </w:p>
    <w:p w14:paraId="46F78510" w14:textId="77777777" w:rsidR="003D7094" w:rsidRPr="00E11FFB" w:rsidRDefault="003D7094" w:rsidP="001F587D">
      <w:pPr>
        <w:spacing w:after="5" w:line="271" w:lineRule="auto"/>
        <w:ind w:left="20" w:right="28" w:hanging="10"/>
        <w:jc w:val="both"/>
        <w:rPr>
          <w:rFonts w:ascii="Avenir" w:eastAsia="Avenir" w:hAnsi="Avenir" w:cs="Avenir"/>
          <w:sz w:val="20"/>
          <w:szCs w:val="20"/>
        </w:rPr>
      </w:pPr>
    </w:p>
    <w:tbl>
      <w:tblPr>
        <w:tblStyle w:val="14"/>
        <w:tblW w:w="90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1"/>
        <w:gridCol w:w="6619"/>
      </w:tblGrid>
      <w:tr w:rsidR="007A6A56" w:rsidRPr="00E11FFB" w14:paraId="33BFFA90" w14:textId="77777777" w:rsidTr="003D7094">
        <w:trPr>
          <w:trHeight w:val="117"/>
          <w:jc w:val="center"/>
        </w:trPr>
        <w:tc>
          <w:tcPr>
            <w:tcW w:w="2411" w:type="dxa"/>
            <w:shd w:val="clear" w:color="auto" w:fill="D9E2F3"/>
            <w:vAlign w:val="center"/>
          </w:tcPr>
          <w:p w14:paraId="130BD34F" w14:textId="08239E29" w:rsidR="007A6A56" w:rsidRPr="00E11FFB" w:rsidRDefault="007A6A56" w:rsidP="007A6A56">
            <w:pPr>
              <w:jc w:val="left"/>
              <w:rPr>
                <w:rFonts w:ascii="Avenir" w:eastAsia="Avenir" w:hAnsi="Avenir" w:cs="Avenir"/>
                <w:b/>
                <w:color w:val="000000"/>
                <w:sz w:val="18"/>
                <w:szCs w:val="18"/>
              </w:rPr>
            </w:pPr>
            <w:r w:rsidRPr="00E11FFB">
              <w:rPr>
                <w:rFonts w:ascii="Avenir" w:eastAsia="Avenir" w:hAnsi="Avenir" w:cs="Avenir"/>
                <w:b/>
                <w:color w:val="000000"/>
                <w:sz w:val="18"/>
                <w:szCs w:val="18"/>
              </w:rPr>
              <w:t>Entités / Structures</w:t>
            </w:r>
          </w:p>
        </w:tc>
        <w:tc>
          <w:tcPr>
            <w:tcW w:w="6619" w:type="dxa"/>
            <w:shd w:val="clear" w:color="auto" w:fill="D9E2F3"/>
            <w:vAlign w:val="center"/>
          </w:tcPr>
          <w:p w14:paraId="47B63299" w14:textId="4A45A7CE" w:rsidR="007A6A56" w:rsidRPr="00E11FFB" w:rsidRDefault="007A6A56" w:rsidP="003A6DE1">
            <w:pPr>
              <w:jc w:val="center"/>
              <w:rPr>
                <w:rFonts w:ascii="Avenir" w:eastAsia="Avenir" w:hAnsi="Avenir" w:cs="Avenir"/>
                <w:b/>
                <w:color w:val="000000"/>
                <w:sz w:val="18"/>
                <w:szCs w:val="18"/>
              </w:rPr>
            </w:pPr>
            <w:r w:rsidRPr="00E11FFB">
              <w:rPr>
                <w:rFonts w:ascii="Avenir" w:eastAsia="Avenir" w:hAnsi="Avenir" w:cs="Avenir"/>
                <w:b/>
                <w:color w:val="000000"/>
                <w:sz w:val="18"/>
                <w:szCs w:val="18"/>
              </w:rPr>
              <w:t xml:space="preserve">Lien du site de communication </w:t>
            </w:r>
          </w:p>
        </w:tc>
      </w:tr>
      <w:tr w:rsidR="007A6A56" w:rsidRPr="00E11FFB" w14:paraId="6BEB8B72" w14:textId="77777777" w:rsidTr="003D7094">
        <w:trPr>
          <w:trHeight w:val="293"/>
          <w:jc w:val="center"/>
        </w:trPr>
        <w:tc>
          <w:tcPr>
            <w:tcW w:w="2411" w:type="dxa"/>
            <w:vAlign w:val="center"/>
          </w:tcPr>
          <w:p w14:paraId="66FC3E20" w14:textId="2F42F885"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 xml:space="preserve">Aménagement du territoire </w:t>
            </w:r>
          </w:p>
        </w:tc>
        <w:tc>
          <w:tcPr>
            <w:tcW w:w="6619" w:type="dxa"/>
            <w:vAlign w:val="center"/>
          </w:tcPr>
          <w:p w14:paraId="75E84D54" w14:textId="4F8E828F" w:rsidR="007A6A56" w:rsidRPr="00E11FFB" w:rsidRDefault="007A6A56" w:rsidP="00222B2F">
            <w:pPr>
              <w:jc w:val="left"/>
              <w:rPr>
                <w:rFonts w:ascii="Avenir" w:eastAsia="Avenir" w:hAnsi="Avenir" w:cs="Avenir"/>
                <w:color w:val="000000"/>
                <w:sz w:val="18"/>
                <w:szCs w:val="18"/>
              </w:rPr>
            </w:pPr>
            <w:r w:rsidRPr="00E11FFB">
              <w:rPr>
                <w:rFonts w:ascii="Avenir" w:eastAsia="Avenir" w:hAnsi="Avenir" w:cs="Avenir"/>
                <w:color w:val="000000"/>
                <w:sz w:val="18"/>
                <w:szCs w:val="18"/>
              </w:rPr>
              <w:t> </w:t>
            </w:r>
            <w:hyperlink r:id="rId47" w:history="1">
              <w:r w:rsidR="00222B2F" w:rsidRPr="00E11FFB">
                <w:rPr>
                  <w:rStyle w:val="Lienhypertexte"/>
                  <w:rFonts w:ascii="Avenir" w:eastAsia="Avenir" w:hAnsi="Avenir" w:cs="Avenir"/>
                  <w:sz w:val="18"/>
                  <w:szCs w:val="18"/>
                </w:rPr>
                <w:t>https://amenagement.gouv.cd/PAAJ.html</w:t>
              </w:r>
            </w:hyperlink>
            <w:r w:rsidR="00222B2F" w:rsidRPr="00E11FFB">
              <w:rPr>
                <w:rFonts w:ascii="Avenir" w:eastAsia="Avenir" w:hAnsi="Avenir" w:cs="Avenir"/>
                <w:color w:val="000000"/>
                <w:sz w:val="18"/>
                <w:szCs w:val="18"/>
              </w:rPr>
              <w:t xml:space="preserve"> </w:t>
            </w:r>
          </w:p>
        </w:tc>
      </w:tr>
      <w:tr w:rsidR="007A6A56" w:rsidRPr="00E11FFB" w14:paraId="2F48A24A" w14:textId="77777777" w:rsidTr="003D7094">
        <w:trPr>
          <w:trHeight w:val="264"/>
          <w:jc w:val="center"/>
        </w:trPr>
        <w:tc>
          <w:tcPr>
            <w:tcW w:w="2411" w:type="dxa"/>
            <w:vAlign w:val="center"/>
          </w:tcPr>
          <w:p w14:paraId="46517F09" w14:textId="48FB461F"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 xml:space="preserve">Agriculture </w:t>
            </w:r>
          </w:p>
        </w:tc>
        <w:tc>
          <w:tcPr>
            <w:tcW w:w="6619" w:type="dxa"/>
            <w:vAlign w:val="center"/>
          </w:tcPr>
          <w:p w14:paraId="3F836864" w14:textId="4F2E1826" w:rsidR="007A6A56" w:rsidRPr="00E11FFB" w:rsidRDefault="00222B2F" w:rsidP="00222B2F">
            <w:pPr>
              <w:jc w:val="left"/>
              <w:rPr>
                <w:rFonts w:ascii="Avenir" w:eastAsia="Avenir" w:hAnsi="Avenir" w:cs="Avenir"/>
                <w:color w:val="000000"/>
                <w:sz w:val="18"/>
                <w:szCs w:val="18"/>
              </w:rPr>
            </w:pPr>
            <w:hyperlink r:id="rId48" w:history="1">
              <w:r w:rsidRPr="00E11FFB">
                <w:rPr>
                  <w:rStyle w:val="Lienhypertexte"/>
                  <w:rFonts w:ascii="Avenir" w:eastAsia="Avenir" w:hAnsi="Avenir" w:cs="Avenir"/>
                  <w:sz w:val="18"/>
                  <w:szCs w:val="18"/>
                </w:rPr>
                <w:t>https://agriculture.gouv.cd/produits_paaj.php</w:t>
              </w:r>
            </w:hyperlink>
            <w:r w:rsidRPr="00E11FFB">
              <w:rPr>
                <w:rFonts w:ascii="Avenir" w:eastAsia="Avenir" w:hAnsi="Avenir" w:cs="Avenir"/>
                <w:color w:val="000000"/>
                <w:sz w:val="18"/>
                <w:szCs w:val="18"/>
              </w:rPr>
              <w:t xml:space="preserve"> </w:t>
            </w:r>
            <w:r w:rsidR="007A6A56" w:rsidRPr="00E11FFB">
              <w:rPr>
                <w:rFonts w:ascii="Avenir" w:eastAsia="Avenir" w:hAnsi="Avenir" w:cs="Avenir"/>
                <w:color w:val="000000"/>
                <w:sz w:val="18"/>
                <w:szCs w:val="18"/>
              </w:rPr>
              <w:t> </w:t>
            </w:r>
          </w:p>
        </w:tc>
      </w:tr>
      <w:tr w:rsidR="007A6A56" w:rsidRPr="00E11FFB" w14:paraId="683D3901" w14:textId="77777777" w:rsidTr="003D7094">
        <w:trPr>
          <w:trHeight w:val="264"/>
          <w:jc w:val="center"/>
        </w:trPr>
        <w:tc>
          <w:tcPr>
            <w:tcW w:w="2411" w:type="dxa"/>
            <w:vAlign w:val="center"/>
          </w:tcPr>
          <w:p w14:paraId="4071F050" w14:textId="2118CD76"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Forêt (MEDD-NEC)</w:t>
            </w:r>
          </w:p>
        </w:tc>
        <w:tc>
          <w:tcPr>
            <w:tcW w:w="6619" w:type="dxa"/>
            <w:vAlign w:val="center"/>
          </w:tcPr>
          <w:p w14:paraId="6E1CF704" w14:textId="6C0D3DD4" w:rsidR="007A6A56" w:rsidRPr="00E11FFB" w:rsidRDefault="007A6A56" w:rsidP="007A6A56">
            <w:pPr>
              <w:jc w:val="left"/>
              <w:rPr>
                <w:rFonts w:ascii="Avenir" w:eastAsia="Avenir" w:hAnsi="Avenir" w:cs="Avenir"/>
                <w:color w:val="000000"/>
                <w:sz w:val="18"/>
                <w:szCs w:val="18"/>
              </w:rPr>
            </w:pPr>
            <w:hyperlink r:id="rId49" w:history="1">
              <w:r w:rsidRPr="00E11FFB">
                <w:rPr>
                  <w:rStyle w:val="Lienhypertexte"/>
                  <w:rFonts w:ascii="Avenir" w:eastAsia="Avenir" w:hAnsi="Avenir" w:cs="Avenir"/>
                  <w:sz w:val="18"/>
                  <w:szCs w:val="18"/>
                </w:rPr>
                <w:t>https://medd.gouv.cd/portfolio/projet-dappui-a-latteinte-des-jalons-paaj/</w:t>
              </w:r>
            </w:hyperlink>
            <w:r w:rsidRPr="00E11FFB">
              <w:rPr>
                <w:rFonts w:ascii="Avenir" w:eastAsia="Avenir" w:hAnsi="Avenir" w:cs="Avenir"/>
                <w:color w:val="000000"/>
                <w:sz w:val="18"/>
                <w:szCs w:val="18"/>
              </w:rPr>
              <w:t xml:space="preserve"> </w:t>
            </w:r>
          </w:p>
        </w:tc>
      </w:tr>
      <w:tr w:rsidR="007A6A56" w:rsidRPr="00E11FFB" w14:paraId="4482602C" w14:textId="77777777" w:rsidTr="003D7094">
        <w:trPr>
          <w:trHeight w:val="264"/>
          <w:jc w:val="center"/>
        </w:trPr>
        <w:tc>
          <w:tcPr>
            <w:tcW w:w="2411" w:type="dxa"/>
            <w:vAlign w:val="center"/>
          </w:tcPr>
          <w:p w14:paraId="782AA92B" w14:textId="6CFCC214"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Plan (Démographie)</w:t>
            </w:r>
          </w:p>
        </w:tc>
        <w:tc>
          <w:tcPr>
            <w:tcW w:w="6619" w:type="dxa"/>
            <w:vAlign w:val="center"/>
          </w:tcPr>
          <w:p w14:paraId="17A8DF11" w14:textId="626A4EDF" w:rsidR="007A6A56" w:rsidRPr="00E11FFB" w:rsidRDefault="00222B2F" w:rsidP="00222B2F">
            <w:pPr>
              <w:jc w:val="left"/>
              <w:rPr>
                <w:rFonts w:ascii="Avenir" w:eastAsia="Avenir" w:hAnsi="Avenir" w:cs="Avenir"/>
                <w:color w:val="000000"/>
                <w:sz w:val="18"/>
                <w:szCs w:val="18"/>
              </w:rPr>
            </w:pPr>
            <w:hyperlink r:id="rId50" w:history="1">
              <w:r w:rsidRPr="00E11FFB">
                <w:rPr>
                  <w:rStyle w:val="Lienhypertexte"/>
                  <w:rFonts w:ascii="Avenir" w:eastAsia="Avenir" w:hAnsi="Avenir" w:cs="Avenir"/>
                  <w:sz w:val="18"/>
                  <w:szCs w:val="18"/>
                </w:rPr>
                <w:t>https://plan.gouv.cd/a-propos-du-paaj/</w:t>
              </w:r>
            </w:hyperlink>
            <w:r w:rsidRPr="00E11FFB">
              <w:rPr>
                <w:rFonts w:ascii="Avenir" w:eastAsia="Avenir" w:hAnsi="Avenir" w:cs="Avenir"/>
                <w:color w:val="000000"/>
                <w:sz w:val="18"/>
                <w:szCs w:val="18"/>
              </w:rPr>
              <w:t xml:space="preserve"> </w:t>
            </w:r>
          </w:p>
        </w:tc>
      </w:tr>
      <w:tr w:rsidR="007A6A56" w:rsidRPr="00E11FFB" w14:paraId="14CB5237" w14:textId="77777777" w:rsidTr="003D7094">
        <w:trPr>
          <w:trHeight w:val="264"/>
          <w:jc w:val="center"/>
        </w:trPr>
        <w:tc>
          <w:tcPr>
            <w:tcW w:w="2411" w:type="dxa"/>
            <w:vAlign w:val="center"/>
          </w:tcPr>
          <w:p w14:paraId="47E370C0" w14:textId="1A254AB5"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Mines</w:t>
            </w:r>
          </w:p>
        </w:tc>
        <w:tc>
          <w:tcPr>
            <w:tcW w:w="6619" w:type="dxa"/>
            <w:vAlign w:val="center"/>
          </w:tcPr>
          <w:p w14:paraId="7B69616B" w14:textId="2253E6D0" w:rsidR="007A6A56" w:rsidRPr="00E11FFB" w:rsidRDefault="0005077D" w:rsidP="00222B2F">
            <w:pPr>
              <w:jc w:val="left"/>
              <w:rPr>
                <w:rFonts w:ascii="Avenir" w:eastAsia="Avenir" w:hAnsi="Avenir" w:cs="Avenir"/>
                <w:color w:val="000000"/>
                <w:sz w:val="18"/>
                <w:szCs w:val="18"/>
              </w:rPr>
            </w:pPr>
            <w:hyperlink r:id="rId51" w:history="1">
              <w:r w:rsidRPr="00E11FFB">
                <w:rPr>
                  <w:rStyle w:val="Lienhypertexte"/>
                  <w:rFonts w:ascii="Avenir" w:eastAsia="Avenir" w:hAnsi="Avenir" w:cs="Avenir"/>
                  <w:sz w:val="18"/>
                  <w:szCs w:val="18"/>
                </w:rPr>
                <w:t>https://clients.holduix.dev/paaj/</w:t>
              </w:r>
            </w:hyperlink>
            <w:r w:rsidRPr="00E11FFB">
              <w:rPr>
                <w:rFonts w:ascii="Avenir" w:eastAsia="Avenir" w:hAnsi="Avenir" w:cs="Avenir"/>
                <w:color w:val="000000"/>
                <w:sz w:val="18"/>
                <w:szCs w:val="18"/>
              </w:rPr>
              <w:t xml:space="preserve">  (en cours)</w:t>
            </w:r>
          </w:p>
        </w:tc>
      </w:tr>
      <w:tr w:rsidR="007A6A56" w:rsidRPr="00E11FFB" w14:paraId="3042F6CF" w14:textId="77777777" w:rsidTr="003D7094">
        <w:trPr>
          <w:trHeight w:val="264"/>
          <w:jc w:val="center"/>
        </w:trPr>
        <w:tc>
          <w:tcPr>
            <w:tcW w:w="2411" w:type="dxa"/>
            <w:vAlign w:val="center"/>
          </w:tcPr>
          <w:p w14:paraId="371E9CB6" w14:textId="14EDE34D"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Hydrocarbures</w:t>
            </w:r>
          </w:p>
        </w:tc>
        <w:tc>
          <w:tcPr>
            <w:tcW w:w="6619" w:type="dxa"/>
            <w:vAlign w:val="center"/>
          </w:tcPr>
          <w:p w14:paraId="2C6EC331" w14:textId="64E39809" w:rsidR="007A6A56" w:rsidRPr="00E11FFB" w:rsidRDefault="00222B2F" w:rsidP="00222B2F">
            <w:pPr>
              <w:ind w:left="0" w:firstLine="0"/>
              <w:jc w:val="left"/>
              <w:rPr>
                <w:rFonts w:ascii="Avenir" w:eastAsia="Avenir" w:hAnsi="Avenir" w:cs="Avenir"/>
                <w:color w:val="000000"/>
                <w:sz w:val="18"/>
                <w:szCs w:val="18"/>
              </w:rPr>
            </w:pPr>
            <w:hyperlink r:id="rId52" w:history="1">
              <w:r w:rsidRPr="00E11FFB">
                <w:rPr>
                  <w:rStyle w:val="Lienhypertexte"/>
                  <w:rFonts w:ascii="Avenir" w:eastAsia="Avenir" w:hAnsi="Avenir" w:cs="Avenir"/>
                  <w:sz w:val="18"/>
                  <w:szCs w:val="18"/>
                </w:rPr>
                <w:t>https://ht2techinfo.cd/p/hydro/a-propos-du-paaj/</w:t>
              </w:r>
            </w:hyperlink>
            <w:r w:rsidRPr="00E11FFB">
              <w:rPr>
                <w:rFonts w:ascii="Avenir" w:eastAsia="Avenir" w:hAnsi="Avenir" w:cs="Avenir"/>
                <w:color w:val="000000"/>
                <w:sz w:val="18"/>
                <w:szCs w:val="18"/>
              </w:rPr>
              <w:t xml:space="preserve"> </w:t>
            </w:r>
          </w:p>
        </w:tc>
      </w:tr>
      <w:tr w:rsidR="007A6A56" w:rsidRPr="00E11FFB" w14:paraId="6413AD16" w14:textId="77777777" w:rsidTr="003D7094">
        <w:trPr>
          <w:trHeight w:val="264"/>
          <w:jc w:val="center"/>
        </w:trPr>
        <w:tc>
          <w:tcPr>
            <w:tcW w:w="2411" w:type="dxa"/>
            <w:vAlign w:val="center"/>
          </w:tcPr>
          <w:p w14:paraId="73F5939C" w14:textId="70AC6DFF"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ITIE</w:t>
            </w:r>
          </w:p>
        </w:tc>
        <w:tc>
          <w:tcPr>
            <w:tcW w:w="6619" w:type="dxa"/>
            <w:vAlign w:val="center"/>
          </w:tcPr>
          <w:p w14:paraId="2F2CC87A" w14:textId="633E311D" w:rsidR="007A6A56" w:rsidRPr="00E11FFB" w:rsidRDefault="0005077D" w:rsidP="0005077D">
            <w:pPr>
              <w:jc w:val="left"/>
              <w:rPr>
                <w:rFonts w:ascii="Avenir" w:eastAsia="Avenir" w:hAnsi="Avenir" w:cs="Avenir"/>
                <w:color w:val="000000"/>
                <w:sz w:val="18"/>
                <w:szCs w:val="18"/>
              </w:rPr>
            </w:pPr>
            <w:hyperlink r:id="rId53" w:history="1">
              <w:r w:rsidRPr="00E11FFB">
                <w:rPr>
                  <w:rStyle w:val="Lienhypertexte"/>
                  <w:rFonts w:ascii="Avenir" w:eastAsia="Avenir" w:hAnsi="Avenir" w:cs="Avenir"/>
                  <w:sz w:val="18"/>
                  <w:szCs w:val="18"/>
                </w:rPr>
                <w:t>https://www.itierdc.net/commander/</w:t>
              </w:r>
            </w:hyperlink>
            <w:r w:rsidRPr="00E11FFB">
              <w:rPr>
                <w:rFonts w:ascii="Avenir" w:eastAsia="Avenir" w:hAnsi="Avenir" w:cs="Avenir"/>
                <w:color w:val="000000"/>
                <w:sz w:val="18"/>
                <w:szCs w:val="18"/>
              </w:rPr>
              <w:t xml:space="preserve"> </w:t>
            </w:r>
            <w:r w:rsidR="00E633BD" w:rsidRPr="00E11FFB">
              <w:rPr>
                <w:rFonts w:ascii="Avenir" w:eastAsia="Avenir" w:hAnsi="Avenir" w:cs="Avenir"/>
                <w:color w:val="000000"/>
                <w:sz w:val="18"/>
                <w:szCs w:val="18"/>
              </w:rPr>
              <w:t xml:space="preserve"> (en cours)</w:t>
            </w:r>
          </w:p>
        </w:tc>
      </w:tr>
      <w:tr w:rsidR="007A6A56" w:rsidRPr="00E11FFB" w14:paraId="68CA1AA4" w14:textId="77777777" w:rsidTr="003D7094">
        <w:trPr>
          <w:trHeight w:val="264"/>
          <w:jc w:val="center"/>
        </w:trPr>
        <w:tc>
          <w:tcPr>
            <w:tcW w:w="2411" w:type="dxa"/>
            <w:vAlign w:val="center"/>
          </w:tcPr>
          <w:p w14:paraId="0CB6135A" w14:textId="034BE8E5" w:rsidR="007A6A56" w:rsidRPr="00E11FFB" w:rsidRDefault="007A6A56" w:rsidP="003A6DE1">
            <w:pPr>
              <w:rPr>
                <w:rFonts w:ascii="Avenir" w:eastAsia="Avenir" w:hAnsi="Avenir" w:cs="Avenir"/>
                <w:color w:val="000000"/>
                <w:sz w:val="18"/>
                <w:szCs w:val="18"/>
              </w:rPr>
            </w:pPr>
            <w:r w:rsidRPr="00E11FFB">
              <w:rPr>
                <w:rFonts w:ascii="Avenir" w:eastAsia="Avenir" w:hAnsi="Avenir" w:cs="Avenir"/>
                <w:color w:val="000000"/>
                <w:sz w:val="18"/>
                <w:szCs w:val="18"/>
              </w:rPr>
              <w:t>ACE</w:t>
            </w:r>
          </w:p>
        </w:tc>
        <w:tc>
          <w:tcPr>
            <w:tcW w:w="6619" w:type="dxa"/>
            <w:vAlign w:val="center"/>
          </w:tcPr>
          <w:p w14:paraId="40110A6F" w14:textId="29D308DF" w:rsidR="007A6A56" w:rsidRPr="00E11FFB" w:rsidRDefault="0005077D" w:rsidP="0005077D">
            <w:pPr>
              <w:jc w:val="left"/>
              <w:rPr>
                <w:rFonts w:ascii="Avenir" w:eastAsia="Avenir" w:hAnsi="Avenir" w:cs="Avenir"/>
                <w:color w:val="000000"/>
                <w:sz w:val="18"/>
                <w:szCs w:val="18"/>
              </w:rPr>
            </w:pPr>
            <w:hyperlink r:id="rId54" w:history="1">
              <w:r w:rsidRPr="00E11FFB">
                <w:rPr>
                  <w:rStyle w:val="Lienhypertexte"/>
                  <w:rFonts w:ascii="Avenir" w:eastAsia="Avenir" w:hAnsi="Avenir" w:cs="Avenir"/>
                  <w:sz w:val="18"/>
                  <w:szCs w:val="18"/>
                </w:rPr>
                <w:t>https://acecd.cd/events/event/2/organisation-des-ateliers-au-sein-de-lace</w:t>
              </w:r>
            </w:hyperlink>
            <w:r w:rsidRPr="00E11FFB">
              <w:rPr>
                <w:rFonts w:ascii="Avenir" w:eastAsia="Avenir" w:hAnsi="Avenir" w:cs="Avenir"/>
                <w:color w:val="000000"/>
                <w:sz w:val="18"/>
                <w:szCs w:val="18"/>
              </w:rPr>
              <w:t xml:space="preserve"> (en cours)</w:t>
            </w:r>
          </w:p>
        </w:tc>
      </w:tr>
    </w:tbl>
    <w:p w14:paraId="5FEFF160" w14:textId="77777777" w:rsidR="007A6A56" w:rsidRPr="00E11FFB" w:rsidRDefault="007A6A56" w:rsidP="001F587D">
      <w:pPr>
        <w:spacing w:after="5" w:line="271" w:lineRule="auto"/>
        <w:ind w:left="20" w:right="28" w:hanging="10"/>
        <w:jc w:val="both"/>
        <w:rPr>
          <w:rFonts w:ascii="Avenir" w:eastAsia="Avenir" w:hAnsi="Avenir" w:cs="Avenir"/>
          <w:sz w:val="20"/>
          <w:szCs w:val="20"/>
        </w:rPr>
      </w:pPr>
    </w:p>
    <w:p w14:paraId="2B813781" w14:textId="4DE69983" w:rsidR="00616382" w:rsidRPr="00E11FFB" w:rsidRDefault="00066432" w:rsidP="00616382">
      <w:pPr>
        <w:spacing w:after="5" w:line="271" w:lineRule="auto"/>
        <w:ind w:left="20" w:right="28" w:hanging="10"/>
        <w:jc w:val="both"/>
        <w:rPr>
          <w:rFonts w:ascii="Avenir" w:eastAsia="Avenir" w:hAnsi="Avenir" w:cs="Avenir"/>
          <w:sz w:val="20"/>
          <w:szCs w:val="20"/>
        </w:rPr>
      </w:pPr>
      <w:r w:rsidRPr="00E11FFB">
        <w:rPr>
          <w:rFonts w:ascii="Avenir" w:eastAsia="Avenir" w:hAnsi="Avenir" w:cs="Avenir"/>
          <w:sz w:val="20"/>
          <w:szCs w:val="20"/>
        </w:rPr>
        <w:t>Des articles de presse ont été rédigés et diffusés, tandis que divers outils de communication — notamment des banderoles, roll-up, dépliants, bulletins d’</w:t>
      </w:r>
      <w:r w:rsidR="00A84B6D" w:rsidRPr="00E11FFB">
        <w:rPr>
          <w:rFonts w:ascii="Avenir" w:eastAsia="Avenir" w:hAnsi="Avenir" w:cs="Avenir"/>
          <w:sz w:val="20"/>
          <w:szCs w:val="20"/>
        </w:rPr>
        <w:t>actualités</w:t>
      </w:r>
      <w:r w:rsidR="00DB6635" w:rsidRPr="00E11FFB">
        <w:rPr>
          <w:rFonts w:ascii="Avenir" w:eastAsia="Avenir" w:hAnsi="Avenir" w:cs="Avenir"/>
          <w:sz w:val="20"/>
          <w:szCs w:val="20"/>
        </w:rPr>
        <w:t xml:space="preserve"> et </w:t>
      </w:r>
      <w:r w:rsidR="00A427B7" w:rsidRPr="00E11FFB">
        <w:rPr>
          <w:rFonts w:ascii="Avenir" w:eastAsia="Avenir" w:hAnsi="Avenir" w:cs="Avenir"/>
          <w:sz w:val="20"/>
          <w:szCs w:val="20"/>
        </w:rPr>
        <w:t>post tweeter</w:t>
      </w:r>
      <w:r w:rsidRPr="00E11FFB">
        <w:rPr>
          <w:rFonts w:ascii="Avenir" w:eastAsia="Avenir" w:hAnsi="Avenir" w:cs="Avenir"/>
          <w:sz w:val="20"/>
          <w:szCs w:val="20"/>
        </w:rPr>
        <w:t xml:space="preserve"> — </w:t>
      </w:r>
      <w:hyperlink r:id="rId55" w:history="1">
        <w:r w:rsidRPr="00E11FFB">
          <w:rPr>
            <w:rStyle w:val="Lienhypertexte"/>
            <w:rFonts w:ascii="Avenir" w:eastAsia="Avenir" w:hAnsi="Avenir" w:cs="Avenir"/>
            <w:sz w:val="20"/>
            <w:szCs w:val="20"/>
          </w:rPr>
          <w:t>ont été conçus et produits.</w:t>
        </w:r>
      </w:hyperlink>
      <w:r w:rsidRPr="00E11FFB">
        <w:rPr>
          <w:rFonts w:ascii="Avenir" w:eastAsia="Avenir" w:hAnsi="Avenir" w:cs="Avenir"/>
          <w:sz w:val="20"/>
          <w:szCs w:val="20"/>
        </w:rPr>
        <w:t xml:space="preserve"> Par ailleurs, des campagnes de sensibilisation ont été organisées afin d’informer, mobiliser et toucher un large public autour des thématiques concernées.</w:t>
      </w:r>
    </w:p>
    <w:p w14:paraId="23CCFCD5" w14:textId="7B854B2A" w:rsidR="00A427B7" w:rsidRPr="00E11FFB" w:rsidRDefault="00A427B7" w:rsidP="00A427B7">
      <w:pPr>
        <w:spacing w:after="5" w:line="271" w:lineRule="auto"/>
        <w:ind w:left="20" w:right="28" w:hanging="10"/>
        <w:jc w:val="both"/>
        <w:rPr>
          <w:rFonts w:ascii="Avenir" w:eastAsia="Avenir" w:hAnsi="Avenir" w:cs="Avenir"/>
          <w:sz w:val="20"/>
          <w:szCs w:val="20"/>
        </w:rPr>
      </w:pPr>
      <w:r w:rsidRPr="00E11FFB">
        <w:rPr>
          <w:rFonts w:ascii="Avenir" w:eastAsia="Avenir" w:hAnsi="Avenir" w:cs="Avenir"/>
          <w:noProof/>
          <w:sz w:val="20"/>
          <w:szCs w:val="20"/>
        </w:rPr>
        <w:drawing>
          <wp:inline distT="0" distB="0" distL="0" distR="0" wp14:anchorId="7474116A" wp14:editId="057C6251">
            <wp:extent cx="2478922" cy="1435486"/>
            <wp:effectExtent l="0" t="0" r="0" b="0"/>
            <wp:docPr id="18325810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3344" b="19316"/>
                    <a:stretch>
                      <a:fillRect/>
                    </a:stretch>
                  </pic:blipFill>
                  <pic:spPr bwMode="auto">
                    <a:xfrm>
                      <a:off x="0" y="0"/>
                      <a:ext cx="2489818" cy="1441796"/>
                    </a:xfrm>
                    <a:prstGeom prst="rect">
                      <a:avLst/>
                    </a:prstGeom>
                    <a:noFill/>
                    <a:ln>
                      <a:noFill/>
                    </a:ln>
                    <a:extLst>
                      <a:ext uri="{53640926-AAD7-44D8-BBD7-CCE9431645EC}">
                        <a14:shadowObscured xmlns:a14="http://schemas.microsoft.com/office/drawing/2010/main"/>
                      </a:ext>
                    </a:extLst>
                  </pic:spPr>
                </pic:pic>
              </a:graphicData>
            </a:graphic>
          </wp:inline>
        </w:drawing>
      </w:r>
      <w:r w:rsidR="00EE2860" w:rsidRPr="00E11FFB">
        <w:t xml:space="preserve"> </w:t>
      </w:r>
      <w:r w:rsidR="00EE2860" w:rsidRPr="00E11FFB">
        <w:rPr>
          <w:rFonts w:ascii="Avenir" w:eastAsia="Avenir" w:hAnsi="Avenir" w:cs="Avenir"/>
          <w:noProof/>
          <w:sz w:val="20"/>
          <w:szCs w:val="20"/>
        </w:rPr>
        <w:drawing>
          <wp:inline distT="0" distB="0" distL="0" distR="0" wp14:anchorId="595C9DDD" wp14:editId="3979D58A">
            <wp:extent cx="2907052" cy="1246211"/>
            <wp:effectExtent l="0" t="0" r="7620" b="0"/>
            <wp:docPr id="883202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02829" name=""/>
                    <pic:cNvPicPr/>
                  </pic:nvPicPr>
                  <pic:blipFill>
                    <a:blip r:embed="rId57"/>
                    <a:stretch>
                      <a:fillRect/>
                    </a:stretch>
                  </pic:blipFill>
                  <pic:spPr>
                    <a:xfrm>
                      <a:off x="0" y="0"/>
                      <a:ext cx="2976880" cy="1276145"/>
                    </a:xfrm>
                    <a:prstGeom prst="rect">
                      <a:avLst/>
                    </a:prstGeom>
                  </pic:spPr>
                </pic:pic>
              </a:graphicData>
            </a:graphic>
          </wp:inline>
        </w:drawing>
      </w:r>
    </w:p>
    <w:p w14:paraId="15B09E96" w14:textId="723F4D3C" w:rsidR="00616382" w:rsidRPr="00E11FFB" w:rsidRDefault="00616382" w:rsidP="00616382">
      <w:pPr>
        <w:spacing w:after="5" w:line="271" w:lineRule="auto"/>
        <w:ind w:left="20" w:right="28" w:hanging="10"/>
        <w:jc w:val="both"/>
        <w:rPr>
          <w:rFonts w:ascii="Avenir" w:eastAsia="Avenir" w:hAnsi="Avenir" w:cs="Avenir"/>
          <w:sz w:val="20"/>
          <w:szCs w:val="20"/>
        </w:rPr>
      </w:pPr>
      <w:r w:rsidRPr="00E11FFB">
        <w:rPr>
          <w:rFonts w:ascii="Avenir" w:eastAsia="Avenir" w:hAnsi="Avenir" w:cs="Avenir"/>
          <w:noProof/>
          <w:sz w:val="20"/>
          <w:szCs w:val="20"/>
        </w:rPr>
        <w:drawing>
          <wp:inline distT="0" distB="0" distL="0" distR="0" wp14:anchorId="275FCA08" wp14:editId="559D1005">
            <wp:extent cx="2743200" cy="1827026"/>
            <wp:effectExtent l="0" t="0" r="0" b="1905"/>
            <wp:docPr id="48235090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8686" cy="1844000"/>
                    </a:xfrm>
                    <a:prstGeom prst="rect">
                      <a:avLst/>
                    </a:prstGeom>
                    <a:noFill/>
                    <a:ln>
                      <a:noFill/>
                    </a:ln>
                  </pic:spPr>
                </pic:pic>
              </a:graphicData>
            </a:graphic>
          </wp:inline>
        </w:drawing>
      </w:r>
      <w:r w:rsidRPr="00E11FFB">
        <w:rPr>
          <w:rFonts w:ascii="Avenir" w:eastAsia="Avenir" w:hAnsi="Avenir" w:cs="Avenir"/>
          <w:noProof/>
          <w:sz w:val="20"/>
          <w:szCs w:val="20"/>
        </w:rPr>
        <w:drawing>
          <wp:inline distT="0" distB="0" distL="0" distR="0" wp14:anchorId="488AF39D" wp14:editId="66F20271">
            <wp:extent cx="2663615" cy="1839144"/>
            <wp:effectExtent l="0" t="0" r="3810" b="8890"/>
            <wp:docPr id="21136851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7938"/>
                    <a:stretch>
                      <a:fillRect/>
                    </a:stretch>
                  </pic:blipFill>
                  <pic:spPr bwMode="auto">
                    <a:xfrm>
                      <a:off x="0" y="0"/>
                      <a:ext cx="2677460" cy="1848704"/>
                    </a:xfrm>
                    <a:prstGeom prst="rect">
                      <a:avLst/>
                    </a:prstGeom>
                    <a:noFill/>
                    <a:ln>
                      <a:noFill/>
                    </a:ln>
                    <a:extLst>
                      <a:ext uri="{53640926-AAD7-44D8-BBD7-CCE9431645EC}">
                        <a14:shadowObscured xmlns:a14="http://schemas.microsoft.com/office/drawing/2010/main"/>
                      </a:ext>
                    </a:extLst>
                  </pic:spPr>
                </pic:pic>
              </a:graphicData>
            </a:graphic>
          </wp:inline>
        </w:drawing>
      </w:r>
    </w:p>
    <w:p w14:paraId="20D6624F" w14:textId="33C09E16" w:rsidR="00616382" w:rsidRPr="00E11FFB" w:rsidRDefault="00616382" w:rsidP="00616382">
      <w:pPr>
        <w:spacing w:after="5" w:line="271" w:lineRule="auto"/>
        <w:ind w:left="20" w:right="28" w:hanging="10"/>
        <w:jc w:val="both"/>
        <w:rPr>
          <w:rFonts w:ascii="Avenir" w:eastAsia="Avenir" w:hAnsi="Avenir" w:cs="Avenir"/>
          <w:sz w:val="20"/>
          <w:szCs w:val="20"/>
        </w:rPr>
      </w:pPr>
    </w:p>
    <w:p w14:paraId="7A0234CB" w14:textId="77777777" w:rsidR="0024617D" w:rsidRPr="00E11FFB" w:rsidRDefault="00C83F85">
      <w:pPr>
        <w:tabs>
          <w:tab w:val="center" w:pos="5024"/>
        </w:tabs>
        <w:spacing w:before="57" w:after="198"/>
        <w:ind w:left="-15"/>
        <w:rPr>
          <w:rFonts w:ascii="Avenir" w:eastAsia="Avenir" w:hAnsi="Avenir" w:cs="Avenir"/>
          <w:color w:val="000000"/>
          <w:sz w:val="20"/>
          <w:szCs w:val="20"/>
        </w:rPr>
      </w:pPr>
      <w:r w:rsidRPr="00E11FFB">
        <w:rPr>
          <w:rFonts w:ascii="Avenir" w:eastAsia="Avenir" w:hAnsi="Avenir" w:cs="Avenir"/>
          <w:color w:val="000000"/>
          <w:sz w:val="20"/>
          <w:szCs w:val="20"/>
        </w:rPr>
        <w:t>Utilisez et reproduisez le tableau ci-dessous afin de décrire vos efforts de communications :</w:t>
      </w:r>
    </w:p>
    <w:tbl>
      <w:tblPr>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67"/>
        <w:gridCol w:w="2239"/>
        <w:gridCol w:w="1814"/>
        <w:gridCol w:w="406"/>
        <w:gridCol w:w="2576"/>
      </w:tblGrid>
      <w:tr w:rsidR="00AD2EC8" w:rsidRPr="00E11FFB" w14:paraId="05788E14" w14:textId="77777777" w:rsidTr="00A323E7">
        <w:trPr>
          <w:trHeight w:val="282"/>
          <w:tblHeader/>
        </w:trPr>
        <w:tc>
          <w:tcPr>
            <w:tcW w:w="2867" w:type="dxa"/>
            <w:tcMar>
              <w:left w:w="108" w:type="dxa"/>
              <w:right w:w="108" w:type="dxa"/>
            </w:tcMar>
            <w:vAlign w:val="center"/>
          </w:tcPr>
          <w:p w14:paraId="67784455" w14:textId="77777777" w:rsidR="00AD2EC8" w:rsidRPr="00E11FFB" w:rsidRDefault="00AD2EC8" w:rsidP="003A6DE1">
            <w:pPr>
              <w:ind w:left="20" w:right="28" w:hanging="10"/>
              <w:rPr>
                <w:rFonts w:ascii="Avenir" w:eastAsia="Avenir" w:hAnsi="Avenir" w:cs="Avenir"/>
                <w:b/>
                <w:bCs/>
                <w:sz w:val="16"/>
                <w:szCs w:val="16"/>
              </w:rPr>
            </w:pPr>
            <w:r w:rsidRPr="00E11FFB">
              <w:rPr>
                <w:rFonts w:ascii="Avenir" w:eastAsia="Avenir" w:hAnsi="Avenir" w:cs="Avenir"/>
                <w:b/>
                <w:bCs/>
                <w:sz w:val="16"/>
                <w:szCs w:val="16"/>
              </w:rPr>
              <w:t>Nom du projet de communication</w:t>
            </w:r>
          </w:p>
        </w:tc>
        <w:tc>
          <w:tcPr>
            <w:tcW w:w="7035" w:type="dxa"/>
            <w:gridSpan w:val="4"/>
            <w:tcMar>
              <w:left w:w="108" w:type="dxa"/>
              <w:right w:w="108" w:type="dxa"/>
            </w:tcMar>
            <w:vAlign w:val="center"/>
          </w:tcPr>
          <w:p w14:paraId="0BE258E2" w14:textId="2FE0BE24" w:rsidR="00AD2EC8" w:rsidRPr="00E11FFB" w:rsidRDefault="00AD2EC8" w:rsidP="003A6DE1">
            <w:pPr>
              <w:ind w:left="20" w:right="28" w:hanging="10"/>
              <w:rPr>
                <w:rFonts w:ascii="Avenir" w:eastAsia="Avenir" w:hAnsi="Avenir" w:cs="Avenir"/>
                <w:sz w:val="16"/>
                <w:szCs w:val="16"/>
              </w:rPr>
            </w:pPr>
            <w:r w:rsidRPr="00E11FFB">
              <w:rPr>
                <w:rFonts w:ascii="Avenir" w:eastAsia="Avenir" w:hAnsi="Avenir" w:cs="Avenir"/>
                <w:sz w:val="16"/>
                <w:szCs w:val="16"/>
              </w:rPr>
              <w:t xml:space="preserve">Stratégie de communication du </w:t>
            </w:r>
            <w:r w:rsidR="00401A79" w:rsidRPr="00E11FFB">
              <w:rPr>
                <w:rFonts w:ascii="Avenir" w:eastAsia="Avenir" w:hAnsi="Avenir" w:cs="Avenir"/>
                <w:sz w:val="16"/>
                <w:szCs w:val="16"/>
              </w:rPr>
              <w:t>Projet d’Appui à l’Atteinte des Jalons (PAAJ)</w:t>
            </w:r>
          </w:p>
        </w:tc>
      </w:tr>
      <w:tr w:rsidR="00AD2EC8" w:rsidRPr="00E11FFB" w14:paraId="6FD226C2" w14:textId="77777777" w:rsidTr="00A323E7">
        <w:trPr>
          <w:trHeight w:val="282"/>
          <w:tblHeader/>
        </w:trPr>
        <w:tc>
          <w:tcPr>
            <w:tcW w:w="2867" w:type="dxa"/>
            <w:tcMar>
              <w:left w:w="108" w:type="dxa"/>
              <w:right w:w="108" w:type="dxa"/>
            </w:tcMar>
            <w:vAlign w:val="center"/>
          </w:tcPr>
          <w:p w14:paraId="7CEF3CAD" w14:textId="77777777" w:rsidR="00AD2EC8" w:rsidRPr="00E11FFB" w:rsidRDefault="00AD2EC8" w:rsidP="003A6DE1">
            <w:pPr>
              <w:ind w:left="20" w:right="28" w:hanging="10"/>
              <w:rPr>
                <w:rFonts w:ascii="Avenir" w:eastAsia="Avenir" w:hAnsi="Avenir" w:cs="Avenir"/>
                <w:b/>
                <w:sz w:val="16"/>
                <w:szCs w:val="16"/>
              </w:rPr>
            </w:pPr>
            <w:r w:rsidRPr="00E11FFB">
              <w:rPr>
                <w:rFonts w:ascii="Avenir" w:eastAsia="Avenir" w:hAnsi="Avenir" w:cs="Avenir"/>
                <w:b/>
                <w:sz w:val="16"/>
                <w:szCs w:val="16"/>
              </w:rPr>
              <w:t>Date de début du projet de communication</w:t>
            </w:r>
          </w:p>
        </w:tc>
        <w:tc>
          <w:tcPr>
            <w:tcW w:w="2238" w:type="dxa"/>
            <w:tcMar>
              <w:left w:w="108" w:type="dxa"/>
              <w:right w:w="108" w:type="dxa"/>
            </w:tcMar>
            <w:vAlign w:val="center"/>
          </w:tcPr>
          <w:p w14:paraId="00F7A785" w14:textId="59FB3EC0" w:rsidR="00AD2EC8" w:rsidRPr="00E11FFB" w:rsidRDefault="00AD2EC8" w:rsidP="003A6DE1">
            <w:pPr>
              <w:ind w:left="20" w:right="28" w:hanging="10"/>
              <w:rPr>
                <w:rFonts w:ascii="Avenir" w:eastAsia="Avenir" w:hAnsi="Avenir" w:cs="Avenir"/>
                <w:sz w:val="16"/>
                <w:szCs w:val="16"/>
              </w:rPr>
            </w:pPr>
            <w:r w:rsidRPr="00E11FFB">
              <w:rPr>
                <w:rFonts w:ascii="Avenir" w:eastAsia="Avenir" w:hAnsi="Avenir" w:cs="Avenir"/>
                <w:sz w:val="16"/>
                <w:szCs w:val="16"/>
              </w:rPr>
              <w:t>Du 01/0</w:t>
            </w:r>
            <w:r w:rsidR="00401A79" w:rsidRPr="00E11FFB">
              <w:rPr>
                <w:rFonts w:ascii="Avenir" w:eastAsia="Avenir" w:hAnsi="Avenir" w:cs="Avenir"/>
                <w:sz w:val="16"/>
                <w:szCs w:val="16"/>
              </w:rPr>
              <w:t>4</w:t>
            </w:r>
            <w:r w:rsidRPr="00E11FFB">
              <w:rPr>
                <w:rFonts w:ascii="Avenir" w:eastAsia="Avenir" w:hAnsi="Avenir" w:cs="Avenir"/>
                <w:sz w:val="16"/>
                <w:szCs w:val="16"/>
              </w:rPr>
              <w:t>/202</w:t>
            </w:r>
            <w:r w:rsidR="00401A79" w:rsidRPr="00E11FFB">
              <w:rPr>
                <w:rFonts w:ascii="Avenir" w:eastAsia="Avenir" w:hAnsi="Avenir" w:cs="Avenir"/>
                <w:sz w:val="16"/>
                <w:szCs w:val="16"/>
              </w:rPr>
              <w:t>5</w:t>
            </w:r>
          </w:p>
        </w:tc>
        <w:tc>
          <w:tcPr>
            <w:tcW w:w="2220" w:type="dxa"/>
            <w:gridSpan w:val="2"/>
            <w:tcMar>
              <w:left w:w="108" w:type="dxa"/>
              <w:right w:w="108" w:type="dxa"/>
            </w:tcMar>
            <w:vAlign w:val="center"/>
          </w:tcPr>
          <w:p w14:paraId="37E257BC" w14:textId="77777777" w:rsidR="00AD2EC8" w:rsidRPr="00E11FFB" w:rsidRDefault="00AD2EC8" w:rsidP="003A6DE1">
            <w:pPr>
              <w:ind w:left="20" w:right="28" w:hanging="10"/>
              <w:rPr>
                <w:rFonts w:ascii="Avenir" w:eastAsia="Avenir" w:hAnsi="Avenir" w:cs="Avenir"/>
                <w:b/>
                <w:bCs/>
                <w:sz w:val="16"/>
                <w:szCs w:val="16"/>
              </w:rPr>
            </w:pPr>
            <w:r w:rsidRPr="00E11FFB">
              <w:rPr>
                <w:rFonts w:ascii="Avenir" w:eastAsia="Avenir" w:hAnsi="Avenir" w:cs="Avenir"/>
                <w:b/>
                <w:bCs/>
                <w:sz w:val="16"/>
                <w:szCs w:val="16"/>
              </w:rPr>
              <w:t xml:space="preserve">Date de fin du projet de communication </w:t>
            </w:r>
          </w:p>
        </w:tc>
        <w:tc>
          <w:tcPr>
            <w:tcW w:w="2576" w:type="dxa"/>
            <w:tcMar>
              <w:left w:w="108" w:type="dxa"/>
              <w:right w:w="108" w:type="dxa"/>
            </w:tcMar>
            <w:vAlign w:val="center"/>
          </w:tcPr>
          <w:p w14:paraId="014C868B" w14:textId="0AE2489E" w:rsidR="00AD2EC8" w:rsidRPr="00E11FFB" w:rsidRDefault="00AD2EC8" w:rsidP="003A6DE1">
            <w:pPr>
              <w:ind w:left="20" w:right="28" w:hanging="10"/>
              <w:rPr>
                <w:rFonts w:ascii="Avenir" w:eastAsia="Avenir" w:hAnsi="Avenir" w:cs="Avenir"/>
                <w:sz w:val="16"/>
                <w:szCs w:val="16"/>
              </w:rPr>
            </w:pPr>
            <w:r w:rsidRPr="00E11FFB">
              <w:rPr>
                <w:rFonts w:ascii="Avenir" w:eastAsia="Avenir" w:hAnsi="Avenir" w:cs="Avenir"/>
                <w:sz w:val="16"/>
                <w:szCs w:val="16"/>
              </w:rPr>
              <w:t xml:space="preserve"> Au 3</w:t>
            </w:r>
            <w:r w:rsidR="00401A79" w:rsidRPr="00E11FFB">
              <w:rPr>
                <w:rFonts w:ascii="Avenir" w:eastAsia="Avenir" w:hAnsi="Avenir" w:cs="Avenir"/>
                <w:sz w:val="16"/>
                <w:szCs w:val="16"/>
              </w:rPr>
              <w:t>1</w:t>
            </w:r>
            <w:r w:rsidRPr="00E11FFB">
              <w:rPr>
                <w:rFonts w:ascii="Avenir" w:eastAsia="Avenir" w:hAnsi="Avenir" w:cs="Avenir"/>
                <w:sz w:val="16"/>
                <w:szCs w:val="16"/>
              </w:rPr>
              <w:t>/</w:t>
            </w:r>
            <w:r w:rsidR="00401A79" w:rsidRPr="00E11FFB">
              <w:rPr>
                <w:rFonts w:ascii="Avenir" w:eastAsia="Avenir" w:hAnsi="Avenir" w:cs="Avenir"/>
                <w:sz w:val="16"/>
                <w:szCs w:val="16"/>
              </w:rPr>
              <w:t>12</w:t>
            </w:r>
            <w:r w:rsidRPr="00E11FFB">
              <w:rPr>
                <w:rFonts w:ascii="Avenir" w:eastAsia="Avenir" w:hAnsi="Avenir" w:cs="Avenir"/>
                <w:sz w:val="16"/>
                <w:szCs w:val="16"/>
              </w:rPr>
              <w:t>/202</w:t>
            </w:r>
            <w:r w:rsidR="00401A79" w:rsidRPr="00E11FFB">
              <w:rPr>
                <w:rFonts w:ascii="Avenir" w:eastAsia="Avenir" w:hAnsi="Avenir" w:cs="Avenir"/>
                <w:sz w:val="16"/>
                <w:szCs w:val="16"/>
              </w:rPr>
              <w:t>6</w:t>
            </w:r>
          </w:p>
        </w:tc>
      </w:tr>
      <w:tr w:rsidR="00AD2EC8" w:rsidRPr="00E11FFB" w14:paraId="03AAD631" w14:textId="77777777" w:rsidTr="00A323E7">
        <w:trPr>
          <w:trHeight w:val="282"/>
          <w:tblHeader/>
        </w:trPr>
        <w:tc>
          <w:tcPr>
            <w:tcW w:w="9902" w:type="dxa"/>
            <w:gridSpan w:val="5"/>
            <w:shd w:val="clear" w:color="auto" w:fill="CEDBE6"/>
            <w:tcMar>
              <w:left w:w="108" w:type="dxa"/>
              <w:right w:w="108" w:type="dxa"/>
            </w:tcMar>
            <w:vAlign w:val="center"/>
          </w:tcPr>
          <w:p w14:paraId="6C25DD61" w14:textId="77777777" w:rsidR="00AD2EC8" w:rsidRPr="00E11FFB" w:rsidRDefault="00AD2EC8" w:rsidP="003A6DE1">
            <w:pPr>
              <w:ind w:left="20" w:right="28" w:hanging="10"/>
              <w:rPr>
                <w:rFonts w:ascii="Avenir" w:eastAsia="Avenir" w:hAnsi="Avenir" w:cs="Avenir"/>
                <w:sz w:val="16"/>
                <w:szCs w:val="16"/>
              </w:rPr>
            </w:pPr>
            <w:r w:rsidRPr="00E11FFB">
              <w:rPr>
                <w:rFonts w:ascii="Avenir" w:eastAsia="Avenir" w:hAnsi="Avenir" w:cs="Avenir"/>
                <w:sz w:val="16"/>
                <w:szCs w:val="16"/>
              </w:rPr>
              <w:t xml:space="preserve"> </w:t>
            </w:r>
          </w:p>
        </w:tc>
      </w:tr>
      <w:tr w:rsidR="00AD2EC8" w:rsidRPr="00E11FFB" w14:paraId="2F3CB3D6" w14:textId="77777777" w:rsidTr="00A323E7">
        <w:trPr>
          <w:trHeight w:val="282"/>
          <w:tblHeader/>
        </w:trPr>
        <w:tc>
          <w:tcPr>
            <w:tcW w:w="5106" w:type="dxa"/>
            <w:gridSpan w:val="2"/>
            <w:tcMar>
              <w:left w:w="108" w:type="dxa"/>
              <w:right w:w="108" w:type="dxa"/>
            </w:tcMar>
            <w:vAlign w:val="center"/>
          </w:tcPr>
          <w:p w14:paraId="4BE7C455" w14:textId="77777777" w:rsidR="00AD2EC8" w:rsidRPr="00E11FFB" w:rsidRDefault="00AD2EC8" w:rsidP="003A6DE1">
            <w:pPr>
              <w:ind w:left="20" w:right="28" w:hanging="10"/>
              <w:rPr>
                <w:rFonts w:ascii="Avenir" w:eastAsia="Avenir" w:hAnsi="Avenir" w:cs="Avenir"/>
                <w:b/>
                <w:sz w:val="16"/>
                <w:szCs w:val="16"/>
              </w:rPr>
            </w:pPr>
            <w:r w:rsidRPr="00E11FFB">
              <w:rPr>
                <w:rFonts w:ascii="Avenir" w:eastAsia="Avenir" w:hAnsi="Avenir" w:cs="Avenir"/>
                <w:b/>
                <w:sz w:val="16"/>
                <w:szCs w:val="16"/>
              </w:rPr>
              <w:t>Objectifs du projet de communication (comment ce projet de communication s’insère-t-il dans les objectifs et la stratégie globale ?) :</w:t>
            </w:r>
          </w:p>
        </w:tc>
        <w:tc>
          <w:tcPr>
            <w:tcW w:w="4796" w:type="dxa"/>
            <w:gridSpan w:val="3"/>
            <w:tcMar>
              <w:left w:w="108" w:type="dxa"/>
              <w:right w:w="108" w:type="dxa"/>
            </w:tcMar>
            <w:vAlign w:val="center"/>
          </w:tcPr>
          <w:p w14:paraId="1563C301" w14:textId="047E1B85" w:rsidR="00AD2EC8" w:rsidRPr="00E11FFB" w:rsidRDefault="00AD2EC8" w:rsidP="003A6DE1">
            <w:pPr>
              <w:ind w:left="20" w:right="28" w:hanging="10"/>
              <w:rPr>
                <w:rFonts w:ascii="Avenir" w:eastAsia="Avenir" w:hAnsi="Avenir" w:cs="Avenir"/>
                <w:sz w:val="16"/>
                <w:szCs w:val="16"/>
              </w:rPr>
            </w:pPr>
            <w:r w:rsidRPr="00E11FFB">
              <w:rPr>
                <w:rFonts w:ascii="Avenir" w:eastAsia="Avenir" w:hAnsi="Avenir" w:cs="Avenir"/>
                <w:sz w:val="16"/>
                <w:szCs w:val="16"/>
              </w:rPr>
              <w:t xml:space="preserve">Sensibilisation </w:t>
            </w:r>
            <w:r w:rsidR="00401A79" w:rsidRPr="00E11FFB">
              <w:rPr>
                <w:rFonts w:ascii="Avenir" w:eastAsia="Avenir" w:hAnsi="Avenir" w:cs="Avenir"/>
                <w:sz w:val="16"/>
                <w:szCs w:val="16"/>
              </w:rPr>
              <w:t xml:space="preserve">et échanges d’informations sur les activités du projet afin d’obtenir </w:t>
            </w:r>
            <w:r w:rsidRPr="00E11FFB">
              <w:rPr>
                <w:rFonts w:ascii="Avenir" w:eastAsia="Avenir" w:hAnsi="Avenir" w:cs="Avenir"/>
                <w:sz w:val="16"/>
                <w:szCs w:val="16"/>
              </w:rPr>
              <w:t>le changement des comportements</w:t>
            </w:r>
            <w:r w:rsidR="00401A79" w:rsidRPr="00E11FFB">
              <w:rPr>
                <w:rFonts w:ascii="Avenir" w:eastAsia="Avenir" w:hAnsi="Avenir" w:cs="Avenir"/>
                <w:sz w:val="16"/>
                <w:szCs w:val="16"/>
              </w:rPr>
              <w:t xml:space="preserve">. </w:t>
            </w:r>
          </w:p>
        </w:tc>
      </w:tr>
      <w:tr w:rsidR="00AD2EC8" w:rsidRPr="00E11FFB" w14:paraId="5388D5FC" w14:textId="77777777" w:rsidTr="00A323E7">
        <w:trPr>
          <w:trHeight w:val="282"/>
          <w:tblHeader/>
        </w:trPr>
        <w:tc>
          <w:tcPr>
            <w:tcW w:w="2867" w:type="dxa"/>
            <w:tcMar>
              <w:left w:w="108" w:type="dxa"/>
              <w:right w:w="108" w:type="dxa"/>
            </w:tcMar>
            <w:vAlign w:val="center"/>
          </w:tcPr>
          <w:p w14:paraId="46CBF49B" w14:textId="77777777" w:rsidR="00AD2EC8" w:rsidRPr="00E11FFB" w:rsidRDefault="00AD2EC8" w:rsidP="003A6DE1">
            <w:pPr>
              <w:ind w:left="20" w:right="28" w:hanging="10"/>
              <w:rPr>
                <w:rFonts w:ascii="Avenir" w:eastAsia="Avenir" w:hAnsi="Avenir" w:cs="Avenir"/>
                <w:b/>
                <w:sz w:val="16"/>
                <w:szCs w:val="16"/>
              </w:rPr>
            </w:pPr>
            <w:r w:rsidRPr="00E11FFB">
              <w:rPr>
                <w:rFonts w:ascii="Avenir" w:eastAsia="Avenir" w:hAnsi="Avenir" w:cs="Avenir"/>
                <w:b/>
                <w:sz w:val="16"/>
                <w:szCs w:val="16"/>
              </w:rPr>
              <w:t>Audience</w:t>
            </w:r>
          </w:p>
        </w:tc>
        <w:tc>
          <w:tcPr>
            <w:tcW w:w="4053" w:type="dxa"/>
            <w:gridSpan w:val="2"/>
            <w:tcMar>
              <w:left w:w="108" w:type="dxa"/>
              <w:right w:w="108" w:type="dxa"/>
            </w:tcMar>
            <w:vAlign w:val="center"/>
          </w:tcPr>
          <w:p w14:paraId="1973AC50" w14:textId="77777777" w:rsidR="00AD2EC8" w:rsidRPr="00E11FFB" w:rsidRDefault="00AD2EC8" w:rsidP="003A6DE1">
            <w:pPr>
              <w:ind w:left="20" w:right="28" w:hanging="10"/>
              <w:rPr>
                <w:rFonts w:ascii="Avenir" w:eastAsia="Avenir" w:hAnsi="Avenir" w:cs="Avenir"/>
                <w:b/>
                <w:sz w:val="16"/>
                <w:szCs w:val="16"/>
              </w:rPr>
            </w:pPr>
            <w:r w:rsidRPr="00E11FFB">
              <w:rPr>
                <w:rFonts w:ascii="Avenir" w:eastAsia="Avenir" w:hAnsi="Avenir" w:cs="Avenir"/>
                <w:b/>
                <w:sz w:val="16"/>
                <w:szCs w:val="16"/>
              </w:rPr>
              <w:t>Résultat en termes de communication (y compris en termes de communication pour le changement social et comportemental)</w:t>
            </w:r>
          </w:p>
        </w:tc>
        <w:tc>
          <w:tcPr>
            <w:tcW w:w="2981" w:type="dxa"/>
            <w:gridSpan w:val="2"/>
            <w:tcMar>
              <w:left w:w="108" w:type="dxa"/>
              <w:right w:w="108" w:type="dxa"/>
            </w:tcMar>
            <w:vAlign w:val="center"/>
          </w:tcPr>
          <w:p w14:paraId="05A62FEA" w14:textId="77777777" w:rsidR="00AD2EC8" w:rsidRPr="00E11FFB" w:rsidRDefault="00AD2EC8" w:rsidP="003A6DE1">
            <w:pPr>
              <w:ind w:left="20" w:right="28" w:hanging="10"/>
              <w:rPr>
                <w:rFonts w:ascii="Avenir" w:eastAsia="Avenir" w:hAnsi="Avenir" w:cs="Avenir"/>
                <w:b/>
                <w:sz w:val="16"/>
                <w:szCs w:val="16"/>
              </w:rPr>
            </w:pPr>
            <w:r w:rsidRPr="00E11FFB">
              <w:rPr>
                <w:rFonts w:ascii="Avenir" w:eastAsia="Avenir" w:hAnsi="Avenir" w:cs="Avenir"/>
                <w:b/>
                <w:sz w:val="16"/>
                <w:szCs w:val="16"/>
              </w:rPr>
              <w:t xml:space="preserve">Lien aux outils de communication (Par exemple : publications, ateliers, spots radio, pages web) </w:t>
            </w:r>
          </w:p>
        </w:tc>
      </w:tr>
      <w:tr w:rsidR="00AD2EC8" w:rsidRPr="00E11FFB" w14:paraId="2AAE4B8E" w14:textId="77777777" w:rsidTr="00A323E7">
        <w:trPr>
          <w:trHeight w:val="282"/>
        </w:trPr>
        <w:tc>
          <w:tcPr>
            <w:tcW w:w="2867" w:type="dxa"/>
            <w:tcMar>
              <w:left w:w="108" w:type="dxa"/>
              <w:right w:w="108" w:type="dxa"/>
            </w:tcMar>
            <w:vAlign w:val="center"/>
          </w:tcPr>
          <w:p w14:paraId="4386044E" w14:textId="6CF1A1FB" w:rsidR="00AD2EC8" w:rsidRPr="00E11FFB" w:rsidRDefault="00E44F3F" w:rsidP="003A6DE1">
            <w:pPr>
              <w:ind w:left="20" w:right="28" w:hanging="10"/>
              <w:rPr>
                <w:rFonts w:ascii="Avenir" w:eastAsia="Avenir" w:hAnsi="Avenir" w:cs="Avenir"/>
                <w:sz w:val="16"/>
                <w:szCs w:val="16"/>
                <w:highlight w:val="yellow"/>
              </w:rPr>
            </w:pPr>
            <w:r w:rsidRPr="00E11FFB">
              <w:rPr>
                <w:rFonts w:ascii="Avenir" w:eastAsia="Avenir" w:hAnsi="Avenir" w:cs="Avenir"/>
                <w:sz w:val="16"/>
                <w:szCs w:val="16"/>
              </w:rPr>
              <w:t>Organisation de la société civile, peuples autochtones, Experts d’aménagement du territoires</w:t>
            </w:r>
          </w:p>
        </w:tc>
        <w:tc>
          <w:tcPr>
            <w:tcW w:w="4053" w:type="dxa"/>
            <w:gridSpan w:val="2"/>
            <w:tcMar>
              <w:left w:w="108" w:type="dxa"/>
              <w:right w:w="108" w:type="dxa"/>
            </w:tcMar>
            <w:vAlign w:val="center"/>
          </w:tcPr>
          <w:p w14:paraId="0760036C" w14:textId="251B937D" w:rsidR="00AD2EC8" w:rsidRPr="00E11FFB" w:rsidRDefault="00E44F3F" w:rsidP="003A6DE1">
            <w:pPr>
              <w:ind w:left="20" w:right="28" w:hanging="10"/>
              <w:rPr>
                <w:rFonts w:ascii="Avenir" w:eastAsia="Avenir" w:hAnsi="Avenir" w:cs="Avenir"/>
                <w:sz w:val="16"/>
                <w:szCs w:val="16"/>
              </w:rPr>
            </w:pPr>
            <w:r w:rsidRPr="00E11FFB">
              <w:rPr>
                <w:rFonts w:ascii="Avenir" w:eastAsia="Avenir" w:hAnsi="Avenir" w:cs="Avenir"/>
                <w:sz w:val="16"/>
                <w:szCs w:val="16"/>
              </w:rPr>
              <w:t>93 personnes sont sensibilisées et partage d’expérience sur la loi d’aménagement du territoire</w:t>
            </w:r>
          </w:p>
        </w:tc>
        <w:tc>
          <w:tcPr>
            <w:tcW w:w="2981" w:type="dxa"/>
            <w:gridSpan w:val="2"/>
            <w:tcMar>
              <w:left w:w="108" w:type="dxa"/>
              <w:right w:w="108" w:type="dxa"/>
            </w:tcMar>
            <w:vAlign w:val="center"/>
          </w:tcPr>
          <w:p w14:paraId="09700CF8" w14:textId="0EE20FDC" w:rsidR="00220094" w:rsidRPr="00E11FFB" w:rsidRDefault="00E44F3F" w:rsidP="00ED2793">
            <w:pPr>
              <w:ind w:right="28"/>
              <w:rPr>
                <w:rFonts w:ascii="Avenir" w:eastAsia="Avenir" w:hAnsi="Avenir" w:cs="Avenir"/>
                <w:sz w:val="16"/>
                <w:szCs w:val="16"/>
              </w:rPr>
            </w:pPr>
            <w:hyperlink r:id="rId60" w:history="1">
              <w:r w:rsidRPr="00E11FFB">
                <w:rPr>
                  <w:rStyle w:val="Lienhypertexte"/>
                  <w:rFonts w:ascii="Avenir" w:eastAsia="Avenir" w:hAnsi="Avenir" w:cs="Avenir"/>
                  <w:sz w:val="16"/>
                  <w:szCs w:val="16"/>
                </w:rPr>
                <w:t>Sport vidéo de la sensibilisation</w:t>
              </w:r>
            </w:hyperlink>
          </w:p>
        </w:tc>
      </w:tr>
      <w:tr w:rsidR="00CE3380" w:rsidRPr="00E11FFB" w14:paraId="13F72A57" w14:textId="77777777" w:rsidTr="00A323E7">
        <w:trPr>
          <w:trHeight w:val="282"/>
        </w:trPr>
        <w:tc>
          <w:tcPr>
            <w:tcW w:w="2867" w:type="dxa"/>
            <w:tcMar>
              <w:left w:w="108" w:type="dxa"/>
              <w:right w:w="108" w:type="dxa"/>
            </w:tcMar>
            <w:vAlign w:val="center"/>
          </w:tcPr>
          <w:p w14:paraId="33BEE73B" w14:textId="444B1601" w:rsidR="00CE3380" w:rsidRPr="00E11FFB" w:rsidRDefault="007A7546" w:rsidP="003A6DE1">
            <w:pPr>
              <w:ind w:left="20" w:right="28" w:hanging="10"/>
              <w:rPr>
                <w:rFonts w:ascii="Avenir" w:eastAsia="Avenir" w:hAnsi="Avenir" w:cs="Avenir"/>
                <w:sz w:val="16"/>
                <w:szCs w:val="16"/>
              </w:rPr>
            </w:pPr>
            <w:r w:rsidRPr="00E11FFB">
              <w:rPr>
                <w:rFonts w:ascii="Avenir" w:eastAsia="Avenir" w:hAnsi="Avenir" w:cs="Avenir"/>
                <w:sz w:val="16"/>
                <w:szCs w:val="16"/>
              </w:rPr>
              <w:t xml:space="preserve">Grand Public, Inspecteurs agricoles, ONGs locales et internationales, société civile.  </w:t>
            </w:r>
          </w:p>
        </w:tc>
        <w:tc>
          <w:tcPr>
            <w:tcW w:w="4053" w:type="dxa"/>
            <w:gridSpan w:val="2"/>
            <w:tcMar>
              <w:left w:w="108" w:type="dxa"/>
              <w:right w:w="108" w:type="dxa"/>
            </w:tcMar>
            <w:vAlign w:val="center"/>
          </w:tcPr>
          <w:p w14:paraId="3DB99EAC" w14:textId="02A6E53F" w:rsidR="00CE3380" w:rsidRPr="00E11FFB" w:rsidRDefault="005F614F" w:rsidP="003A6DE1">
            <w:pPr>
              <w:ind w:left="20" w:right="28" w:hanging="10"/>
              <w:rPr>
                <w:rFonts w:ascii="Avenir" w:eastAsia="Avenir" w:hAnsi="Avenir" w:cs="Avenir"/>
                <w:sz w:val="16"/>
                <w:szCs w:val="16"/>
              </w:rPr>
            </w:pPr>
            <w:r w:rsidRPr="00E11FFB">
              <w:rPr>
                <w:rFonts w:ascii="Avenir" w:eastAsia="Avenir" w:hAnsi="Avenir" w:cs="Avenir"/>
                <w:sz w:val="16"/>
                <w:szCs w:val="16"/>
              </w:rPr>
              <w:t>341</w:t>
            </w:r>
            <w:r w:rsidR="007A7546" w:rsidRPr="00E11FFB">
              <w:rPr>
                <w:rFonts w:ascii="Avenir" w:eastAsia="Avenir" w:hAnsi="Avenir" w:cs="Avenir"/>
                <w:sz w:val="16"/>
                <w:szCs w:val="16"/>
              </w:rPr>
              <w:t xml:space="preserve"> personnes sont informées sur la politique agricole afin de changer leur comportement agricole non protecteur des forêts. </w:t>
            </w:r>
          </w:p>
        </w:tc>
        <w:tc>
          <w:tcPr>
            <w:tcW w:w="2981" w:type="dxa"/>
            <w:gridSpan w:val="2"/>
            <w:tcMar>
              <w:left w:w="108" w:type="dxa"/>
              <w:right w:w="108" w:type="dxa"/>
            </w:tcMar>
            <w:vAlign w:val="center"/>
          </w:tcPr>
          <w:p w14:paraId="1508F6F7" w14:textId="47FFFB87" w:rsidR="00CE3380" w:rsidRPr="00E11FFB" w:rsidRDefault="007A7546" w:rsidP="00ED2793">
            <w:pPr>
              <w:ind w:right="28"/>
              <w:rPr>
                <w:rFonts w:ascii="Avenir" w:eastAsia="Avenir" w:hAnsi="Avenir" w:cs="Avenir"/>
                <w:sz w:val="16"/>
                <w:szCs w:val="16"/>
              </w:rPr>
            </w:pPr>
            <w:hyperlink r:id="rId61" w:history="1">
              <w:r w:rsidRPr="00E11FFB">
                <w:rPr>
                  <w:rStyle w:val="Lienhypertexte"/>
                  <w:rFonts w:ascii="Avenir" w:eastAsia="Avenir" w:hAnsi="Avenir" w:cs="Avenir"/>
                  <w:sz w:val="16"/>
                  <w:szCs w:val="16"/>
                </w:rPr>
                <w:t xml:space="preserve">Spots radio </w:t>
              </w:r>
              <w:r w:rsidR="004A1F74" w:rsidRPr="00E11FFB">
                <w:rPr>
                  <w:rStyle w:val="Lienhypertexte"/>
                  <w:rFonts w:ascii="Avenir" w:eastAsia="Avenir" w:hAnsi="Avenir" w:cs="Avenir"/>
                  <w:sz w:val="16"/>
                  <w:szCs w:val="16"/>
                </w:rPr>
                <w:t xml:space="preserve">et </w:t>
              </w:r>
              <w:r w:rsidR="009B66E0" w:rsidRPr="00E11FFB">
                <w:rPr>
                  <w:rStyle w:val="Lienhypertexte"/>
                  <w:rFonts w:ascii="Avenir" w:eastAsia="Avenir" w:hAnsi="Avenir" w:cs="Avenir"/>
                  <w:sz w:val="16"/>
                  <w:szCs w:val="16"/>
                </w:rPr>
                <w:t xml:space="preserve">vidéo </w:t>
              </w:r>
              <w:r w:rsidRPr="00E11FFB">
                <w:rPr>
                  <w:rStyle w:val="Lienhypertexte"/>
                  <w:rFonts w:ascii="Avenir" w:eastAsia="Avenir" w:hAnsi="Avenir" w:cs="Avenir"/>
                  <w:sz w:val="16"/>
                  <w:szCs w:val="16"/>
                </w:rPr>
                <w:t xml:space="preserve">sur </w:t>
              </w:r>
              <w:r w:rsidR="004A1F74" w:rsidRPr="00E11FFB">
                <w:rPr>
                  <w:rStyle w:val="Lienhypertexte"/>
                  <w:rFonts w:ascii="Avenir" w:eastAsia="Avenir" w:hAnsi="Avenir" w:cs="Avenir"/>
                  <w:sz w:val="16"/>
                  <w:szCs w:val="16"/>
                </w:rPr>
                <w:t>la</w:t>
              </w:r>
              <w:r w:rsidRPr="00E11FFB">
                <w:rPr>
                  <w:rStyle w:val="Lienhypertexte"/>
                  <w:rFonts w:ascii="Avenir" w:eastAsia="Avenir" w:hAnsi="Avenir" w:cs="Avenir"/>
                  <w:sz w:val="16"/>
                  <w:szCs w:val="16"/>
                </w:rPr>
                <w:t xml:space="preserve"> vulgarisation </w:t>
              </w:r>
              <w:r w:rsidR="004A1F74" w:rsidRPr="00E11FFB">
                <w:rPr>
                  <w:rStyle w:val="Lienhypertexte"/>
                  <w:rFonts w:ascii="Avenir" w:eastAsia="Avenir" w:hAnsi="Avenir" w:cs="Avenir"/>
                  <w:sz w:val="16"/>
                  <w:szCs w:val="16"/>
                </w:rPr>
                <w:t>de la politique agricole,</w:t>
              </w:r>
            </w:hyperlink>
            <w:r w:rsidR="004A1F74" w:rsidRPr="00E11FFB">
              <w:rPr>
                <w:rFonts w:ascii="Avenir" w:eastAsia="Avenir" w:hAnsi="Avenir" w:cs="Avenir"/>
                <w:sz w:val="16"/>
                <w:szCs w:val="16"/>
              </w:rPr>
              <w:t xml:space="preserve"> </w:t>
            </w:r>
          </w:p>
        </w:tc>
      </w:tr>
      <w:tr w:rsidR="00CE3380" w:rsidRPr="00E11FFB" w14:paraId="0384C226" w14:textId="77777777" w:rsidTr="00A323E7">
        <w:trPr>
          <w:trHeight w:val="282"/>
        </w:trPr>
        <w:tc>
          <w:tcPr>
            <w:tcW w:w="2867" w:type="dxa"/>
            <w:tcMar>
              <w:left w:w="108" w:type="dxa"/>
              <w:right w:w="108" w:type="dxa"/>
            </w:tcMar>
            <w:vAlign w:val="center"/>
          </w:tcPr>
          <w:p w14:paraId="5CE23006" w14:textId="6FA75745" w:rsidR="00CE3380" w:rsidRPr="00E11FFB" w:rsidRDefault="0017055E" w:rsidP="003A6DE1">
            <w:pPr>
              <w:ind w:left="20" w:right="28" w:hanging="10"/>
              <w:rPr>
                <w:rFonts w:ascii="Avenir" w:eastAsia="Avenir" w:hAnsi="Avenir" w:cs="Avenir"/>
                <w:sz w:val="16"/>
                <w:szCs w:val="16"/>
              </w:rPr>
            </w:pPr>
            <w:r w:rsidRPr="00E11FFB">
              <w:rPr>
                <w:rFonts w:ascii="Avenir" w:eastAsia="Avenir" w:hAnsi="Avenir" w:cs="Avenir"/>
                <w:sz w:val="16"/>
                <w:szCs w:val="16"/>
              </w:rPr>
              <w:t xml:space="preserve">Organisations de la société civile, universitaire, </w:t>
            </w:r>
            <w:r w:rsidR="007A7546" w:rsidRPr="00E11FFB">
              <w:rPr>
                <w:rFonts w:ascii="Avenir" w:eastAsia="Avenir" w:hAnsi="Avenir" w:cs="Avenir"/>
                <w:sz w:val="16"/>
                <w:szCs w:val="16"/>
              </w:rPr>
              <w:t>Autorités Politico-Administratives</w:t>
            </w:r>
            <w:r w:rsidRPr="00E11FFB">
              <w:rPr>
                <w:rFonts w:ascii="Avenir" w:eastAsia="Avenir" w:hAnsi="Avenir" w:cs="Avenir"/>
                <w:sz w:val="16"/>
                <w:szCs w:val="16"/>
              </w:rPr>
              <w:t xml:space="preserve">, </w:t>
            </w:r>
          </w:p>
        </w:tc>
        <w:tc>
          <w:tcPr>
            <w:tcW w:w="4053" w:type="dxa"/>
            <w:gridSpan w:val="2"/>
            <w:tcMar>
              <w:left w:w="108" w:type="dxa"/>
              <w:right w:w="108" w:type="dxa"/>
            </w:tcMar>
            <w:vAlign w:val="center"/>
          </w:tcPr>
          <w:p w14:paraId="6C5936AF" w14:textId="39D9E90D" w:rsidR="00CE3380" w:rsidRPr="00E11FFB" w:rsidRDefault="005F614F" w:rsidP="005F614F">
            <w:pPr>
              <w:ind w:left="10" w:right="28"/>
              <w:rPr>
                <w:rFonts w:ascii="Avenir" w:eastAsia="Avenir" w:hAnsi="Avenir" w:cs="Avenir"/>
                <w:sz w:val="16"/>
                <w:szCs w:val="16"/>
              </w:rPr>
            </w:pPr>
            <w:r w:rsidRPr="00E11FFB">
              <w:rPr>
                <w:rFonts w:ascii="Avenir" w:eastAsia="Avenir" w:hAnsi="Avenir" w:cs="Avenir"/>
                <w:sz w:val="16"/>
                <w:szCs w:val="16"/>
              </w:rPr>
              <w:t>1143</w:t>
            </w:r>
            <w:r w:rsidR="009B66E0" w:rsidRPr="00E11FFB">
              <w:rPr>
                <w:rFonts w:ascii="Avenir" w:eastAsia="Avenir" w:hAnsi="Avenir" w:cs="Avenir"/>
                <w:sz w:val="16"/>
                <w:szCs w:val="16"/>
              </w:rPr>
              <w:t xml:space="preserve"> personnes sensibilisées et consultées sur la politique forestière nationale dans diverses provinces de la RDC</w:t>
            </w:r>
          </w:p>
        </w:tc>
        <w:tc>
          <w:tcPr>
            <w:tcW w:w="2981" w:type="dxa"/>
            <w:gridSpan w:val="2"/>
            <w:tcMar>
              <w:left w:w="108" w:type="dxa"/>
              <w:right w:w="108" w:type="dxa"/>
            </w:tcMar>
            <w:vAlign w:val="center"/>
          </w:tcPr>
          <w:p w14:paraId="3593D5FB" w14:textId="1C6E6530" w:rsidR="00CE3380" w:rsidRPr="00E11FFB" w:rsidRDefault="00665BAE" w:rsidP="00ED2793">
            <w:pPr>
              <w:ind w:right="28"/>
              <w:rPr>
                <w:rFonts w:ascii="Avenir" w:eastAsia="Avenir" w:hAnsi="Avenir" w:cs="Avenir"/>
                <w:sz w:val="16"/>
                <w:szCs w:val="16"/>
              </w:rPr>
            </w:pPr>
            <w:hyperlink r:id="rId62" w:history="1">
              <w:r w:rsidRPr="00E11FFB">
                <w:rPr>
                  <w:rStyle w:val="Lienhypertexte"/>
                  <w:rFonts w:ascii="Avenir" w:eastAsia="Avenir" w:hAnsi="Avenir" w:cs="Avenir"/>
                  <w:sz w:val="16"/>
                  <w:szCs w:val="16"/>
                </w:rPr>
                <w:t>Photos d’ateliers, sport radio et vidéo sur les consultations</w:t>
              </w:r>
            </w:hyperlink>
          </w:p>
        </w:tc>
      </w:tr>
      <w:tr w:rsidR="00E44F3F" w:rsidRPr="00E11FFB" w14:paraId="7DA4422A" w14:textId="77777777" w:rsidTr="00A323E7">
        <w:trPr>
          <w:trHeight w:val="282"/>
        </w:trPr>
        <w:tc>
          <w:tcPr>
            <w:tcW w:w="2867" w:type="dxa"/>
            <w:tcMar>
              <w:left w:w="108" w:type="dxa"/>
              <w:right w:w="108" w:type="dxa"/>
            </w:tcMar>
            <w:vAlign w:val="center"/>
          </w:tcPr>
          <w:p w14:paraId="76FD6DD9" w14:textId="709A0E9B" w:rsidR="00E44F3F" w:rsidRPr="00E11FFB" w:rsidRDefault="00E44F3F" w:rsidP="00E44F3F">
            <w:pPr>
              <w:ind w:left="20" w:right="28" w:hanging="10"/>
              <w:rPr>
                <w:rFonts w:ascii="Avenir" w:eastAsia="Avenir" w:hAnsi="Avenir" w:cs="Avenir"/>
                <w:sz w:val="16"/>
                <w:szCs w:val="16"/>
              </w:rPr>
            </w:pPr>
            <w:r w:rsidRPr="00E11FFB">
              <w:rPr>
                <w:rFonts w:ascii="Avenir" w:eastAsia="Avenir" w:hAnsi="Avenir" w:cs="Avenir"/>
                <w:sz w:val="16"/>
                <w:szCs w:val="16"/>
              </w:rPr>
              <w:t>Grand Public, les Autorités Politico-Administratives et bailleurs des fonds</w:t>
            </w:r>
          </w:p>
        </w:tc>
        <w:tc>
          <w:tcPr>
            <w:tcW w:w="4053" w:type="dxa"/>
            <w:gridSpan w:val="2"/>
            <w:tcMar>
              <w:left w:w="108" w:type="dxa"/>
              <w:right w:w="108" w:type="dxa"/>
            </w:tcMar>
            <w:vAlign w:val="center"/>
          </w:tcPr>
          <w:p w14:paraId="736C09E0" w14:textId="612F5082" w:rsidR="00E44F3F" w:rsidRPr="00E11FFB" w:rsidRDefault="00E44F3F" w:rsidP="00E44F3F">
            <w:pPr>
              <w:ind w:left="20" w:right="28" w:hanging="10"/>
              <w:rPr>
                <w:rFonts w:ascii="Avenir" w:eastAsia="Avenir" w:hAnsi="Avenir" w:cs="Avenir"/>
                <w:sz w:val="16"/>
                <w:szCs w:val="16"/>
              </w:rPr>
            </w:pPr>
            <w:r w:rsidRPr="00E11FFB">
              <w:rPr>
                <w:rFonts w:ascii="Avenir" w:eastAsia="Avenir" w:hAnsi="Avenir" w:cs="Avenir"/>
                <w:sz w:val="16"/>
                <w:szCs w:val="16"/>
              </w:rPr>
              <w:t>100 personnes sont informées sur le projet d’élaboration de la politique nationale de Population et s’engage d’y participer activement.</w:t>
            </w:r>
          </w:p>
        </w:tc>
        <w:tc>
          <w:tcPr>
            <w:tcW w:w="2981" w:type="dxa"/>
            <w:gridSpan w:val="2"/>
            <w:tcMar>
              <w:left w:w="108" w:type="dxa"/>
              <w:right w:w="108" w:type="dxa"/>
            </w:tcMar>
            <w:vAlign w:val="center"/>
          </w:tcPr>
          <w:p w14:paraId="12C3D3E2" w14:textId="6F308356" w:rsidR="00E44F3F" w:rsidRPr="00E11FFB" w:rsidRDefault="00E44F3F" w:rsidP="00E44F3F">
            <w:pPr>
              <w:ind w:right="28"/>
              <w:rPr>
                <w:rFonts w:ascii="Avenir" w:eastAsia="Avenir" w:hAnsi="Avenir" w:cs="Avenir"/>
                <w:sz w:val="16"/>
                <w:szCs w:val="16"/>
              </w:rPr>
            </w:pPr>
            <w:hyperlink r:id="rId63" w:history="1">
              <w:r w:rsidRPr="00E11FFB">
                <w:rPr>
                  <w:rStyle w:val="Lienhypertexte"/>
                  <w:rFonts w:ascii="Avenir" w:eastAsia="Avenir" w:hAnsi="Avenir" w:cs="Avenir"/>
                  <w:sz w:val="16"/>
                  <w:szCs w:val="16"/>
                </w:rPr>
                <w:t>Bulletin d’actualité sur l’atelier de sensibilisation et d’information sur la politique nationale de population</w:t>
              </w:r>
            </w:hyperlink>
          </w:p>
        </w:tc>
      </w:tr>
      <w:tr w:rsidR="00E44F3F" w:rsidRPr="00E11FFB" w14:paraId="731A19EB" w14:textId="77777777" w:rsidTr="00A323E7">
        <w:trPr>
          <w:trHeight w:val="282"/>
        </w:trPr>
        <w:tc>
          <w:tcPr>
            <w:tcW w:w="2867" w:type="dxa"/>
            <w:tcMar>
              <w:left w:w="108" w:type="dxa"/>
              <w:right w:w="108" w:type="dxa"/>
            </w:tcMar>
            <w:vAlign w:val="center"/>
          </w:tcPr>
          <w:p w14:paraId="2FA28EB1" w14:textId="3BB541C1" w:rsidR="00E44F3F" w:rsidRPr="00E11FFB" w:rsidRDefault="00640C01" w:rsidP="00E44F3F">
            <w:pPr>
              <w:ind w:left="20" w:right="28" w:hanging="10"/>
              <w:rPr>
                <w:rFonts w:ascii="Avenir" w:eastAsia="Avenir" w:hAnsi="Avenir" w:cs="Avenir"/>
                <w:sz w:val="16"/>
                <w:szCs w:val="16"/>
              </w:rPr>
            </w:pPr>
            <w:r w:rsidRPr="00E11FFB">
              <w:rPr>
                <w:rFonts w:ascii="Avenir" w:eastAsia="Avenir" w:hAnsi="Avenir" w:cs="Avenir"/>
                <w:sz w:val="16"/>
                <w:szCs w:val="16"/>
              </w:rPr>
              <w:t>J</w:t>
            </w:r>
            <w:r w:rsidR="00E44F3F" w:rsidRPr="00E11FFB">
              <w:rPr>
                <w:rFonts w:ascii="Avenir" w:eastAsia="Avenir" w:hAnsi="Avenir" w:cs="Avenir"/>
                <w:sz w:val="16"/>
                <w:szCs w:val="16"/>
              </w:rPr>
              <w:t xml:space="preserve">eunes, femmes, </w:t>
            </w:r>
            <w:r w:rsidRPr="00E11FFB">
              <w:rPr>
                <w:rFonts w:ascii="Avenir" w:eastAsia="Avenir" w:hAnsi="Avenir" w:cs="Avenir"/>
                <w:sz w:val="16"/>
                <w:szCs w:val="16"/>
              </w:rPr>
              <w:t xml:space="preserve">personnes vulnérables, </w:t>
            </w:r>
            <w:r w:rsidR="00E44F3F" w:rsidRPr="00E11FFB">
              <w:rPr>
                <w:rFonts w:ascii="Avenir" w:eastAsia="Avenir" w:hAnsi="Avenir" w:cs="Avenir"/>
                <w:sz w:val="16"/>
                <w:szCs w:val="16"/>
              </w:rPr>
              <w:t>société civile</w:t>
            </w:r>
          </w:p>
        </w:tc>
        <w:tc>
          <w:tcPr>
            <w:tcW w:w="4053" w:type="dxa"/>
            <w:gridSpan w:val="2"/>
            <w:tcMar>
              <w:left w:w="108" w:type="dxa"/>
              <w:right w:w="108" w:type="dxa"/>
            </w:tcMar>
            <w:vAlign w:val="center"/>
          </w:tcPr>
          <w:p w14:paraId="0A48DA32" w14:textId="21AA5235" w:rsidR="00E44F3F" w:rsidRPr="00E11FFB" w:rsidRDefault="00A323E7" w:rsidP="00E44F3F">
            <w:pPr>
              <w:ind w:left="20" w:right="28" w:hanging="10"/>
              <w:rPr>
                <w:rFonts w:ascii="Avenir" w:eastAsia="Avenir" w:hAnsi="Avenir" w:cs="Avenir"/>
                <w:sz w:val="16"/>
                <w:szCs w:val="16"/>
              </w:rPr>
            </w:pPr>
            <w:r w:rsidRPr="00E11FFB">
              <w:rPr>
                <w:rFonts w:ascii="Avenir" w:eastAsia="Avenir" w:hAnsi="Avenir" w:cs="Avenir"/>
                <w:sz w:val="16"/>
                <w:szCs w:val="16"/>
              </w:rPr>
              <w:t>598</w:t>
            </w:r>
            <w:r w:rsidR="00E44F3F" w:rsidRPr="00E11FFB">
              <w:rPr>
                <w:rFonts w:ascii="Avenir" w:eastAsia="Avenir" w:hAnsi="Avenir" w:cs="Avenir"/>
                <w:sz w:val="16"/>
                <w:szCs w:val="16"/>
              </w:rPr>
              <w:t xml:space="preserve"> personnes consultées en 26 provinces sur le profil démographique de la RDC</w:t>
            </w:r>
          </w:p>
        </w:tc>
        <w:tc>
          <w:tcPr>
            <w:tcW w:w="2981" w:type="dxa"/>
            <w:gridSpan w:val="2"/>
            <w:tcMar>
              <w:left w:w="108" w:type="dxa"/>
              <w:right w:w="108" w:type="dxa"/>
            </w:tcMar>
            <w:vAlign w:val="center"/>
          </w:tcPr>
          <w:p w14:paraId="27E764FE" w14:textId="59BA6614" w:rsidR="00E44F3F" w:rsidRPr="00E11FFB" w:rsidRDefault="003221F8" w:rsidP="00E44F3F">
            <w:pPr>
              <w:ind w:right="28"/>
              <w:rPr>
                <w:rFonts w:ascii="Avenir" w:eastAsia="Avenir" w:hAnsi="Avenir" w:cs="Avenir"/>
                <w:sz w:val="16"/>
                <w:szCs w:val="16"/>
              </w:rPr>
            </w:pPr>
            <w:hyperlink r:id="rId64" w:history="1">
              <w:r w:rsidRPr="00E11FFB">
                <w:rPr>
                  <w:rStyle w:val="Lienhypertexte"/>
                  <w:rFonts w:ascii="Avenir" w:eastAsia="Avenir" w:hAnsi="Avenir" w:cs="Avenir"/>
                  <w:sz w:val="16"/>
                  <w:szCs w:val="16"/>
                </w:rPr>
                <w:t>https://coulisses.net/kasai-central-des-leaders-communautaires-renforcent-leurs-capacites-pour-lelaboration-de-la-politique-nationale-de-la-population/</w:t>
              </w:r>
            </w:hyperlink>
            <w:r w:rsidRPr="00E11FFB">
              <w:rPr>
                <w:rFonts w:ascii="Avenir" w:eastAsia="Avenir" w:hAnsi="Avenir" w:cs="Avenir"/>
                <w:sz w:val="16"/>
                <w:szCs w:val="16"/>
              </w:rPr>
              <w:t xml:space="preserve"> </w:t>
            </w:r>
          </w:p>
        </w:tc>
      </w:tr>
      <w:tr w:rsidR="00E44F3F" w:rsidRPr="00E11FFB" w14:paraId="716F6625" w14:textId="77777777" w:rsidTr="00A323E7">
        <w:trPr>
          <w:trHeight w:val="282"/>
        </w:trPr>
        <w:tc>
          <w:tcPr>
            <w:tcW w:w="2867" w:type="dxa"/>
            <w:tcMar>
              <w:left w:w="108" w:type="dxa"/>
              <w:right w:w="108" w:type="dxa"/>
            </w:tcMar>
            <w:vAlign w:val="center"/>
          </w:tcPr>
          <w:p w14:paraId="0394695B" w14:textId="77AB424C" w:rsidR="00E44F3F" w:rsidRPr="00E11FFB" w:rsidRDefault="00E44F3F" w:rsidP="00E44F3F">
            <w:pPr>
              <w:ind w:left="20" w:right="28" w:hanging="10"/>
              <w:rPr>
                <w:rFonts w:ascii="Avenir" w:eastAsia="Avenir" w:hAnsi="Avenir" w:cs="Avenir"/>
                <w:sz w:val="16"/>
                <w:szCs w:val="16"/>
              </w:rPr>
            </w:pPr>
            <w:r w:rsidRPr="00E11FFB">
              <w:rPr>
                <w:rFonts w:ascii="Avenir" w:eastAsia="Avenir" w:hAnsi="Avenir" w:cs="Avenir"/>
                <w:sz w:val="16"/>
                <w:szCs w:val="16"/>
              </w:rPr>
              <w:t>Experts des ministères de mines et hydrocarbures</w:t>
            </w:r>
          </w:p>
        </w:tc>
        <w:tc>
          <w:tcPr>
            <w:tcW w:w="4053" w:type="dxa"/>
            <w:gridSpan w:val="2"/>
            <w:tcMar>
              <w:left w:w="108" w:type="dxa"/>
              <w:right w:w="108" w:type="dxa"/>
            </w:tcMar>
            <w:vAlign w:val="center"/>
          </w:tcPr>
          <w:p w14:paraId="6F9A723E" w14:textId="7E8929FE" w:rsidR="00E44F3F" w:rsidRPr="00E11FFB" w:rsidRDefault="00E44F3F" w:rsidP="00E44F3F">
            <w:pPr>
              <w:ind w:left="20" w:right="28" w:hanging="10"/>
              <w:rPr>
                <w:rFonts w:ascii="Avenir" w:eastAsia="Avenir" w:hAnsi="Avenir" w:cs="Avenir"/>
                <w:sz w:val="16"/>
                <w:szCs w:val="16"/>
              </w:rPr>
            </w:pPr>
            <w:r w:rsidRPr="00E11FFB">
              <w:rPr>
                <w:rFonts w:ascii="Avenir" w:eastAsia="Avenir" w:hAnsi="Avenir" w:cs="Avenir"/>
                <w:sz w:val="16"/>
                <w:szCs w:val="16"/>
              </w:rPr>
              <w:t xml:space="preserve">Formation de </w:t>
            </w:r>
            <w:r w:rsidR="005F614F" w:rsidRPr="00E11FFB">
              <w:rPr>
                <w:rFonts w:ascii="Avenir" w:eastAsia="Avenir" w:hAnsi="Avenir" w:cs="Avenir"/>
                <w:sz w:val="16"/>
                <w:szCs w:val="16"/>
              </w:rPr>
              <w:t>45</w:t>
            </w:r>
            <w:r w:rsidRPr="00E11FFB">
              <w:rPr>
                <w:rFonts w:ascii="Avenir" w:eastAsia="Avenir" w:hAnsi="Avenir" w:cs="Avenir"/>
                <w:sz w:val="16"/>
                <w:szCs w:val="16"/>
              </w:rPr>
              <w:t xml:space="preserve"> experts de deux ministères sur les l’évaluation environnementale et sociale</w:t>
            </w:r>
            <w:r w:rsidR="00640C01" w:rsidRPr="00E11FFB">
              <w:rPr>
                <w:rFonts w:ascii="Avenir" w:eastAsia="Avenir" w:hAnsi="Avenir" w:cs="Avenir"/>
                <w:sz w:val="16"/>
                <w:szCs w:val="16"/>
              </w:rPr>
              <w:t xml:space="preserve"> pour le changement de comportement</w:t>
            </w:r>
            <w:r w:rsidR="00EE2860" w:rsidRPr="00E11FFB">
              <w:rPr>
                <w:rFonts w:ascii="Avenir" w:eastAsia="Avenir" w:hAnsi="Avenir" w:cs="Avenir"/>
                <w:sz w:val="16"/>
                <w:szCs w:val="16"/>
              </w:rPr>
              <w:t xml:space="preserve"> dans le suivi environnemental</w:t>
            </w:r>
          </w:p>
        </w:tc>
        <w:tc>
          <w:tcPr>
            <w:tcW w:w="2981" w:type="dxa"/>
            <w:gridSpan w:val="2"/>
            <w:tcMar>
              <w:left w:w="108" w:type="dxa"/>
              <w:right w:w="108" w:type="dxa"/>
            </w:tcMar>
            <w:vAlign w:val="center"/>
          </w:tcPr>
          <w:p w14:paraId="3976E052" w14:textId="1BF52301" w:rsidR="00E44F3F" w:rsidRPr="00E11FFB" w:rsidRDefault="00640C01" w:rsidP="00E44F3F">
            <w:pPr>
              <w:ind w:right="28"/>
              <w:rPr>
                <w:rFonts w:ascii="Avenir" w:eastAsia="Avenir" w:hAnsi="Avenir" w:cs="Avenir"/>
                <w:sz w:val="16"/>
                <w:szCs w:val="16"/>
              </w:rPr>
            </w:pPr>
            <w:hyperlink r:id="rId65" w:history="1">
              <w:r w:rsidRPr="00E11FFB">
                <w:rPr>
                  <w:rStyle w:val="Lienhypertexte"/>
                  <w:rFonts w:ascii="Avenir" w:eastAsia="Avenir" w:hAnsi="Avenir" w:cs="Avenir"/>
                  <w:sz w:val="16"/>
                  <w:szCs w:val="16"/>
                </w:rPr>
                <w:t>Sensibilisation des experts de mines</w:t>
              </w:r>
            </w:hyperlink>
            <w:r w:rsidRPr="00E11FFB">
              <w:rPr>
                <w:rFonts w:ascii="Avenir" w:eastAsia="Avenir" w:hAnsi="Avenir" w:cs="Avenir"/>
                <w:sz w:val="16"/>
                <w:szCs w:val="16"/>
              </w:rPr>
              <w:t xml:space="preserve"> </w:t>
            </w:r>
          </w:p>
          <w:p w14:paraId="131D987B" w14:textId="59B298A5" w:rsidR="00640C01" w:rsidRPr="00E11FFB" w:rsidRDefault="00640C01" w:rsidP="00E44F3F">
            <w:pPr>
              <w:ind w:right="28"/>
              <w:rPr>
                <w:rFonts w:ascii="Avenir" w:eastAsia="Avenir" w:hAnsi="Avenir" w:cs="Avenir"/>
                <w:sz w:val="16"/>
                <w:szCs w:val="16"/>
              </w:rPr>
            </w:pPr>
            <w:hyperlink r:id="rId66" w:history="1">
              <w:r w:rsidRPr="00E11FFB">
                <w:rPr>
                  <w:rStyle w:val="Lienhypertexte"/>
                  <w:rFonts w:ascii="Avenir" w:eastAsia="Avenir" w:hAnsi="Avenir" w:cs="Avenir"/>
                  <w:sz w:val="16"/>
                  <w:szCs w:val="16"/>
                </w:rPr>
                <w:t>Formation des experts de hydrocarbures</w:t>
              </w:r>
            </w:hyperlink>
          </w:p>
        </w:tc>
      </w:tr>
      <w:tr w:rsidR="003221F8" w:rsidRPr="00E11FFB" w14:paraId="3CFCD394" w14:textId="77777777" w:rsidTr="00A323E7">
        <w:trPr>
          <w:trHeight w:val="282"/>
        </w:trPr>
        <w:tc>
          <w:tcPr>
            <w:tcW w:w="2867" w:type="dxa"/>
            <w:tcMar>
              <w:left w:w="108" w:type="dxa"/>
              <w:right w:w="108" w:type="dxa"/>
            </w:tcMar>
            <w:vAlign w:val="center"/>
          </w:tcPr>
          <w:p w14:paraId="6BC21DD2" w14:textId="29C35507" w:rsidR="003221F8" w:rsidRPr="00E11FFB" w:rsidRDefault="00E90018" w:rsidP="006A0496">
            <w:pPr>
              <w:ind w:right="28"/>
              <w:rPr>
                <w:rFonts w:ascii="Avenir" w:eastAsia="Avenir" w:hAnsi="Avenir" w:cs="Avenir"/>
                <w:sz w:val="16"/>
                <w:szCs w:val="16"/>
              </w:rPr>
            </w:pPr>
            <w:r w:rsidRPr="00E11FFB">
              <w:rPr>
                <w:rFonts w:ascii="Avenir" w:eastAsia="Avenir" w:hAnsi="Avenir" w:cs="Avenir"/>
                <w:sz w:val="16"/>
                <w:szCs w:val="16"/>
              </w:rPr>
              <w:t xml:space="preserve">Acteurs forestiers, exploitants forestiers, communautés impactées par l’exploitation forestière, entreprises privées du secteur forestier. </w:t>
            </w:r>
          </w:p>
        </w:tc>
        <w:tc>
          <w:tcPr>
            <w:tcW w:w="4053" w:type="dxa"/>
            <w:gridSpan w:val="2"/>
            <w:tcMar>
              <w:left w:w="108" w:type="dxa"/>
              <w:right w:w="108" w:type="dxa"/>
            </w:tcMar>
            <w:vAlign w:val="center"/>
          </w:tcPr>
          <w:p w14:paraId="10FEE6BF" w14:textId="5B416433" w:rsidR="003221F8" w:rsidRPr="00E11FFB" w:rsidRDefault="000B4804" w:rsidP="00E44F3F">
            <w:pPr>
              <w:ind w:left="20" w:right="28" w:hanging="10"/>
              <w:rPr>
                <w:rFonts w:ascii="Avenir" w:eastAsia="Avenir" w:hAnsi="Avenir" w:cs="Avenir"/>
                <w:sz w:val="16"/>
                <w:szCs w:val="16"/>
              </w:rPr>
            </w:pPr>
            <w:r w:rsidRPr="00E11FFB">
              <w:rPr>
                <w:rFonts w:ascii="Avenir" w:eastAsia="Avenir" w:hAnsi="Avenir" w:cs="Avenir"/>
                <w:sz w:val="16"/>
                <w:szCs w:val="16"/>
              </w:rPr>
              <w:t>836</w:t>
            </w:r>
            <w:r w:rsidR="00E90018" w:rsidRPr="00E11FFB">
              <w:rPr>
                <w:rFonts w:ascii="Avenir" w:eastAsia="Avenir" w:hAnsi="Avenir" w:cs="Avenir"/>
                <w:sz w:val="16"/>
                <w:szCs w:val="16"/>
              </w:rPr>
              <w:t xml:space="preserve"> personnes consultés et sensibilisés dans 9 provinces de la RDC</w:t>
            </w:r>
          </w:p>
        </w:tc>
        <w:tc>
          <w:tcPr>
            <w:tcW w:w="2981" w:type="dxa"/>
            <w:gridSpan w:val="2"/>
            <w:tcMar>
              <w:left w:w="108" w:type="dxa"/>
              <w:right w:w="108" w:type="dxa"/>
            </w:tcMar>
            <w:vAlign w:val="center"/>
          </w:tcPr>
          <w:p w14:paraId="1DE6DEC4" w14:textId="150B76E6" w:rsidR="003221F8" w:rsidRPr="00E11FFB" w:rsidRDefault="00E90018" w:rsidP="00E44F3F">
            <w:pPr>
              <w:ind w:right="28"/>
              <w:rPr>
                <w:rFonts w:ascii="Avenir" w:eastAsia="Avenir" w:hAnsi="Avenir" w:cs="Avenir"/>
                <w:sz w:val="16"/>
                <w:szCs w:val="16"/>
              </w:rPr>
            </w:pPr>
            <w:hyperlink r:id="rId67" w:history="1">
              <w:r w:rsidRPr="00E11FFB">
                <w:rPr>
                  <w:rStyle w:val="Lienhypertexte"/>
                  <w:rFonts w:ascii="Avenir" w:eastAsia="Avenir" w:hAnsi="Avenir" w:cs="Avenir"/>
                  <w:sz w:val="16"/>
                  <w:szCs w:val="16"/>
                </w:rPr>
                <w:t>Spots radio, vidéo, banderole, photos et Rollup</w:t>
              </w:r>
            </w:hyperlink>
          </w:p>
        </w:tc>
      </w:tr>
    </w:tbl>
    <w:p w14:paraId="2B3A06F7" w14:textId="77777777" w:rsidR="0024617D" w:rsidRPr="00E11FFB" w:rsidRDefault="00C83F85">
      <w:pPr>
        <w:pStyle w:val="Titre1"/>
        <w:numPr>
          <w:ilvl w:val="0"/>
          <w:numId w:val="1"/>
        </w:numPr>
      </w:pPr>
      <w:bookmarkStart w:id="26" w:name="_Toc224044716"/>
      <w:r w:rsidRPr="00E11FFB">
        <w:t>Exécution financière</w:t>
      </w:r>
      <w:bookmarkEnd w:id="26"/>
    </w:p>
    <w:p w14:paraId="6C29F1DE" w14:textId="483C66E2" w:rsidR="0024617D" w:rsidRPr="00E11FFB" w:rsidRDefault="00C83F85">
      <w:pPr>
        <w:pStyle w:val="Titre2"/>
      </w:pPr>
      <w:bookmarkStart w:id="27" w:name="_Toc224044717"/>
      <w:r w:rsidRPr="00E11FFB">
        <w:t xml:space="preserve">7.1 </w:t>
      </w:r>
      <w:hyperlink r:id="rId68" w:history="1">
        <w:r w:rsidRPr="00860106">
          <w:rPr>
            <w:rStyle w:val="Lienhypertexte"/>
          </w:rPr>
          <w:t>Décaissements</w:t>
        </w:r>
        <w:bookmarkEnd w:id="27"/>
      </w:hyperlink>
      <w:r w:rsidRPr="00E11FFB">
        <w:t xml:space="preserve"> </w:t>
      </w:r>
    </w:p>
    <w:p w14:paraId="51555938" w14:textId="77777777" w:rsidR="0024617D" w:rsidRPr="00E11FFB" w:rsidRDefault="0024617D">
      <w:pPr>
        <w:spacing w:after="8"/>
        <w:ind w:left="10"/>
        <w:rPr>
          <w:rFonts w:ascii="Avenir" w:eastAsia="Avenir" w:hAnsi="Avenir" w:cs="Avenir"/>
          <w:color w:val="000000"/>
        </w:rPr>
      </w:pPr>
    </w:p>
    <w:p w14:paraId="5E022BE4" w14:textId="4F74705A" w:rsidR="0024617D" w:rsidRPr="002142A2" w:rsidRDefault="00C83F85" w:rsidP="002142A2">
      <w:pPr>
        <w:numPr>
          <w:ilvl w:val="0"/>
          <w:numId w:val="5"/>
        </w:numPr>
        <w:pBdr>
          <w:top w:val="nil"/>
          <w:left w:val="nil"/>
          <w:bottom w:val="nil"/>
          <w:right w:val="nil"/>
          <w:between w:val="nil"/>
        </w:pBdr>
        <w:spacing w:after="8" w:line="271" w:lineRule="auto"/>
        <w:ind w:left="10" w:right="28"/>
        <w:jc w:val="both"/>
        <w:rPr>
          <w:rFonts w:ascii="Avenir" w:eastAsia="Avenir" w:hAnsi="Avenir" w:cs="Avenir"/>
          <w:color w:val="000000"/>
          <w:sz w:val="22"/>
          <w:szCs w:val="22"/>
        </w:rPr>
      </w:pPr>
      <w:r w:rsidRPr="002726C6">
        <w:rPr>
          <w:rFonts w:ascii="Avenir" w:eastAsia="Avenir" w:hAnsi="Avenir" w:cs="Avenir"/>
          <w:color w:val="000000"/>
        </w:rPr>
        <w:t>Taux de décaissements du projet.</w:t>
      </w:r>
    </w:p>
    <w:tbl>
      <w:tblPr>
        <w:tblW w:w="11501" w:type="dxa"/>
        <w:tblInd w:w="-1423" w:type="dxa"/>
        <w:tblLayout w:type="fixed"/>
        <w:tblCellMar>
          <w:left w:w="70" w:type="dxa"/>
          <w:right w:w="70" w:type="dxa"/>
        </w:tblCellMar>
        <w:tblLook w:val="04A0" w:firstRow="1" w:lastRow="0" w:firstColumn="1" w:lastColumn="0" w:noHBand="0" w:noVBand="1"/>
      </w:tblPr>
      <w:tblGrid>
        <w:gridCol w:w="4253"/>
        <w:gridCol w:w="710"/>
        <w:gridCol w:w="841"/>
        <w:gridCol w:w="1134"/>
        <w:gridCol w:w="992"/>
        <w:gridCol w:w="992"/>
        <w:gridCol w:w="1001"/>
        <w:gridCol w:w="709"/>
        <w:gridCol w:w="855"/>
        <w:gridCol w:w="7"/>
        <w:gridCol w:w="7"/>
      </w:tblGrid>
      <w:tr w:rsidR="0050758C" w:rsidRPr="0050758C" w14:paraId="0F02671D" w14:textId="77777777" w:rsidTr="00AA2BC6">
        <w:trPr>
          <w:gridAfter w:val="1"/>
          <w:wAfter w:w="7" w:type="dxa"/>
          <w:trHeight w:val="300"/>
          <w:tblHeader/>
        </w:trPr>
        <w:tc>
          <w:tcPr>
            <w:tcW w:w="4253" w:type="dxa"/>
            <w:tcBorders>
              <w:top w:val="single" w:sz="4" w:space="0" w:color="auto"/>
              <w:left w:val="single" w:sz="4" w:space="0" w:color="auto"/>
              <w:bottom w:val="single" w:sz="4" w:space="0" w:color="auto"/>
              <w:right w:val="single" w:sz="4" w:space="0" w:color="auto"/>
            </w:tcBorders>
            <w:shd w:val="clear" w:color="336699" w:fill="336699"/>
            <w:vAlign w:val="center"/>
            <w:hideMark/>
          </w:tcPr>
          <w:p w14:paraId="7628270C" w14:textId="77777777" w:rsidR="0050758C" w:rsidRPr="0050758C" w:rsidRDefault="0050758C" w:rsidP="0050758C">
            <w:pPr>
              <w:jc w:val="center"/>
              <w:rPr>
                <w:rFonts w:ascii="Arial" w:hAnsi="Arial" w:cs="Arial"/>
                <w:color w:val="FFFFFF"/>
                <w:sz w:val="16"/>
                <w:szCs w:val="16"/>
                <w:lang w:eastAsia="fr-CD"/>
              </w:rPr>
            </w:pPr>
            <w:r w:rsidRPr="0050758C">
              <w:rPr>
                <w:rFonts w:ascii="Arial" w:hAnsi="Arial" w:cs="Arial"/>
                <w:color w:val="FFFFFF"/>
                <w:sz w:val="16"/>
                <w:szCs w:val="16"/>
              </w:rPr>
              <w:t>Résultats</w:t>
            </w:r>
          </w:p>
        </w:tc>
        <w:tc>
          <w:tcPr>
            <w:tcW w:w="710" w:type="dxa"/>
            <w:vMerge w:val="restart"/>
            <w:tcBorders>
              <w:top w:val="single" w:sz="4" w:space="0" w:color="auto"/>
              <w:left w:val="single" w:sz="4" w:space="0" w:color="auto"/>
              <w:bottom w:val="single" w:sz="4" w:space="0" w:color="auto"/>
              <w:right w:val="single" w:sz="4" w:space="0" w:color="auto"/>
            </w:tcBorders>
            <w:shd w:val="clear" w:color="336699" w:fill="336699"/>
            <w:vAlign w:val="center"/>
            <w:hideMark/>
          </w:tcPr>
          <w:p w14:paraId="7D6F00D9" w14:textId="77777777" w:rsidR="0050758C" w:rsidRPr="0050758C" w:rsidRDefault="0050758C">
            <w:pPr>
              <w:jc w:val="center"/>
              <w:rPr>
                <w:rFonts w:ascii="Calibri" w:hAnsi="Calibri" w:cs="Calibri"/>
                <w:color w:val="FFFFFF"/>
                <w:sz w:val="16"/>
                <w:szCs w:val="16"/>
              </w:rPr>
            </w:pPr>
            <w:r w:rsidRPr="0050758C">
              <w:rPr>
                <w:rFonts w:ascii="Calibri" w:hAnsi="Calibri" w:cs="Calibri"/>
                <w:color w:val="FFFFFF"/>
                <w:sz w:val="16"/>
                <w:szCs w:val="16"/>
              </w:rPr>
              <w:t>Organisme de mise en œuvre</w:t>
            </w:r>
          </w:p>
        </w:tc>
        <w:tc>
          <w:tcPr>
            <w:tcW w:w="841" w:type="dxa"/>
            <w:vMerge w:val="restart"/>
            <w:tcBorders>
              <w:top w:val="single" w:sz="4" w:space="0" w:color="auto"/>
              <w:left w:val="single" w:sz="4" w:space="0" w:color="auto"/>
              <w:bottom w:val="single" w:sz="4" w:space="0" w:color="auto"/>
              <w:right w:val="single" w:sz="4" w:space="0" w:color="auto"/>
            </w:tcBorders>
            <w:shd w:val="clear" w:color="336699" w:fill="336699"/>
            <w:vAlign w:val="center"/>
            <w:hideMark/>
          </w:tcPr>
          <w:p w14:paraId="26809106" w14:textId="77777777" w:rsidR="0050758C" w:rsidRPr="0050758C" w:rsidRDefault="0050758C">
            <w:pPr>
              <w:jc w:val="center"/>
              <w:rPr>
                <w:rFonts w:ascii="Calibri" w:hAnsi="Calibri" w:cs="Calibri"/>
                <w:color w:val="FFFFFF"/>
                <w:sz w:val="16"/>
                <w:szCs w:val="16"/>
              </w:rPr>
            </w:pPr>
            <w:r w:rsidRPr="0050758C">
              <w:rPr>
                <w:rFonts w:ascii="Calibri" w:hAnsi="Calibri" w:cs="Calibri"/>
                <w:color w:val="FFFFFF"/>
                <w:sz w:val="16"/>
                <w:szCs w:val="16"/>
              </w:rPr>
              <w:t>Partenaire de mise en œuvre</w:t>
            </w:r>
          </w:p>
        </w:tc>
        <w:tc>
          <w:tcPr>
            <w:tcW w:w="2126" w:type="dxa"/>
            <w:gridSpan w:val="2"/>
            <w:tcBorders>
              <w:top w:val="single" w:sz="4" w:space="0" w:color="auto"/>
              <w:left w:val="nil"/>
              <w:bottom w:val="single" w:sz="4" w:space="0" w:color="auto"/>
              <w:right w:val="single" w:sz="4" w:space="0" w:color="auto"/>
            </w:tcBorders>
            <w:shd w:val="clear" w:color="336699" w:fill="336699"/>
            <w:vAlign w:val="center"/>
            <w:hideMark/>
          </w:tcPr>
          <w:p w14:paraId="2D486753" w14:textId="77777777" w:rsidR="0050758C" w:rsidRPr="0050758C" w:rsidRDefault="0050758C">
            <w:pPr>
              <w:jc w:val="center"/>
              <w:rPr>
                <w:rFonts w:ascii="Calibri" w:hAnsi="Calibri" w:cs="Calibri"/>
                <w:color w:val="FFFFFF"/>
                <w:sz w:val="16"/>
                <w:szCs w:val="16"/>
              </w:rPr>
            </w:pPr>
            <w:r w:rsidRPr="0050758C">
              <w:rPr>
                <w:rFonts w:ascii="Calibri" w:hAnsi="Calibri" w:cs="Calibri"/>
                <w:color w:val="FFFFFF"/>
                <w:sz w:val="16"/>
                <w:szCs w:val="16"/>
              </w:rPr>
              <w:t xml:space="preserve">Budget </w:t>
            </w:r>
          </w:p>
        </w:tc>
        <w:tc>
          <w:tcPr>
            <w:tcW w:w="3564" w:type="dxa"/>
            <w:gridSpan w:val="5"/>
            <w:tcBorders>
              <w:top w:val="single" w:sz="4" w:space="0" w:color="auto"/>
              <w:left w:val="nil"/>
              <w:bottom w:val="single" w:sz="4" w:space="0" w:color="auto"/>
              <w:right w:val="single" w:sz="4" w:space="0" w:color="auto"/>
            </w:tcBorders>
            <w:shd w:val="clear" w:color="336699" w:fill="336699"/>
            <w:vAlign w:val="center"/>
            <w:hideMark/>
          </w:tcPr>
          <w:p w14:paraId="4DB0B451" w14:textId="77777777" w:rsidR="0050758C" w:rsidRPr="0050758C" w:rsidRDefault="0050758C">
            <w:pPr>
              <w:jc w:val="center"/>
              <w:rPr>
                <w:rFonts w:ascii="Calibri" w:hAnsi="Calibri" w:cs="Calibri"/>
                <w:color w:val="FFFFFF"/>
                <w:sz w:val="16"/>
                <w:szCs w:val="16"/>
              </w:rPr>
            </w:pPr>
            <w:r w:rsidRPr="0050758C">
              <w:rPr>
                <w:rFonts w:ascii="Calibri" w:hAnsi="Calibri" w:cs="Calibri"/>
                <w:color w:val="FFFFFF"/>
                <w:sz w:val="16"/>
                <w:szCs w:val="16"/>
              </w:rPr>
              <w:t xml:space="preserve">Exécution financière </w:t>
            </w:r>
          </w:p>
        </w:tc>
      </w:tr>
      <w:tr w:rsidR="0050758C" w:rsidRPr="0050758C" w14:paraId="18422A69" w14:textId="77777777" w:rsidTr="006D79E9">
        <w:trPr>
          <w:gridAfter w:val="2"/>
          <w:wAfter w:w="14" w:type="dxa"/>
          <w:trHeight w:val="292"/>
          <w:tblHeader/>
        </w:trPr>
        <w:tc>
          <w:tcPr>
            <w:tcW w:w="4253" w:type="dxa"/>
            <w:tcBorders>
              <w:top w:val="nil"/>
              <w:left w:val="single" w:sz="4" w:space="0" w:color="auto"/>
              <w:bottom w:val="single" w:sz="4" w:space="0" w:color="auto"/>
              <w:right w:val="single" w:sz="4" w:space="0" w:color="auto"/>
            </w:tcBorders>
            <w:shd w:val="clear" w:color="336699" w:fill="336699"/>
            <w:vAlign w:val="center"/>
            <w:hideMark/>
          </w:tcPr>
          <w:p w14:paraId="6A3A7549" w14:textId="77777777" w:rsidR="0050758C" w:rsidRPr="0050758C" w:rsidRDefault="0050758C" w:rsidP="0050758C">
            <w:pPr>
              <w:jc w:val="center"/>
              <w:rPr>
                <w:rFonts w:ascii="Arial" w:hAnsi="Arial" w:cs="Arial"/>
                <w:color w:val="FFFFFF"/>
                <w:sz w:val="16"/>
                <w:szCs w:val="16"/>
              </w:rPr>
            </w:pPr>
            <w:r w:rsidRPr="0050758C">
              <w:rPr>
                <w:rFonts w:ascii="Arial" w:hAnsi="Arial" w:cs="Arial"/>
                <w:color w:val="FFFFFF"/>
                <w:sz w:val="16"/>
                <w:szCs w:val="16"/>
              </w:rPr>
              <w:t>Produits</w:t>
            </w:r>
          </w:p>
        </w:tc>
        <w:tc>
          <w:tcPr>
            <w:tcW w:w="710" w:type="dxa"/>
            <w:vMerge/>
            <w:tcBorders>
              <w:top w:val="single" w:sz="4" w:space="0" w:color="auto"/>
              <w:left w:val="single" w:sz="4" w:space="0" w:color="auto"/>
              <w:bottom w:val="single" w:sz="4" w:space="0" w:color="auto"/>
              <w:right w:val="single" w:sz="4" w:space="0" w:color="auto"/>
            </w:tcBorders>
            <w:vAlign w:val="center"/>
            <w:hideMark/>
          </w:tcPr>
          <w:p w14:paraId="5FB262BC" w14:textId="77777777" w:rsidR="0050758C" w:rsidRPr="0050758C" w:rsidRDefault="0050758C">
            <w:pPr>
              <w:rPr>
                <w:rFonts w:ascii="Calibri" w:hAnsi="Calibri" w:cs="Calibri"/>
                <w:color w:val="FFFFFF"/>
                <w:sz w:val="16"/>
                <w:szCs w:val="16"/>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5982B1BE" w14:textId="77777777" w:rsidR="0050758C" w:rsidRPr="0050758C" w:rsidRDefault="0050758C">
            <w:pPr>
              <w:rPr>
                <w:rFonts w:ascii="Calibri" w:hAnsi="Calibri" w:cs="Calibri"/>
                <w:color w:val="FFFFFF"/>
                <w:sz w:val="16"/>
                <w:szCs w:val="16"/>
              </w:rPr>
            </w:pPr>
          </w:p>
        </w:tc>
        <w:tc>
          <w:tcPr>
            <w:tcW w:w="1134" w:type="dxa"/>
            <w:tcBorders>
              <w:top w:val="nil"/>
              <w:left w:val="nil"/>
              <w:bottom w:val="single" w:sz="4" w:space="0" w:color="auto"/>
              <w:right w:val="single" w:sz="4" w:space="0" w:color="auto"/>
            </w:tcBorders>
            <w:shd w:val="clear" w:color="336699" w:fill="336699"/>
            <w:vAlign w:val="center"/>
            <w:hideMark/>
          </w:tcPr>
          <w:p w14:paraId="05E9B200" w14:textId="77777777" w:rsidR="0050758C" w:rsidRPr="0050758C" w:rsidRDefault="0050758C">
            <w:pPr>
              <w:jc w:val="center"/>
              <w:rPr>
                <w:rFonts w:ascii="Arial" w:hAnsi="Arial" w:cs="Arial"/>
                <w:color w:val="FFFFFF"/>
                <w:sz w:val="16"/>
                <w:szCs w:val="16"/>
              </w:rPr>
            </w:pPr>
            <w:r w:rsidRPr="0050758C">
              <w:rPr>
                <w:rFonts w:ascii="Arial" w:hAnsi="Arial" w:cs="Arial"/>
                <w:color w:val="FFFFFF"/>
                <w:sz w:val="16"/>
                <w:szCs w:val="16"/>
              </w:rPr>
              <w:t>Approuvé</w:t>
            </w:r>
          </w:p>
        </w:tc>
        <w:tc>
          <w:tcPr>
            <w:tcW w:w="992" w:type="dxa"/>
            <w:tcBorders>
              <w:top w:val="nil"/>
              <w:left w:val="nil"/>
              <w:bottom w:val="single" w:sz="4" w:space="0" w:color="auto"/>
              <w:right w:val="single" w:sz="4" w:space="0" w:color="auto"/>
            </w:tcBorders>
            <w:shd w:val="clear" w:color="336699" w:fill="336699"/>
            <w:vAlign w:val="center"/>
            <w:hideMark/>
          </w:tcPr>
          <w:p w14:paraId="715E53A8" w14:textId="77777777" w:rsidR="0050758C" w:rsidRPr="0050758C" w:rsidRDefault="0050758C">
            <w:pPr>
              <w:jc w:val="center"/>
              <w:rPr>
                <w:rFonts w:ascii="Arial" w:hAnsi="Arial" w:cs="Arial"/>
                <w:color w:val="FFFFFF"/>
                <w:sz w:val="16"/>
                <w:szCs w:val="16"/>
              </w:rPr>
            </w:pPr>
            <w:r w:rsidRPr="0050758C">
              <w:rPr>
                <w:rFonts w:ascii="Arial" w:hAnsi="Arial" w:cs="Arial"/>
                <w:color w:val="FFFFFF"/>
                <w:sz w:val="16"/>
                <w:szCs w:val="16"/>
              </w:rPr>
              <w:t>Transféré</w:t>
            </w:r>
          </w:p>
        </w:tc>
        <w:tc>
          <w:tcPr>
            <w:tcW w:w="992" w:type="dxa"/>
            <w:tcBorders>
              <w:top w:val="nil"/>
              <w:left w:val="nil"/>
              <w:bottom w:val="single" w:sz="4" w:space="0" w:color="auto"/>
              <w:right w:val="single" w:sz="4" w:space="0" w:color="auto"/>
            </w:tcBorders>
            <w:shd w:val="clear" w:color="336699" w:fill="336699"/>
            <w:vAlign w:val="center"/>
            <w:hideMark/>
          </w:tcPr>
          <w:p w14:paraId="4ABC53EF" w14:textId="77777777" w:rsidR="0050758C" w:rsidRPr="0050758C" w:rsidRDefault="0050758C">
            <w:pPr>
              <w:jc w:val="center"/>
              <w:rPr>
                <w:rFonts w:ascii="Arial" w:hAnsi="Arial" w:cs="Arial"/>
                <w:color w:val="FFFFFF"/>
                <w:sz w:val="16"/>
                <w:szCs w:val="16"/>
              </w:rPr>
            </w:pPr>
            <w:r w:rsidRPr="0050758C">
              <w:rPr>
                <w:rFonts w:ascii="Arial" w:hAnsi="Arial" w:cs="Arial"/>
                <w:color w:val="FFFFFF"/>
                <w:sz w:val="16"/>
                <w:szCs w:val="16"/>
              </w:rPr>
              <w:t>An 1 (2025)</w:t>
            </w:r>
          </w:p>
        </w:tc>
        <w:tc>
          <w:tcPr>
            <w:tcW w:w="1001" w:type="dxa"/>
            <w:tcBorders>
              <w:top w:val="nil"/>
              <w:left w:val="nil"/>
              <w:bottom w:val="single" w:sz="4" w:space="0" w:color="auto"/>
              <w:right w:val="single" w:sz="4" w:space="0" w:color="auto"/>
            </w:tcBorders>
            <w:shd w:val="clear" w:color="336699" w:fill="336699"/>
            <w:vAlign w:val="center"/>
            <w:hideMark/>
          </w:tcPr>
          <w:p w14:paraId="35ECD410" w14:textId="77777777" w:rsidR="0050758C" w:rsidRPr="0050758C" w:rsidRDefault="0050758C">
            <w:pPr>
              <w:jc w:val="center"/>
              <w:rPr>
                <w:rFonts w:ascii="Calibri" w:hAnsi="Calibri" w:cs="Calibri"/>
                <w:color w:val="FFFFFF"/>
                <w:sz w:val="16"/>
                <w:szCs w:val="16"/>
              </w:rPr>
            </w:pPr>
            <w:r w:rsidRPr="0050758C">
              <w:rPr>
                <w:rFonts w:ascii="Calibri" w:hAnsi="Calibri" w:cs="Calibri"/>
                <w:color w:val="FFFFFF"/>
                <w:sz w:val="16"/>
                <w:szCs w:val="16"/>
              </w:rPr>
              <w:t>Total</w:t>
            </w:r>
          </w:p>
        </w:tc>
        <w:tc>
          <w:tcPr>
            <w:tcW w:w="709" w:type="dxa"/>
            <w:tcBorders>
              <w:top w:val="nil"/>
              <w:left w:val="nil"/>
              <w:bottom w:val="single" w:sz="4" w:space="0" w:color="auto"/>
              <w:right w:val="single" w:sz="4" w:space="0" w:color="auto"/>
            </w:tcBorders>
            <w:shd w:val="clear" w:color="336699" w:fill="336699"/>
            <w:vAlign w:val="center"/>
            <w:hideMark/>
          </w:tcPr>
          <w:p w14:paraId="5990344A" w14:textId="77777777" w:rsidR="0050758C" w:rsidRPr="0050758C" w:rsidRDefault="0050758C">
            <w:pPr>
              <w:jc w:val="center"/>
              <w:rPr>
                <w:rFonts w:ascii="Arial" w:hAnsi="Arial" w:cs="Arial"/>
                <w:color w:val="FFFFFF"/>
                <w:sz w:val="16"/>
                <w:szCs w:val="16"/>
              </w:rPr>
            </w:pPr>
            <w:r w:rsidRPr="0050758C">
              <w:rPr>
                <w:rFonts w:ascii="Arial" w:hAnsi="Arial" w:cs="Arial"/>
                <w:color w:val="FFFFFF"/>
                <w:sz w:val="16"/>
                <w:szCs w:val="16"/>
              </w:rPr>
              <w:t>Ecart</w:t>
            </w:r>
          </w:p>
        </w:tc>
        <w:tc>
          <w:tcPr>
            <w:tcW w:w="855" w:type="dxa"/>
            <w:tcBorders>
              <w:top w:val="nil"/>
              <w:left w:val="nil"/>
              <w:bottom w:val="single" w:sz="4" w:space="0" w:color="auto"/>
              <w:right w:val="single" w:sz="4" w:space="0" w:color="auto"/>
            </w:tcBorders>
            <w:shd w:val="clear" w:color="336699" w:fill="336699"/>
            <w:vAlign w:val="center"/>
            <w:hideMark/>
          </w:tcPr>
          <w:p w14:paraId="0C32E9DB" w14:textId="77777777" w:rsidR="0050758C" w:rsidRPr="0050758C" w:rsidRDefault="0050758C">
            <w:pPr>
              <w:jc w:val="center"/>
              <w:rPr>
                <w:rFonts w:ascii="Arial" w:hAnsi="Arial" w:cs="Arial"/>
                <w:color w:val="FFFFFF"/>
                <w:sz w:val="16"/>
                <w:szCs w:val="16"/>
              </w:rPr>
            </w:pPr>
            <w:r w:rsidRPr="0050758C">
              <w:rPr>
                <w:rFonts w:ascii="Arial" w:hAnsi="Arial" w:cs="Arial"/>
                <w:color w:val="FFFFFF"/>
                <w:sz w:val="16"/>
                <w:szCs w:val="16"/>
              </w:rPr>
              <w:t>%</w:t>
            </w:r>
          </w:p>
        </w:tc>
      </w:tr>
      <w:tr w:rsidR="0050758C" w:rsidRPr="0050758C" w14:paraId="6BE74464"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8EAADB" w:fill="8EAADB"/>
            <w:noWrap/>
            <w:vAlign w:val="center"/>
            <w:hideMark/>
          </w:tcPr>
          <w:p w14:paraId="3D61CC4C" w14:textId="77777777" w:rsidR="0050758C" w:rsidRPr="0050758C" w:rsidRDefault="0050758C">
            <w:pPr>
              <w:rPr>
                <w:rFonts w:ascii="Calibri" w:hAnsi="Calibri" w:cs="Calibri"/>
                <w:color w:val="1E4E79"/>
                <w:sz w:val="16"/>
                <w:szCs w:val="16"/>
              </w:rPr>
            </w:pPr>
            <w:r w:rsidRPr="0050758C">
              <w:rPr>
                <w:rFonts w:ascii="Calibri" w:hAnsi="Calibri" w:cs="Calibri"/>
                <w:color w:val="1E4E79"/>
                <w:sz w:val="16"/>
                <w:szCs w:val="16"/>
              </w:rPr>
              <w:t>Effet 1: Les décisions en matière d’aménagement du territoire assurent une représentation équilibrée des intérêts sectoriels et maintiennent les forêts debout, et une meilleure sécurité foncière n’encourage pas la conversion par les individus ou les communautés.</w:t>
            </w:r>
          </w:p>
        </w:tc>
      </w:tr>
      <w:tr w:rsidR="0050758C" w:rsidRPr="0050758C" w14:paraId="4C0673F7"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2237A6C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1 : Aménagement du territoire</w:t>
            </w:r>
          </w:p>
        </w:tc>
      </w:tr>
      <w:tr w:rsidR="0050758C" w:rsidRPr="0050758C" w14:paraId="05D87CC6"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2E9BA9B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xml:space="preserve">Produit 1.1 (Jalon g) : Loi AT promulguée ; Conseil National AT (CNAT) est mis en place et opérationnel ; Conseils Provinciaux et locaux AT (CPAT et CLAT) mis en place dans au moins deux Provinces-pilotes et dans tous les autres PIREDD. </w:t>
            </w:r>
          </w:p>
        </w:tc>
        <w:tc>
          <w:tcPr>
            <w:tcW w:w="710" w:type="dxa"/>
            <w:tcBorders>
              <w:top w:val="nil"/>
              <w:left w:val="nil"/>
              <w:bottom w:val="single" w:sz="4" w:space="0" w:color="auto"/>
              <w:right w:val="single" w:sz="4" w:space="0" w:color="auto"/>
            </w:tcBorders>
            <w:shd w:val="clear" w:color="000000" w:fill="FFFFFF"/>
            <w:vAlign w:val="center"/>
            <w:hideMark/>
          </w:tcPr>
          <w:p w14:paraId="24CB9DC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327117F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AT/FONAT</w:t>
            </w:r>
          </w:p>
        </w:tc>
        <w:tc>
          <w:tcPr>
            <w:tcW w:w="1134" w:type="dxa"/>
            <w:tcBorders>
              <w:top w:val="nil"/>
              <w:left w:val="nil"/>
              <w:bottom w:val="single" w:sz="4" w:space="0" w:color="auto"/>
              <w:right w:val="single" w:sz="4" w:space="0" w:color="auto"/>
            </w:tcBorders>
            <w:noWrap/>
            <w:vAlign w:val="center"/>
            <w:hideMark/>
          </w:tcPr>
          <w:p w14:paraId="37B1207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66 000,00</w:t>
            </w:r>
          </w:p>
        </w:tc>
        <w:tc>
          <w:tcPr>
            <w:tcW w:w="992" w:type="dxa"/>
            <w:tcBorders>
              <w:top w:val="nil"/>
              <w:left w:val="nil"/>
              <w:bottom w:val="single" w:sz="4" w:space="0" w:color="auto"/>
              <w:right w:val="single" w:sz="4" w:space="0" w:color="auto"/>
            </w:tcBorders>
            <w:shd w:val="clear" w:color="000000" w:fill="FFFFFF"/>
            <w:noWrap/>
            <w:vAlign w:val="center"/>
            <w:hideMark/>
          </w:tcPr>
          <w:p w14:paraId="2136745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30 000,00</w:t>
            </w:r>
          </w:p>
        </w:tc>
        <w:tc>
          <w:tcPr>
            <w:tcW w:w="992" w:type="dxa"/>
            <w:tcBorders>
              <w:top w:val="nil"/>
              <w:left w:val="nil"/>
              <w:bottom w:val="single" w:sz="4" w:space="0" w:color="auto"/>
              <w:right w:val="single" w:sz="4" w:space="0" w:color="auto"/>
            </w:tcBorders>
            <w:noWrap/>
            <w:vAlign w:val="center"/>
            <w:hideMark/>
          </w:tcPr>
          <w:p w14:paraId="411A90B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17 500,00</w:t>
            </w:r>
          </w:p>
        </w:tc>
        <w:tc>
          <w:tcPr>
            <w:tcW w:w="1001" w:type="dxa"/>
            <w:tcBorders>
              <w:top w:val="nil"/>
              <w:left w:val="nil"/>
              <w:bottom w:val="single" w:sz="4" w:space="0" w:color="auto"/>
              <w:right w:val="single" w:sz="4" w:space="0" w:color="auto"/>
            </w:tcBorders>
            <w:noWrap/>
            <w:vAlign w:val="center"/>
            <w:hideMark/>
          </w:tcPr>
          <w:p w14:paraId="332E852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17 500,00</w:t>
            </w:r>
          </w:p>
        </w:tc>
        <w:tc>
          <w:tcPr>
            <w:tcW w:w="709" w:type="dxa"/>
            <w:tcBorders>
              <w:top w:val="nil"/>
              <w:left w:val="nil"/>
              <w:bottom w:val="single" w:sz="4" w:space="0" w:color="auto"/>
              <w:right w:val="single" w:sz="4" w:space="0" w:color="auto"/>
            </w:tcBorders>
            <w:noWrap/>
            <w:vAlign w:val="center"/>
            <w:hideMark/>
          </w:tcPr>
          <w:p w14:paraId="1AB7571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12 500,00</w:t>
            </w:r>
          </w:p>
        </w:tc>
        <w:tc>
          <w:tcPr>
            <w:tcW w:w="855" w:type="dxa"/>
            <w:tcBorders>
              <w:top w:val="nil"/>
              <w:left w:val="nil"/>
              <w:bottom w:val="single" w:sz="4" w:space="0" w:color="auto"/>
              <w:right w:val="single" w:sz="4" w:space="0" w:color="auto"/>
            </w:tcBorders>
            <w:noWrap/>
            <w:vAlign w:val="center"/>
            <w:hideMark/>
          </w:tcPr>
          <w:p w14:paraId="0694644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58,33</w:t>
            </w:r>
          </w:p>
        </w:tc>
      </w:tr>
      <w:tr w:rsidR="0050758C" w:rsidRPr="0050758C" w14:paraId="22732650" w14:textId="77777777" w:rsidTr="006D79E9">
        <w:trPr>
          <w:gridAfter w:val="2"/>
          <w:wAfter w:w="14" w:type="dxa"/>
          <w:trHeight w:val="9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D375E2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1.2 (Jalon h) : Annuaire de ressources naturelles du sol et sous-sol, en termes inventaires des ressources naturelles, renouvelables et non renouvelables, est réalisé d’ici fin 2023 et permet d’élaborer une ébauche préliminaire de l’Atlas d’Aménagement du territoire rassemblant la représentation cartographique des données de l’Annuaire ainsi que les affectations sectorielles existantes et celles projetées.</w:t>
            </w:r>
          </w:p>
        </w:tc>
        <w:tc>
          <w:tcPr>
            <w:tcW w:w="710" w:type="dxa"/>
            <w:tcBorders>
              <w:top w:val="nil"/>
              <w:left w:val="nil"/>
              <w:bottom w:val="single" w:sz="4" w:space="0" w:color="auto"/>
              <w:right w:val="single" w:sz="4" w:space="0" w:color="auto"/>
            </w:tcBorders>
            <w:shd w:val="clear" w:color="000000" w:fill="FFFFFF"/>
            <w:vAlign w:val="center"/>
            <w:hideMark/>
          </w:tcPr>
          <w:p w14:paraId="30237D5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5C8C72E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AT/FONAT</w:t>
            </w:r>
          </w:p>
        </w:tc>
        <w:tc>
          <w:tcPr>
            <w:tcW w:w="1134" w:type="dxa"/>
            <w:tcBorders>
              <w:top w:val="nil"/>
              <w:left w:val="nil"/>
              <w:bottom w:val="single" w:sz="4" w:space="0" w:color="auto"/>
              <w:right w:val="single" w:sz="4" w:space="0" w:color="auto"/>
            </w:tcBorders>
            <w:noWrap/>
            <w:vAlign w:val="center"/>
            <w:hideMark/>
          </w:tcPr>
          <w:p w14:paraId="132020B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81 500,00</w:t>
            </w:r>
          </w:p>
        </w:tc>
        <w:tc>
          <w:tcPr>
            <w:tcW w:w="992" w:type="dxa"/>
            <w:tcBorders>
              <w:top w:val="nil"/>
              <w:left w:val="nil"/>
              <w:bottom w:val="single" w:sz="4" w:space="0" w:color="auto"/>
              <w:right w:val="single" w:sz="4" w:space="0" w:color="auto"/>
            </w:tcBorders>
            <w:shd w:val="clear" w:color="000000" w:fill="FFFFFF"/>
            <w:noWrap/>
            <w:vAlign w:val="center"/>
            <w:hideMark/>
          </w:tcPr>
          <w:p w14:paraId="5294EE4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40 750,00</w:t>
            </w:r>
          </w:p>
        </w:tc>
        <w:tc>
          <w:tcPr>
            <w:tcW w:w="992" w:type="dxa"/>
            <w:tcBorders>
              <w:top w:val="nil"/>
              <w:left w:val="nil"/>
              <w:bottom w:val="single" w:sz="4" w:space="0" w:color="auto"/>
              <w:right w:val="single" w:sz="4" w:space="0" w:color="auto"/>
            </w:tcBorders>
            <w:noWrap/>
            <w:vAlign w:val="center"/>
            <w:hideMark/>
          </w:tcPr>
          <w:p w14:paraId="368681D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21 750,00</w:t>
            </w:r>
          </w:p>
        </w:tc>
        <w:tc>
          <w:tcPr>
            <w:tcW w:w="1001" w:type="dxa"/>
            <w:tcBorders>
              <w:top w:val="nil"/>
              <w:left w:val="nil"/>
              <w:bottom w:val="single" w:sz="4" w:space="0" w:color="auto"/>
              <w:right w:val="single" w:sz="4" w:space="0" w:color="auto"/>
            </w:tcBorders>
            <w:noWrap/>
            <w:vAlign w:val="center"/>
            <w:hideMark/>
          </w:tcPr>
          <w:p w14:paraId="61302A1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21 750,00</w:t>
            </w:r>
          </w:p>
        </w:tc>
        <w:tc>
          <w:tcPr>
            <w:tcW w:w="709" w:type="dxa"/>
            <w:tcBorders>
              <w:top w:val="nil"/>
              <w:left w:val="nil"/>
              <w:bottom w:val="single" w:sz="4" w:space="0" w:color="auto"/>
              <w:right w:val="single" w:sz="4" w:space="0" w:color="auto"/>
            </w:tcBorders>
            <w:noWrap/>
            <w:vAlign w:val="center"/>
            <w:hideMark/>
          </w:tcPr>
          <w:p w14:paraId="0FCA858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19 000,00</w:t>
            </w:r>
          </w:p>
        </w:tc>
        <w:tc>
          <w:tcPr>
            <w:tcW w:w="855" w:type="dxa"/>
            <w:tcBorders>
              <w:top w:val="nil"/>
              <w:left w:val="nil"/>
              <w:bottom w:val="single" w:sz="4" w:space="0" w:color="auto"/>
              <w:right w:val="single" w:sz="4" w:space="0" w:color="auto"/>
            </w:tcBorders>
            <w:noWrap/>
            <w:vAlign w:val="center"/>
            <w:hideMark/>
          </w:tcPr>
          <w:p w14:paraId="67722E9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53,37</w:t>
            </w:r>
          </w:p>
        </w:tc>
      </w:tr>
      <w:tr w:rsidR="0050758C" w:rsidRPr="0050758C" w14:paraId="338C98C6" w14:textId="77777777" w:rsidTr="006D79E9">
        <w:trPr>
          <w:gridAfter w:val="2"/>
          <w:wAfter w:w="14" w:type="dxa"/>
          <w:trHeight w:val="9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3691866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1.3 (Jalon i) : Dans le cadre des conflits d’affectation des terres existants, un processus d’arbitrage est impulsé, conformément à la loi, par l’Autorité compétente concernée (Premier Ministre, Gouverneur de Province, Autorité locale) sur base des directives proposées par le Conseil d’Aménagement du Territoire de l’échelon concerné (national, provincial ou local) pour au moins (2-5) conflits d’affectation dans les aires protégées prioritaires.</w:t>
            </w:r>
          </w:p>
        </w:tc>
        <w:tc>
          <w:tcPr>
            <w:tcW w:w="710" w:type="dxa"/>
            <w:tcBorders>
              <w:top w:val="nil"/>
              <w:left w:val="nil"/>
              <w:bottom w:val="single" w:sz="4" w:space="0" w:color="auto"/>
              <w:right w:val="single" w:sz="4" w:space="0" w:color="auto"/>
            </w:tcBorders>
            <w:shd w:val="clear" w:color="000000" w:fill="FFFFFF"/>
            <w:vAlign w:val="center"/>
            <w:hideMark/>
          </w:tcPr>
          <w:p w14:paraId="07DE183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6E5437B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AT/FONAT</w:t>
            </w:r>
          </w:p>
        </w:tc>
        <w:tc>
          <w:tcPr>
            <w:tcW w:w="1134" w:type="dxa"/>
            <w:tcBorders>
              <w:top w:val="nil"/>
              <w:left w:val="nil"/>
              <w:bottom w:val="single" w:sz="4" w:space="0" w:color="auto"/>
              <w:right w:val="single" w:sz="4" w:space="0" w:color="auto"/>
            </w:tcBorders>
            <w:noWrap/>
            <w:vAlign w:val="center"/>
            <w:hideMark/>
          </w:tcPr>
          <w:p w14:paraId="2FEB699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216 378,08</w:t>
            </w:r>
          </w:p>
        </w:tc>
        <w:tc>
          <w:tcPr>
            <w:tcW w:w="992" w:type="dxa"/>
            <w:tcBorders>
              <w:top w:val="nil"/>
              <w:left w:val="nil"/>
              <w:bottom w:val="single" w:sz="4" w:space="0" w:color="auto"/>
              <w:right w:val="single" w:sz="4" w:space="0" w:color="auto"/>
            </w:tcBorders>
            <w:shd w:val="clear" w:color="000000" w:fill="FFFFFF"/>
            <w:vAlign w:val="center"/>
            <w:hideMark/>
          </w:tcPr>
          <w:p w14:paraId="753E792E"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78 189,04</w:t>
            </w:r>
          </w:p>
        </w:tc>
        <w:tc>
          <w:tcPr>
            <w:tcW w:w="992" w:type="dxa"/>
            <w:tcBorders>
              <w:top w:val="nil"/>
              <w:left w:val="nil"/>
              <w:bottom w:val="single" w:sz="4" w:space="0" w:color="auto"/>
              <w:right w:val="single" w:sz="4" w:space="0" w:color="auto"/>
            </w:tcBorders>
            <w:noWrap/>
            <w:vAlign w:val="center"/>
            <w:hideMark/>
          </w:tcPr>
          <w:p w14:paraId="78BBC3C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21 310,00</w:t>
            </w:r>
          </w:p>
        </w:tc>
        <w:tc>
          <w:tcPr>
            <w:tcW w:w="1001" w:type="dxa"/>
            <w:tcBorders>
              <w:top w:val="nil"/>
              <w:left w:val="nil"/>
              <w:bottom w:val="single" w:sz="4" w:space="0" w:color="auto"/>
              <w:right w:val="single" w:sz="4" w:space="0" w:color="auto"/>
            </w:tcBorders>
            <w:noWrap/>
            <w:vAlign w:val="center"/>
            <w:hideMark/>
          </w:tcPr>
          <w:p w14:paraId="5653BDD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21 310,00</w:t>
            </w:r>
          </w:p>
        </w:tc>
        <w:tc>
          <w:tcPr>
            <w:tcW w:w="709" w:type="dxa"/>
            <w:tcBorders>
              <w:top w:val="nil"/>
              <w:left w:val="nil"/>
              <w:bottom w:val="single" w:sz="4" w:space="0" w:color="auto"/>
              <w:right w:val="single" w:sz="4" w:space="0" w:color="auto"/>
            </w:tcBorders>
            <w:noWrap/>
            <w:vAlign w:val="center"/>
            <w:hideMark/>
          </w:tcPr>
          <w:p w14:paraId="65A661E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56 879,04</w:t>
            </w:r>
          </w:p>
        </w:tc>
        <w:tc>
          <w:tcPr>
            <w:tcW w:w="855" w:type="dxa"/>
            <w:tcBorders>
              <w:top w:val="nil"/>
              <w:left w:val="nil"/>
              <w:bottom w:val="single" w:sz="4" w:space="0" w:color="auto"/>
              <w:right w:val="single" w:sz="4" w:space="0" w:color="auto"/>
            </w:tcBorders>
            <w:noWrap/>
            <w:vAlign w:val="center"/>
            <w:hideMark/>
          </w:tcPr>
          <w:p w14:paraId="3B07C13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27,25</w:t>
            </w:r>
          </w:p>
        </w:tc>
      </w:tr>
      <w:tr w:rsidR="0050758C" w:rsidRPr="0050758C" w14:paraId="1619DC75"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33CDC17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1.4 (Jalon j) : Tous les contrats d'affectation des terres (agriculture, forêts, mines et hydrocarbures) sont centralisés et publiés de manière transparente et mis à jour au minimum une fois par an sur une plateforme internet accessible à tous en collaboration avec les ministères sectoriels concernés</w:t>
            </w:r>
          </w:p>
        </w:tc>
        <w:tc>
          <w:tcPr>
            <w:tcW w:w="710" w:type="dxa"/>
            <w:tcBorders>
              <w:top w:val="nil"/>
              <w:left w:val="nil"/>
              <w:bottom w:val="single" w:sz="4" w:space="0" w:color="auto"/>
              <w:right w:val="single" w:sz="4" w:space="0" w:color="auto"/>
            </w:tcBorders>
            <w:shd w:val="clear" w:color="000000" w:fill="FFFFFF"/>
            <w:vAlign w:val="center"/>
            <w:hideMark/>
          </w:tcPr>
          <w:p w14:paraId="7782D9E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71EE4230"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AT/FONAT</w:t>
            </w:r>
          </w:p>
        </w:tc>
        <w:tc>
          <w:tcPr>
            <w:tcW w:w="1134" w:type="dxa"/>
            <w:tcBorders>
              <w:top w:val="nil"/>
              <w:left w:val="nil"/>
              <w:bottom w:val="single" w:sz="4" w:space="0" w:color="auto"/>
              <w:right w:val="single" w:sz="4" w:space="0" w:color="auto"/>
            </w:tcBorders>
            <w:noWrap/>
            <w:vAlign w:val="center"/>
            <w:hideMark/>
          </w:tcPr>
          <w:p w14:paraId="5C6E328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40 000,00</w:t>
            </w:r>
          </w:p>
        </w:tc>
        <w:tc>
          <w:tcPr>
            <w:tcW w:w="992" w:type="dxa"/>
            <w:tcBorders>
              <w:top w:val="nil"/>
              <w:left w:val="nil"/>
              <w:bottom w:val="single" w:sz="4" w:space="0" w:color="auto"/>
              <w:right w:val="single" w:sz="4" w:space="0" w:color="auto"/>
            </w:tcBorders>
            <w:shd w:val="clear" w:color="000000" w:fill="FFFFFF"/>
            <w:vAlign w:val="center"/>
            <w:hideMark/>
          </w:tcPr>
          <w:p w14:paraId="0A95786E"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18 500,00</w:t>
            </w:r>
          </w:p>
        </w:tc>
        <w:tc>
          <w:tcPr>
            <w:tcW w:w="992" w:type="dxa"/>
            <w:tcBorders>
              <w:top w:val="nil"/>
              <w:left w:val="nil"/>
              <w:bottom w:val="single" w:sz="4" w:space="0" w:color="auto"/>
              <w:right w:val="single" w:sz="4" w:space="0" w:color="auto"/>
            </w:tcBorders>
            <w:noWrap/>
            <w:vAlign w:val="center"/>
            <w:hideMark/>
          </w:tcPr>
          <w:p w14:paraId="2339D27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26 000,00</w:t>
            </w:r>
          </w:p>
        </w:tc>
        <w:tc>
          <w:tcPr>
            <w:tcW w:w="1001" w:type="dxa"/>
            <w:tcBorders>
              <w:top w:val="nil"/>
              <w:left w:val="nil"/>
              <w:bottom w:val="single" w:sz="4" w:space="0" w:color="auto"/>
              <w:right w:val="single" w:sz="4" w:space="0" w:color="auto"/>
            </w:tcBorders>
            <w:noWrap/>
            <w:vAlign w:val="center"/>
            <w:hideMark/>
          </w:tcPr>
          <w:p w14:paraId="7C4B725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26 000,00</w:t>
            </w:r>
          </w:p>
        </w:tc>
        <w:tc>
          <w:tcPr>
            <w:tcW w:w="709" w:type="dxa"/>
            <w:tcBorders>
              <w:top w:val="nil"/>
              <w:left w:val="nil"/>
              <w:bottom w:val="single" w:sz="4" w:space="0" w:color="auto"/>
              <w:right w:val="single" w:sz="4" w:space="0" w:color="auto"/>
            </w:tcBorders>
            <w:noWrap/>
            <w:vAlign w:val="center"/>
            <w:hideMark/>
          </w:tcPr>
          <w:p w14:paraId="756EA1B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-7 500,00</w:t>
            </w:r>
          </w:p>
        </w:tc>
        <w:tc>
          <w:tcPr>
            <w:tcW w:w="855" w:type="dxa"/>
            <w:tcBorders>
              <w:top w:val="nil"/>
              <w:left w:val="nil"/>
              <w:bottom w:val="single" w:sz="4" w:space="0" w:color="auto"/>
              <w:right w:val="single" w:sz="4" w:space="0" w:color="auto"/>
            </w:tcBorders>
            <w:noWrap/>
            <w:vAlign w:val="center"/>
            <w:hideMark/>
          </w:tcPr>
          <w:p w14:paraId="303FAE9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140,54</w:t>
            </w:r>
          </w:p>
        </w:tc>
      </w:tr>
      <w:tr w:rsidR="0050758C" w:rsidRPr="0050758C" w14:paraId="2FC8725B" w14:textId="77777777" w:rsidTr="006D79E9">
        <w:trPr>
          <w:gridAfter w:val="2"/>
          <w:wAfter w:w="14" w:type="dxa"/>
          <w:trHeight w:val="9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92B22C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1.5 (Objectif d) : Finaliser de manière participative et inclusive le Schéma national d’aménagement du territoire et les plans d’aménagement du territoire aux niveaux provincial et local dans les zones clés, et s’assurer que ces outils soient prêts à être mis en œuvre d’ici 2025 et qu’ils intègrent les forêts de grande valeur et les tourbières, préalablement identifiées, en vue de leur préservation.</w:t>
            </w:r>
          </w:p>
        </w:tc>
        <w:tc>
          <w:tcPr>
            <w:tcW w:w="710" w:type="dxa"/>
            <w:tcBorders>
              <w:top w:val="nil"/>
              <w:left w:val="nil"/>
              <w:bottom w:val="single" w:sz="4" w:space="0" w:color="auto"/>
              <w:right w:val="single" w:sz="4" w:space="0" w:color="auto"/>
            </w:tcBorders>
            <w:shd w:val="clear" w:color="000000" w:fill="FFFFFF"/>
            <w:vAlign w:val="center"/>
            <w:hideMark/>
          </w:tcPr>
          <w:p w14:paraId="06E342C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5785B59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AT/FONAT</w:t>
            </w:r>
          </w:p>
        </w:tc>
        <w:tc>
          <w:tcPr>
            <w:tcW w:w="1134" w:type="dxa"/>
            <w:tcBorders>
              <w:top w:val="nil"/>
              <w:left w:val="nil"/>
              <w:bottom w:val="single" w:sz="4" w:space="0" w:color="auto"/>
              <w:right w:val="single" w:sz="4" w:space="0" w:color="auto"/>
            </w:tcBorders>
            <w:noWrap/>
            <w:vAlign w:val="center"/>
            <w:hideMark/>
          </w:tcPr>
          <w:p w14:paraId="3F935D6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196 700,00</w:t>
            </w:r>
          </w:p>
        </w:tc>
        <w:tc>
          <w:tcPr>
            <w:tcW w:w="992" w:type="dxa"/>
            <w:tcBorders>
              <w:top w:val="nil"/>
              <w:left w:val="nil"/>
              <w:bottom w:val="single" w:sz="4" w:space="0" w:color="auto"/>
              <w:right w:val="single" w:sz="4" w:space="0" w:color="auto"/>
            </w:tcBorders>
            <w:shd w:val="clear" w:color="000000" w:fill="FFFFFF"/>
            <w:vAlign w:val="center"/>
            <w:hideMark/>
          </w:tcPr>
          <w:p w14:paraId="13724D0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64 350,00</w:t>
            </w:r>
          </w:p>
        </w:tc>
        <w:tc>
          <w:tcPr>
            <w:tcW w:w="992" w:type="dxa"/>
            <w:tcBorders>
              <w:top w:val="nil"/>
              <w:left w:val="nil"/>
              <w:bottom w:val="single" w:sz="4" w:space="0" w:color="auto"/>
              <w:right w:val="single" w:sz="4" w:space="0" w:color="auto"/>
            </w:tcBorders>
            <w:noWrap/>
            <w:vAlign w:val="center"/>
            <w:hideMark/>
          </w:tcPr>
          <w:p w14:paraId="2302940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31 150,00</w:t>
            </w:r>
          </w:p>
        </w:tc>
        <w:tc>
          <w:tcPr>
            <w:tcW w:w="1001" w:type="dxa"/>
            <w:tcBorders>
              <w:top w:val="nil"/>
              <w:left w:val="nil"/>
              <w:bottom w:val="single" w:sz="4" w:space="0" w:color="auto"/>
              <w:right w:val="single" w:sz="4" w:space="0" w:color="auto"/>
            </w:tcBorders>
            <w:noWrap/>
            <w:vAlign w:val="center"/>
            <w:hideMark/>
          </w:tcPr>
          <w:p w14:paraId="34F5EC7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31 150,00</w:t>
            </w:r>
          </w:p>
        </w:tc>
        <w:tc>
          <w:tcPr>
            <w:tcW w:w="709" w:type="dxa"/>
            <w:tcBorders>
              <w:top w:val="nil"/>
              <w:left w:val="nil"/>
              <w:bottom w:val="single" w:sz="4" w:space="0" w:color="auto"/>
              <w:right w:val="single" w:sz="4" w:space="0" w:color="auto"/>
            </w:tcBorders>
            <w:noWrap/>
            <w:vAlign w:val="center"/>
            <w:hideMark/>
          </w:tcPr>
          <w:p w14:paraId="597D913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33 200,00</w:t>
            </w:r>
          </w:p>
        </w:tc>
        <w:tc>
          <w:tcPr>
            <w:tcW w:w="855" w:type="dxa"/>
            <w:tcBorders>
              <w:top w:val="nil"/>
              <w:left w:val="nil"/>
              <w:bottom w:val="single" w:sz="4" w:space="0" w:color="auto"/>
              <w:right w:val="single" w:sz="4" w:space="0" w:color="auto"/>
            </w:tcBorders>
            <w:noWrap/>
            <w:vAlign w:val="center"/>
            <w:hideMark/>
          </w:tcPr>
          <w:p w14:paraId="4138816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48,41</w:t>
            </w:r>
          </w:p>
        </w:tc>
      </w:tr>
      <w:tr w:rsidR="0050758C" w:rsidRPr="0050758C" w14:paraId="20427C7F"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37D7DA2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1.6: Les capacités humaines et techniques du Ministère de l'Aménagement du Territoire dans la mise en œuvre de la réforme de l'Aménagement du Territoire sont renforcées.</w:t>
            </w:r>
          </w:p>
        </w:tc>
        <w:tc>
          <w:tcPr>
            <w:tcW w:w="710" w:type="dxa"/>
            <w:tcBorders>
              <w:top w:val="nil"/>
              <w:left w:val="nil"/>
              <w:bottom w:val="single" w:sz="4" w:space="0" w:color="auto"/>
              <w:right w:val="single" w:sz="4" w:space="0" w:color="auto"/>
            </w:tcBorders>
            <w:shd w:val="clear" w:color="000000" w:fill="FFFFFF"/>
            <w:vAlign w:val="center"/>
            <w:hideMark/>
          </w:tcPr>
          <w:p w14:paraId="6ED92D3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1CA8540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AT/FONAT</w:t>
            </w:r>
          </w:p>
        </w:tc>
        <w:tc>
          <w:tcPr>
            <w:tcW w:w="1134" w:type="dxa"/>
            <w:tcBorders>
              <w:top w:val="nil"/>
              <w:left w:val="nil"/>
              <w:bottom w:val="single" w:sz="4" w:space="0" w:color="auto"/>
              <w:right w:val="single" w:sz="4" w:space="0" w:color="auto"/>
            </w:tcBorders>
            <w:noWrap/>
            <w:vAlign w:val="center"/>
            <w:hideMark/>
          </w:tcPr>
          <w:p w14:paraId="00AD2BB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399 900,00</w:t>
            </w:r>
          </w:p>
        </w:tc>
        <w:tc>
          <w:tcPr>
            <w:tcW w:w="992" w:type="dxa"/>
            <w:tcBorders>
              <w:top w:val="nil"/>
              <w:left w:val="nil"/>
              <w:bottom w:val="single" w:sz="4" w:space="0" w:color="auto"/>
              <w:right w:val="single" w:sz="4" w:space="0" w:color="auto"/>
            </w:tcBorders>
            <w:shd w:val="clear" w:color="000000" w:fill="FFFFFF"/>
            <w:vAlign w:val="center"/>
            <w:hideMark/>
          </w:tcPr>
          <w:p w14:paraId="0E72359E"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268 450,00</w:t>
            </w:r>
          </w:p>
        </w:tc>
        <w:tc>
          <w:tcPr>
            <w:tcW w:w="992" w:type="dxa"/>
            <w:tcBorders>
              <w:top w:val="nil"/>
              <w:left w:val="nil"/>
              <w:bottom w:val="single" w:sz="4" w:space="0" w:color="auto"/>
              <w:right w:val="single" w:sz="4" w:space="0" w:color="auto"/>
            </w:tcBorders>
            <w:noWrap/>
            <w:vAlign w:val="center"/>
            <w:hideMark/>
          </w:tcPr>
          <w:p w14:paraId="4E7F9BB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154 605,00</w:t>
            </w:r>
          </w:p>
        </w:tc>
        <w:tc>
          <w:tcPr>
            <w:tcW w:w="1001" w:type="dxa"/>
            <w:tcBorders>
              <w:top w:val="nil"/>
              <w:left w:val="nil"/>
              <w:bottom w:val="single" w:sz="4" w:space="0" w:color="auto"/>
              <w:right w:val="single" w:sz="4" w:space="0" w:color="auto"/>
            </w:tcBorders>
            <w:noWrap/>
            <w:vAlign w:val="center"/>
            <w:hideMark/>
          </w:tcPr>
          <w:p w14:paraId="1086362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154 605,00</w:t>
            </w:r>
          </w:p>
        </w:tc>
        <w:tc>
          <w:tcPr>
            <w:tcW w:w="709" w:type="dxa"/>
            <w:tcBorders>
              <w:top w:val="nil"/>
              <w:left w:val="nil"/>
              <w:bottom w:val="single" w:sz="4" w:space="0" w:color="auto"/>
              <w:right w:val="single" w:sz="4" w:space="0" w:color="auto"/>
            </w:tcBorders>
            <w:noWrap/>
            <w:vAlign w:val="center"/>
            <w:hideMark/>
          </w:tcPr>
          <w:p w14:paraId="07D856D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113 845,00</w:t>
            </w:r>
          </w:p>
        </w:tc>
        <w:tc>
          <w:tcPr>
            <w:tcW w:w="855" w:type="dxa"/>
            <w:tcBorders>
              <w:top w:val="nil"/>
              <w:left w:val="nil"/>
              <w:bottom w:val="single" w:sz="4" w:space="0" w:color="auto"/>
              <w:right w:val="single" w:sz="4" w:space="0" w:color="auto"/>
            </w:tcBorders>
            <w:noWrap/>
            <w:vAlign w:val="center"/>
            <w:hideMark/>
          </w:tcPr>
          <w:p w14:paraId="1187C2A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57,59</w:t>
            </w:r>
          </w:p>
        </w:tc>
      </w:tr>
      <w:tr w:rsidR="0050758C" w:rsidRPr="0050758C" w14:paraId="7B0DA2F5"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31AEDE1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1 : AMENAGEMENT DU TERRITOIRE</w:t>
            </w:r>
          </w:p>
        </w:tc>
        <w:tc>
          <w:tcPr>
            <w:tcW w:w="710" w:type="dxa"/>
            <w:tcBorders>
              <w:top w:val="nil"/>
              <w:left w:val="nil"/>
              <w:bottom w:val="single" w:sz="4" w:space="0" w:color="auto"/>
              <w:right w:val="single" w:sz="4" w:space="0" w:color="auto"/>
            </w:tcBorders>
            <w:shd w:val="clear" w:color="000000" w:fill="C0CF3A"/>
            <w:noWrap/>
            <w:vAlign w:val="center"/>
            <w:hideMark/>
          </w:tcPr>
          <w:p w14:paraId="1C8AFCE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1B15475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1A5EC680"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1 000 478,08</w:t>
            </w:r>
          </w:p>
        </w:tc>
        <w:tc>
          <w:tcPr>
            <w:tcW w:w="992" w:type="dxa"/>
            <w:tcBorders>
              <w:top w:val="nil"/>
              <w:left w:val="nil"/>
              <w:bottom w:val="single" w:sz="4" w:space="0" w:color="auto"/>
              <w:right w:val="single" w:sz="4" w:space="0" w:color="auto"/>
            </w:tcBorders>
            <w:shd w:val="clear" w:color="000000" w:fill="C0CF3A"/>
            <w:noWrap/>
            <w:vAlign w:val="center"/>
            <w:hideMark/>
          </w:tcPr>
          <w:p w14:paraId="40F1D39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500 239,04</w:t>
            </w:r>
          </w:p>
        </w:tc>
        <w:tc>
          <w:tcPr>
            <w:tcW w:w="992" w:type="dxa"/>
            <w:tcBorders>
              <w:top w:val="nil"/>
              <w:left w:val="nil"/>
              <w:bottom w:val="single" w:sz="4" w:space="0" w:color="auto"/>
              <w:right w:val="single" w:sz="4" w:space="0" w:color="auto"/>
            </w:tcBorders>
            <w:shd w:val="clear" w:color="000000" w:fill="C0CF3A"/>
            <w:noWrap/>
            <w:vAlign w:val="center"/>
            <w:hideMark/>
          </w:tcPr>
          <w:p w14:paraId="184E754A"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272 315,00</w:t>
            </w:r>
          </w:p>
        </w:tc>
        <w:tc>
          <w:tcPr>
            <w:tcW w:w="1001" w:type="dxa"/>
            <w:tcBorders>
              <w:top w:val="nil"/>
              <w:left w:val="nil"/>
              <w:bottom w:val="single" w:sz="4" w:space="0" w:color="auto"/>
              <w:right w:val="single" w:sz="4" w:space="0" w:color="auto"/>
            </w:tcBorders>
            <w:shd w:val="clear" w:color="000000" w:fill="C0CF3A"/>
            <w:noWrap/>
            <w:vAlign w:val="center"/>
            <w:hideMark/>
          </w:tcPr>
          <w:p w14:paraId="14F644E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272 315,00</w:t>
            </w:r>
          </w:p>
        </w:tc>
        <w:tc>
          <w:tcPr>
            <w:tcW w:w="709" w:type="dxa"/>
            <w:tcBorders>
              <w:top w:val="nil"/>
              <w:left w:val="nil"/>
              <w:bottom w:val="single" w:sz="4" w:space="0" w:color="auto"/>
              <w:right w:val="single" w:sz="4" w:space="0" w:color="auto"/>
            </w:tcBorders>
            <w:shd w:val="clear" w:color="000000" w:fill="C0CF3A"/>
            <w:noWrap/>
            <w:vAlign w:val="center"/>
            <w:hideMark/>
          </w:tcPr>
          <w:p w14:paraId="46BEA53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227 924,04</w:t>
            </w:r>
          </w:p>
        </w:tc>
        <w:tc>
          <w:tcPr>
            <w:tcW w:w="855" w:type="dxa"/>
            <w:tcBorders>
              <w:top w:val="nil"/>
              <w:left w:val="nil"/>
              <w:bottom w:val="single" w:sz="4" w:space="0" w:color="auto"/>
              <w:right w:val="single" w:sz="4" w:space="0" w:color="auto"/>
            </w:tcBorders>
            <w:shd w:val="clear" w:color="000000" w:fill="C0CF3A"/>
            <w:noWrap/>
            <w:vAlign w:val="center"/>
            <w:hideMark/>
          </w:tcPr>
          <w:p w14:paraId="1AD51184"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54,44</w:t>
            </w:r>
          </w:p>
        </w:tc>
      </w:tr>
      <w:tr w:rsidR="0050758C" w:rsidRPr="0050758C" w14:paraId="66E4CF4C"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D9E2F3" w:fill="8EAADB"/>
            <w:noWrap/>
            <w:vAlign w:val="center"/>
            <w:hideMark/>
          </w:tcPr>
          <w:p w14:paraId="55317F13" w14:textId="77777777" w:rsidR="0050758C" w:rsidRPr="0050758C" w:rsidRDefault="0050758C">
            <w:pPr>
              <w:rPr>
                <w:rFonts w:ascii="Calibri" w:hAnsi="Calibri" w:cs="Calibri"/>
                <w:color w:val="1F3864"/>
                <w:sz w:val="16"/>
                <w:szCs w:val="16"/>
              </w:rPr>
            </w:pPr>
            <w:r w:rsidRPr="0050758C">
              <w:rPr>
                <w:rFonts w:ascii="Calibri" w:hAnsi="Calibri" w:cs="Calibri"/>
                <w:color w:val="1F3864"/>
                <w:sz w:val="16"/>
                <w:szCs w:val="16"/>
              </w:rPr>
              <w:t>Effet 2: La politique de Développement agricole durable est mise en pratique (dont préservation des forêts HV et tourbières)</w:t>
            </w:r>
          </w:p>
        </w:tc>
      </w:tr>
      <w:tr w:rsidR="0050758C" w:rsidRPr="0050758C" w14:paraId="34681275"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72F176D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2 : AGRICULTURE</w:t>
            </w:r>
          </w:p>
        </w:tc>
      </w:tr>
      <w:tr w:rsidR="0050758C" w:rsidRPr="0050758C" w14:paraId="6C14796A"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1798E6F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2.1 :  La Politique agricole est adoptée [en Conseil des Ministres] d’ici [fin 2022], intégrant les principes d’Aménagement du Territoire et la préservation des forêts et des tourbières (cf. Pilier Forêt), et faisant la promotion du développement de l’agriculture commerciale durable dans les zones savanicoles.</w:t>
            </w:r>
          </w:p>
        </w:tc>
        <w:tc>
          <w:tcPr>
            <w:tcW w:w="710" w:type="dxa"/>
            <w:tcBorders>
              <w:top w:val="nil"/>
              <w:left w:val="nil"/>
              <w:bottom w:val="single" w:sz="4" w:space="0" w:color="auto"/>
              <w:right w:val="single" w:sz="4" w:space="0" w:color="auto"/>
            </w:tcBorders>
            <w:shd w:val="clear" w:color="000000" w:fill="FFFFFF"/>
            <w:vAlign w:val="center"/>
            <w:hideMark/>
          </w:tcPr>
          <w:p w14:paraId="5FE0C6F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4D3D4DD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43E00AB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160 700,00</w:t>
            </w:r>
          </w:p>
        </w:tc>
        <w:tc>
          <w:tcPr>
            <w:tcW w:w="992" w:type="dxa"/>
            <w:tcBorders>
              <w:top w:val="nil"/>
              <w:left w:val="nil"/>
              <w:bottom w:val="single" w:sz="4" w:space="0" w:color="auto"/>
              <w:right w:val="single" w:sz="4" w:space="0" w:color="auto"/>
            </w:tcBorders>
            <w:shd w:val="clear" w:color="000000" w:fill="FFFFFF"/>
            <w:vAlign w:val="center"/>
            <w:hideMark/>
          </w:tcPr>
          <w:p w14:paraId="050817FA"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80 350,00</w:t>
            </w:r>
          </w:p>
        </w:tc>
        <w:tc>
          <w:tcPr>
            <w:tcW w:w="992" w:type="dxa"/>
            <w:tcBorders>
              <w:top w:val="nil"/>
              <w:left w:val="nil"/>
              <w:bottom w:val="single" w:sz="4" w:space="0" w:color="auto"/>
              <w:right w:val="single" w:sz="4" w:space="0" w:color="auto"/>
            </w:tcBorders>
            <w:noWrap/>
            <w:vAlign w:val="center"/>
            <w:hideMark/>
          </w:tcPr>
          <w:p w14:paraId="228C913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78 850,00</w:t>
            </w:r>
          </w:p>
        </w:tc>
        <w:tc>
          <w:tcPr>
            <w:tcW w:w="1001" w:type="dxa"/>
            <w:tcBorders>
              <w:top w:val="nil"/>
              <w:left w:val="nil"/>
              <w:bottom w:val="single" w:sz="4" w:space="0" w:color="auto"/>
              <w:right w:val="single" w:sz="4" w:space="0" w:color="auto"/>
            </w:tcBorders>
            <w:noWrap/>
            <w:vAlign w:val="center"/>
            <w:hideMark/>
          </w:tcPr>
          <w:p w14:paraId="05AB91B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78 850,00</w:t>
            </w:r>
          </w:p>
        </w:tc>
        <w:tc>
          <w:tcPr>
            <w:tcW w:w="709" w:type="dxa"/>
            <w:tcBorders>
              <w:top w:val="nil"/>
              <w:left w:val="nil"/>
              <w:bottom w:val="single" w:sz="4" w:space="0" w:color="auto"/>
              <w:right w:val="single" w:sz="4" w:space="0" w:color="auto"/>
            </w:tcBorders>
            <w:noWrap/>
            <w:vAlign w:val="center"/>
            <w:hideMark/>
          </w:tcPr>
          <w:p w14:paraId="2202162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1 500,00</w:t>
            </w:r>
          </w:p>
        </w:tc>
        <w:tc>
          <w:tcPr>
            <w:tcW w:w="855" w:type="dxa"/>
            <w:tcBorders>
              <w:top w:val="nil"/>
              <w:left w:val="nil"/>
              <w:bottom w:val="single" w:sz="4" w:space="0" w:color="auto"/>
              <w:right w:val="single" w:sz="4" w:space="0" w:color="auto"/>
            </w:tcBorders>
            <w:noWrap/>
            <w:vAlign w:val="center"/>
            <w:hideMark/>
          </w:tcPr>
          <w:p w14:paraId="4519065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98,13</w:t>
            </w:r>
          </w:p>
        </w:tc>
      </w:tr>
      <w:tr w:rsidR="0050758C" w:rsidRPr="0050758C" w14:paraId="39515FEA"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6882BA7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2.2 :  Les contrats de concessions agricoles sont publiés au moins annuellement sur le site web du Ministère sectoriel, accessible au public. (Pilote des concessions et de leur gestion).</w:t>
            </w:r>
          </w:p>
        </w:tc>
        <w:tc>
          <w:tcPr>
            <w:tcW w:w="710" w:type="dxa"/>
            <w:tcBorders>
              <w:top w:val="nil"/>
              <w:left w:val="nil"/>
              <w:bottom w:val="single" w:sz="4" w:space="0" w:color="auto"/>
              <w:right w:val="single" w:sz="4" w:space="0" w:color="auto"/>
            </w:tcBorders>
            <w:shd w:val="clear" w:color="000000" w:fill="FFFFFF"/>
            <w:vAlign w:val="center"/>
            <w:hideMark/>
          </w:tcPr>
          <w:p w14:paraId="7A39254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7D58D74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5447DCF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215 500,00</w:t>
            </w:r>
          </w:p>
        </w:tc>
        <w:tc>
          <w:tcPr>
            <w:tcW w:w="992" w:type="dxa"/>
            <w:tcBorders>
              <w:top w:val="nil"/>
              <w:left w:val="nil"/>
              <w:bottom w:val="single" w:sz="4" w:space="0" w:color="auto"/>
              <w:right w:val="single" w:sz="4" w:space="0" w:color="auto"/>
            </w:tcBorders>
            <w:shd w:val="clear" w:color="000000" w:fill="FFFFFF"/>
            <w:vAlign w:val="center"/>
            <w:hideMark/>
          </w:tcPr>
          <w:p w14:paraId="63F4DAA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101 750,00</w:t>
            </w:r>
          </w:p>
        </w:tc>
        <w:tc>
          <w:tcPr>
            <w:tcW w:w="992" w:type="dxa"/>
            <w:tcBorders>
              <w:top w:val="nil"/>
              <w:left w:val="nil"/>
              <w:bottom w:val="single" w:sz="4" w:space="0" w:color="auto"/>
              <w:right w:val="single" w:sz="4" w:space="0" w:color="auto"/>
            </w:tcBorders>
            <w:noWrap/>
            <w:vAlign w:val="center"/>
            <w:hideMark/>
          </w:tcPr>
          <w:p w14:paraId="43751A3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52 250,00</w:t>
            </w:r>
          </w:p>
        </w:tc>
        <w:tc>
          <w:tcPr>
            <w:tcW w:w="1001" w:type="dxa"/>
            <w:tcBorders>
              <w:top w:val="nil"/>
              <w:left w:val="nil"/>
              <w:bottom w:val="single" w:sz="4" w:space="0" w:color="auto"/>
              <w:right w:val="single" w:sz="4" w:space="0" w:color="auto"/>
            </w:tcBorders>
            <w:noWrap/>
            <w:vAlign w:val="center"/>
            <w:hideMark/>
          </w:tcPr>
          <w:p w14:paraId="7E7BE99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52 250,00</w:t>
            </w:r>
          </w:p>
        </w:tc>
        <w:tc>
          <w:tcPr>
            <w:tcW w:w="709" w:type="dxa"/>
            <w:tcBorders>
              <w:top w:val="nil"/>
              <w:left w:val="nil"/>
              <w:bottom w:val="single" w:sz="4" w:space="0" w:color="auto"/>
              <w:right w:val="single" w:sz="4" w:space="0" w:color="auto"/>
            </w:tcBorders>
            <w:noWrap/>
            <w:vAlign w:val="center"/>
            <w:hideMark/>
          </w:tcPr>
          <w:p w14:paraId="72BCA9A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49 500,00</w:t>
            </w:r>
          </w:p>
        </w:tc>
        <w:tc>
          <w:tcPr>
            <w:tcW w:w="855" w:type="dxa"/>
            <w:tcBorders>
              <w:top w:val="nil"/>
              <w:left w:val="nil"/>
              <w:bottom w:val="single" w:sz="4" w:space="0" w:color="auto"/>
              <w:right w:val="single" w:sz="4" w:space="0" w:color="auto"/>
            </w:tcBorders>
            <w:noWrap/>
            <w:vAlign w:val="center"/>
            <w:hideMark/>
          </w:tcPr>
          <w:p w14:paraId="4AC66D0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51,35</w:t>
            </w:r>
          </w:p>
        </w:tc>
      </w:tr>
      <w:tr w:rsidR="0050758C" w:rsidRPr="0050758C" w14:paraId="6A4BC780" w14:textId="77777777" w:rsidTr="006D79E9">
        <w:trPr>
          <w:gridAfter w:val="2"/>
          <w:wAfter w:w="14" w:type="dxa"/>
          <w:trHeight w:val="4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01D95A9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2.3 :  Le CCNA est en place et fonctionnel [d'ici 2022]. (concessions et de leur gestion).</w:t>
            </w:r>
          </w:p>
        </w:tc>
        <w:tc>
          <w:tcPr>
            <w:tcW w:w="710" w:type="dxa"/>
            <w:tcBorders>
              <w:top w:val="nil"/>
              <w:left w:val="nil"/>
              <w:bottom w:val="single" w:sz="4" w:space="0" w:color="auto"/>
              <w:right w:val="single" w:sz="4" w:space="0" w:color="auto"/>
            </w:tcBorders>
            <w:shd w:val="clear" w:color="000000" w:fill="FFFFFF"/>
            <w:vAlign w:val="center"/>
            <w:hideMark/>
          </w:tcPr>
          <w:p w14:paraId="0A7530B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4CDBB35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237C7BB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42 900,00</w:t>
            </w:r>
          </w:p>
        </w:tc>
        <w:tc>
          <w:tcPr>
            <w:tcW w:w="992" w:type="dxa"/>
            <w:tcBorders>
              <w:top w:val="nil"/>
              <w:left w:val="nil"/>
              <w:bottom w:val="single" w:sz="4" w:space="0" w:color="auto"/>
              <w:right w:val="single" w:sz="4" w:space="0" w:color="auto"/>
            </w:tcBorders>
            <w:shd w:val="clear" w:color="000000" w:fill="FFFFFF"/>
            <w:vAlign w:val="center"/>
            <w:hideMark/>
          </w:tcPr>
          <w:p w14:paraId="79A3324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21 450,00</w:t>
            </w:r>
          </w:p>
        </w:tc>
        <w:tc>
          <w:tcPr>
            <w:tcW w:w="992" w:type="dxa"/>
            <w:tcBorders>
              <w:top w:val="nil"/>
              <w:left w:val="nil"/>
              <w:bottom w:val="single" w:sz="4" w:space="0" w:color="auto"/>
              <w:right w:val="single" w:sz="4" w:space="0" w:color="auto"/>
            </w:tcBorders>
            <w:noWrap/>
            <w:vAlign w:val="center"/>
            <w:hideMark/>
          </w:tcPr>
          <w:p w14:paraId="04CDF33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6BF7674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0D411B4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21 450,00</w:t>
            </w:r>
          </w:p>
        </w:tc>
        <w:tc>
          <w:tcPr>
            <w:tcW w:w="855" w:type="dxa"/>
            <w:tcBorders>
              <w:top w:val="nil"/>
              <w:left w:val="nil"/>
              <w:bottom w:val="single" w:sz="4" w:space="0" w:color="auto"/>
              <w:right w:val="single" w:sz="4" w:space="0" w:color="auto"/>
            </w:tcBorders>
            <w:noWrap/>
            <w:vAlign w:val="center"/>
            <w:hideMark/>
          </w:tcPr>
          <w:p w14:paraId="15BF632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r>
      <w:tr w:rsidR="0050758C" w:rsidRPr="0050758C" w14:paraId="60EB0428" w14:textId="77777777" w:rsidTr="006D79E9">
        <w:trPr>
          <w:gridAfter w:val="2"/>
          <w:wAfter w:w="14" w:type="dxa"/>
          <w:trHeight w:val="9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8316EC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2.4 : Un processus participatif de réflexion et de définition sur l’agriculture de taille intermédiaire, ses besoins spécifiques, et comment l’accompagner pour permettre d’en réduire l’impact sur les forêts tout en répondant aux besoins du pays, en ligne avec les objectifs de la présente lettre d’attention, sur base du contexte spécifique de la RDC et informé par les bonnes pratiques nationales et internationales dans des pays similaires.</w:t>
            </w:r>
          </w:p>
        </w:tc>
        <w:tc>
          <w:tcPr>
            <w:tcW w:w="710" w:type="dxa"/>
            <w:tcBorders>
              <w:top w:val="nil"/>
              <w:left w:val="nil"/>
              <w:bottom w:val="single" w:sz="4" w:space="0" w:color="auto"/>
              <w:right w:val="single" w:sz="4" w:space="0" w:color="auto"/>
            </w:tcBorders>
            <w:shd w:val="clear" w:color="000000" w:fill="FFFFFF"/>
            <w:vAlign w:val="center"/>
            <w:hideMark/>
          </w:tcPr>
          <w:p w14:paraId="1B7312F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28AA9B2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340F7E8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142 000,00</w:t>
            </w:r>
          </w:p>
        </w:tc>
        <w:tc>
          <w:tcPr>
            <w:tcW w:w="992" w:type="dxa"/>
            <w:tcBorders>
              <w:top w:val="nil"/>
              <w:left w:val="nil"/>
              <w:bottom w:val="single" w:sz="4" w:space="0" w:color="auto"/>
              <w:right w:val="single" w:sz="4" w:space="0" w:color="auto"/>
            </w:tcBorders>
            <w:shd w:val="clear" w:color="000000" w:fill="FFFFFF"/>
            <w:vAlign w:val="center"/>
            <w:hideMark/>
          </w:tcPr>
          <w:p w14:paraId="517542C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62 000,00</w:t>
            </w:r>
          </w:p>
        </w:tc>
        <w:tc>
          <w:tcPr>
            <w:tcW w:w="992" w:type="dxa"/>
            <w:tcBorders>
              <w:top w:val="nil"/>
              <w:left w:val="nil"/>
              <w:bottom w:val="single" w:sz="4" w:space="0" w:color="auto"/>
              <w:right w:val="single" w:sz="4" w:space="0" w:color="auto"/>
            </w:tcBorders>
            <w:noWrap/>
            <w:vAlign w:val="center"/>
            <w:hideMark/>
          </w:tcPr>
          <w:p w14:paraId="1A8FA84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38 000,00</w:t>
            </w:r>
          </w:p>
        </w:tc>
        <w:tc>
          <w:tcPr>
            <w:tcW w:w="1001" w:type="dxa"/>
            <w:tcBorders>
              <w:top w:val="nil"/>
              <w:left w:val="nil"/>
              <w:bottom w:val="single" w:sz="4" w:space="0" w:color="auto"/>
              <w:right w:val="single" w:sz="4" w:space="0" w:color="auto"/>
            </w:tcBorders>
            <w:noWrap/>
            <w:vAlign w:val="center"/>
            <w:hideMark/>
          </w:tcPr>
          <w:p w14:paraId="1438944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38 000,00</w:t>
            </w:r>
          </w:p>
        </w:tc>
        <w:tc>
          <w:tcPr>
            <w:tcW w:w="709" w:type="dxa"/>
            <w:tcBorders>
              <w:top w:val="nil"/>
              <w:left w:val="nil"/>
              <w:bottom w:val="single" w:sz="4" w:space="0" w:color="auto"/>
              <w:right w:val="single" w:sz="4" w:space="0" w:color="auto"/>
            </w:tcBorders>
            <w:noWrap/>
            <w:vAlign w:val="center"/>
            <w:hideMark/>
          </w:tcPr>
          <w:p w14:paraId="599D166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24 000,00</w:t>
            </w:r>
          </w:p>
        </w:tc>
        <w:tc>
          <w:tcPr>
            <w:tcW w:w="855" w:type="dxa"/>
            <w:tcBorders>
              <w:top w:val="nil"/>
              <w:left w:val="nil"/>
              <w:bottom w:val="single" w:sz="4" w:space="0" w:color="auto"/>
              <w:right w:val="single" w:sz="4" w:space="0" w:color="auto"/>
            </w:tcBorders>
            <w:noWrap/>
            <w:vAlign w:val="center"/>
            <w:hideMark/>
          </w:tcPr>
          <w:p w14:paraId="7A71202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61,29</w:t>
            </w:r>
          </w:p>
        </w:tc>
      </w:tr>
      <w:tr w:rsidR="0050758C" w:rsidRPr="0050758C" w14:paraId="64F7416D" w14:textId="77777777" w:rsidTr="006D79E9">
        <w:trPr>
          <w:gridAfter w:val="2"/>
          <w:wAfter w:w="14" w:type="dxa"/>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330B4EC5"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2.5 : Le Ministère sectoriel notifie formellement les partenaires au développement et les Gouverneurs de Province d’assurer la cohérence entre, d’une part, les programmes d’aide publique au développement et les programmes provinciaux incluant les investissements publics et privés et, d’autre part, les orientations de la Politique agricole nationale ainsi que les prescriptions des Schémas/Plans d’AT [notamment ceux développés dans le cadre des PIREDD], d’ici [fin 2023].</w:t>
            </w:r>
          </w:p>
        </w:tc>
        <w:tc>
          <w:tcPr>
            <w:tcW w:w="710" w:type="dxa"/>
            <w:tcBorders>
              <w:top w:val="nil"/>
              <w:left w:val="nil"/>
              <w:bottom w:val="single" w:sz="4" w:space="0" w:color="auto"/>
              <w:right w:val="single" w:sz="4" w:space="0" w:color="auto"/>
            </w:tcBorders>
            <w:shd w:val="clear" w:color="000000" w:fill="FFFFFF"/>
            <w:vAlign w:val="center"/>
            <w:hideMark/>
          </w:tcPr>
          <w:p w14:paraId="53D9A60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5FC3E2F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78E6F7F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53 000,00</w:t>
            </w:r>
          </w:p>
        </w:tc>
        <w:tc>
          <w:tcPr>
            <w:tcW w:w="992" w:type="dxa"/>
            <w:tcBorders>
              <w:top w:val="nil"/>
              <w:left w:val="nil"/>
              <w:bottom w:val="single" w:sz="4" w:space="0" w:color="auto"/>
              <w:right w:val="single" w:sz="4" w:space="0" w:color="auto"/>
            </w:tcBorders>
            <w:shd w:val="clear" w:color="000000" w:fill="FFFFFF"/>
            <w:vAlign w:val="center"/>
            <w:hideMark/>
          </w:tcPr>
          <w:p w14:paraId="4FC2CD10"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26 500,00</w:t>
            </w:r>
          </w:p>
        </w:tc>
        <w:tc>
          <w:tcPr>
            <w:tcW w:w="992" w:type="dxa"/>
            <w:tcBorders>
              <w:top w:val="nil"/>
              <w:left w:val="nil"/>
              <w:bottom w:val="single" w:sz="4" w:space="0" w:color="auto"/>
              <w:right w:val="single" w:sz="4" w:space="0" w:color="auto"/>
            </w:tcBorders>
            <w:noWrap/>
            <w:vAlign w:val="center"/>
            <w:hideMark/>
          </w:tcPr>
          <w:p w14:paraId="7F41CA0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19F0925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3D2AC9C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26 500,00</w:t>
            </w:r>
          </w:p>
        </w:tc>
        <w:tc>
          <w:tcPr>
            <w:tcW w:w="855" w:type="dxa"/>
            <w:tcBorders>
              <w:top w:val="nil"/>
              <w:left w:val="nil"/>
              <w:bottom w:val="single" w:sz="4" w:space="0" w:color="auto"/>
              <w:right w:val="single" w:sz="4" w:space="0" w:color="auto"/>
            </w:tcBorders>
            <w:noWrap/>
            <w:vAlign w:val="center"/>
            <w:hideMark/>
          </w:tcPr>
          <w:p w14:paraId="2D8BBDA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r>
      <w:tr w:rsidR="0050758C" w:rsidRPr="0050758C" w14:paraId="4CFC4C2C"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C95CE4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2.6 : Un Plan ou feuille de route pour augmenter graduellement l’allocation et l’exécution budgétaires domestiques au secteur de l’agriculture est adopté d’ici [fin 2023].</w:t>
            </w:r>
          </w:p>
        </w:tc>
        <w:tc>
          <w:tcPr>
            <w:tcW w:w="710" w:type="dxa"/>
            <w:tcBorders>
              <w:top w:val="nil"/>
              <w:left w:val="nil"/>
              <w:bottom w:val="single" w:sz="4" w:space="0" w:color="auto"/>
              <w:right w:val="single" w:sz="4" w:space="0" w:color="auto"/>
            </w:tcBorders>
            <w:shd w:val="clear" w:color="000000" w:fill="FFFFFF"/>
            <w:vAlign w:val="center"/>
            <w:hideMark/>
          </w:tcPr>
          <w:p w14:paraId="1A18932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3BD1182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5F986EB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80 000,00</w:t>
            </w:r>
          </w:p>
        </w:tc>
        <w:tc>
          <w:tcPr>
            <w:tcW w:w="992" w:type="dxa"/>
            <w:tcBorders>
              <w:top w:val="nil"/>
              <w:left w:val="nil"/>
              <w:bottom w:val="single" w:sz="4" w:space="0" w:color="auto"/>
              <w:right w:val="single" w:sz="4" w:space="0" w:color="auto"/>
            </w:tcBorders>
            <w:shd w:val="clear" w:color="000000" w:fill="FFFFFF"/>
            <w:vAlign w:val="center"/>
            <w:hideMark/>
          </w:tcPr>
          <w:p w14:paraId="75DCB83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20 000,00</w:t>
            </w:r>
          </w:p>
        </w:tc>
        <w:tc>
          <w:tcPr>
            <w:tcW w:w="992" w:type="dxa"/>
            <w:tcBorders>
              <w:top w:val="nil"/>
              <w:left w:val="nil"/>
              <w:bottom w:val="single" w:sz="4" w:space="0" w:color="auto"/>
              <w:right w:val="single" w:sz="4" w:space="0" w:color="auto"/>
            </w:tcBorders>
            <w:noWrap/>
            <w:vAlign w:val="center"/>
            <w:hideMark/>
          </w:tcPr>
          <w:p w14:paraId="2F95518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20 000,00</w:t>
            </w:r>
          </w:p>
        </w:tc>
        <w:tc>
          <w:tcPr>
            <w:tcW w:w="1001" w:type="dxa"/>
            <w:tcBorders>
              <w:top w:val="nil"/>
              <w:left w:val="nil"/>
              <w:bottom w:val="single" w:sz="4" w:space="0" w:color="auto"/>
              <w:right w:val="single" w:sz="4" w:space="0" w:color="auto"/>
            </w:tcBorders>
            <w:noWrap/>
            <w:vAlign w:val="center"/>
            <w:hideMark/>
          </w:tcPr>
          <w:p w14:paraId="0E669A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20 000,00</w:t>
            </w:r>
          </w:p>
        </w:tc>
        <w:tc>
          <w:tcPr>
            <w:tcW w:w="709" w:type="dxa"/>
            <w:tcBorders>
              <w:top w:val="nil"/>
              <w:left w:val="nil"/>
              <w:bottom w:val="single" w:sz="4" w:space="0" w:color="auto"/>
              <w:right w:val="single" w:sz="4" w:space="0" w:color="auto"/>
            </w:tcBorders>
            <w:noWrap/>
            <w:vAlign w:val="center"/>
            <w:hideMark/>
          </w:tcPr>
          <w:p w14:paraId="113EA89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855" w:type="dxa"/>
            <w:tcBorders>
              <w:top w:val="nil"/>
              <w:left w:val="nil"/>
              <w:bottom w:val="single" w:sz="4" w:space="0" w:color="auto"/>
              <w:right w:val="single" w:sz="4" w:space="0" w:color="auto"/>
            </w:tcBorders>
            <w:noWrap/>
            <w:vAlign w:val="center"/>
            <w:hideMark/>
          </w:tcPr>
          <w:p w14:paraId="2BD607F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100,00</w:t>
            </w:r>
          </w:p>
        </w:tc>
      </w:tr>
      <w:tr w:rsidR="0050758C" w:rsidRPr="0050758C" w14:paraId="79B09FCB"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06030BB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2.7 : Les capacités humaines et techniques du Ministère de l'Agriculture dans la mise en œuvre de la politique agricole sont renforcées.</w:t>
            </w:r>
          </w:p>
        </w:tc>
        <w:tc>
          <w:tcPr>
            <w:tcW w:w="710" w:type="dxa"/>
            <w:tcBorders>
              <w:top w:val="nil"/>
              <w:left w:val="nil"/>
              <w:bottom w:val="single" w:sz="4" w:space="0" w:color="auto"/>
              <w:right w:val="single" w:sz="4" w:space="0" w:color="auto"/>
            </w:tcBorders>
            <w:shd w:val="clear" w:color="000000" w:fill="FFFFFF"/>
            <w:vAlign w:val="center"/>
            <w:hideMark/>
          </w:tcPr>
          <w:p w14:paraId="3DE5ACF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2F28999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Agri</w:t>
            </w:r>
          </w:p>
        </w:tc>
        <w:tc>
          <w:tcPr>
            <w:tcW w:w="1134" w:type="dxa"/>
            <w:tcBorders>
              <w:top w:val="nil"/>
              <w:left w:val="nil"/>
              <w:bottom w:val="single" w:sz="4" w:space="0" w:color="auto"/>
              <w:right w:val="single" w:sz="4" w:space="0" w:color="auto"/>
            </w:tcBorders>
            <w:noWrap/>
            <w:vAlign w:val="center"/>
            <w:hideMark/>
          </w:tcPr>
          <w:p w14:paraId="4399930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342 200,00</w:t>
            </w:r>
          </w:p>
        </w:tc>
        <w:tc>
          <w:tcPr>
            <w:tcW w:w="992" w:type="dxa"/>
            <w:tcBorders>
              <w:top w:val="nil"/>
              <w:left w:val="nil"/>
              <w:bottom w:val="single" w:sz="4" w:space="0" w:color="auto"/>
              <w:right w:val="single" w:sz="4" w:space="0" w:color="auto"/>
            </w:tcBorders>
            <w:shd w:val="clear" w:color="000000" w:fill="FFFFFF"/>
            <w:vAlign w:val="center"/>
            <w:hideMark/>
          </w:tcPr>
          <w:p w14:paraId="75AAEEA0"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206 100,00</w:t>
            </w:r>
          </w:p>
        </w:tc>
        <w:tc>
          <w:tcPr>
            <w:tcW w:w="992" w:type="dxa"/>
            <w:tcBorders>
              <w:top w:val="nil"/>
              <w:left w:val="nil"/>
              <w:bottom w:val="single" w:sz="4" w:space="0" w:color="auto"/>
              <w:right w:val="single" w:sz="4" w:space="0" w:color="auto"/>
            </w:tcBorders>
            <w:noWrap/>
            <w:vAlign w:val="center"/>
            <w:hideMark/>
          </w:tcPr>
          <w:p w14:paraId="399163F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99 500,00</w:t>
            </w:r>
          </w:p>
        </w:tc>
        <w:tc>
          <w:tcPr>
            <w:tcW w:w="1001" w:type="dxa"/>
            <w:tcBorders>
              <w:top w:val="nil"/>
              <w:left w:val="nil"/>
              <w:bottom w:val="single" w:sz="4" w:space="0" w:color="auto"/>
              <w:right w:val="single" w:sz="4" w:space="0" w:color="auto"/>
            </w:tcBorders>
            <w:noWrap/>
            <w:vAlign w:val="center"/>
            <w:hideMark/>
          </w:tcPr>
          <w:p w14:paraId="19B4CDA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99 500,00</w:t>
            </w:r>
          </w:p>
        </w:tc>
        <w:tc>
          <w:tcPr>
            <w:tcW w:w="709" w:type="dxa"/>
            <w:tcBorders>
              <w:top w:val="nil"/>
              <w:left w:val="nil"/>
              <w:bottom w:val="single" w:sz="4" w:space="0" w:color="auto"/>
              <w:right w:val="single" w:sz="4" w:space="0" w:color="auto"/>
            </w:tcBorders>
            <w:noWrap/>
            <w:vAlign w:val="center"/>
            <w:hideMark/>
          </w:tcPr>
          <w:p w14:paraId="4843429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106 600,00</w:t>
            </w:r>
          </w:p>
        </w:tc>
        <w:tc>
          <w:tcPr>
            <w:tcW w:w="855" w:type="dxa"/>
            <w:tcBorders>
              <w:top w:val="nil"/>
              <w:left w:val="nil"/>
              <w:bottom w:val="single" w:sz="4" w:space="0" w:color="auto"/>
              <w:right w:val="single" w:sz="4" w:space="0" w:color="auto"/>
            </w:tcBorders>
            <w:noWrap/>
            <w:vAlign w:val="center"/>
            <w:hideMark/>
          </w:tcPr>
          <w:p w14:paraId="575F2F9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48,28</w:t>
            </w:r>
          </w:p>
        </w:tc>
      </w:tr>
      <w:tr w:rsidR="0050758C" w:rsidRPr="0050758C" w14:paraId="4EC8DEF6"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07EF31F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2 : AGRICULTURE</w:t>
            </w:r>
          </w:p>
        </w:tc>
        <w:tc>
          <w:tcPr>
            <w:tcW w:w="710" w:type="dxa"/>
            <w:tcBorders>
              <w:top w:val="nil"/>
              <w:left w:val="nil"/>
              <w:bottom w:val="single" w:sz="4" w:space="0" w:color="auto"/>
              <w:right w:val="single" w:sz="4" w:space="0" w:color="auto"/>
            </w:tcBorders>
            <w:shd w:val="clear" w:color="000000" w:fill="C0CF3A"/>
            <w:noWrap/>
            <w:vAlign w:val="center"/>
            <w:hideMark/>
          </w:tcPr>
          <w:p w14:paraId="7E5BECD9"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279A3C2A"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6302F07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1 036 300,00</w:t>
            </w:r>
          </w:p>
        </w:tc>
        <w:tc>
          <w:tcPr>
            <w:tcW w:w="992" w:type="dxa"/>
            <w:tcBorders>
              <w:top w:val="nil"/>
              <w:left w:val="nil"/>
              <w:bottom w:val="single" w:sz="4" w:space="0" w:color="auto"/>
              <w:right w:val="single" w:sz="4" w:space="0" w:color="auto"/>
            </w:tcBorders>
            <w:shd w:val="clear" w:color="000000" w:fill="C0CF3A"/>
            <w:noWrap/>
            <w:vAlign w:val="center"/>
            <w:hideMark/>
          </w:tcPr>
          <w:p w14:paraId="02D11EC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518 150,00</w:t>
            </w:r>
          </w:p>
        </w:tc>
        <w:tc>
          <w:tcPr>
            <w:tcW w:w="992" w:type="dxa"/>
            <w:tcBorders>
              <w:top w:val="nil"/>
              <w:left w:val="nil"/>
              <w:bottom w:val="single" w:sz="4" w:space="0" w:color="auto"/>
              <w:right w:val="single" w:sz="4" w:space="0" w:color="auto"/>
            </w:tcBorders>
            <w:shd w:val="clear" w:color="000000" w:fill="C0CF3A"/>
            <w:noWrap/>
            <w:vAlign w:val="center"/>
            <w:hideMark/>
          </w:tcPr>
          <w:p w14:paraId="2B96FF61"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288 600,00</w:t>
            </w:r>
          </w:p>
        </w:tc>
        <w:tc>
          <w:tcPr>
            <w:tcW w:w="1001" w:type="dxa"/>
            <w:tcBorders>
              <w:top w:val="nil"/>
              <w:left w:val="nil"/>
              <w:bottom w:val="single" w:sz="4" w:space="0" w:color="auto"/>
              <w:right w:val="single" w:sz="4" w:space="0" w:color="auto"/>
            </w:tcBorders>
            <w:shd w:val="clear" w:color="000000" w:fill="C0CF3A"/>
            <w:noWrap/>
            <w:vAlign w:val="center"/>
            <w:hideMark/>
          </w:tcPr>
          <w:p w14:paraId="5ACFF778"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288 600,00</w:t>
            </w:r>
          </w:p>
        </w:tc>
        <w:tc>
          <w:tcPr>
            <w:tcW w:w="709" w:type="dxa"/>
            <w:tcBorders>
              <w:top w:val="nil"/>
              <w:left w:val="nil"/>
              <w:bottom w:val="single" w:sz="4" w:space="0" w:color="auto"/>
              <w:right w:val="single" w:sz="4" w:space="0" w:color="auto"/>
            </w:tcBorders>
            <w:shd w:val="clear" w:color="000000" w:fill="C0CF3A"/>
            <w:noWrap/>
            <w:vAlign w:val="center"/>
            <w:hideMark/>
          </w:tcPr>
          <w:p w14:paraId="77558F28"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229 550,00</w:t>
            </w:r>
          </w:p>
        </w:tc>
        <w:tc>
          <w:tcPr>
            <w:tcW w:w="855" w:type="dxa"/>
            <w:tcBorders>
              <w:top w:val="nil"/>
              <w:left w:val="nil"/>
              <w:bottom w:val="single" w:sz="4" w:space="0" w:color="auto"/>
              <w:right w:val="single" w:sz="4" w:space="0" w:color="auto"/>
            </w:tcBorders>
            <w:shd w:val="clear" w:color="000000" w:fill="C0CF3A"/>
            <w:noWrap/>
            <w:vAlign w:val="center"/>
            <w:hideMark/>
          </w:tcPr>
          <w:p w14:paraId="2861E63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55,70</w:t>
            </w:r>
          </w:p>
        </w:tc>
      </w:tr>
      <w:tr w:rsidR="0050758C" w:rsidRPr="0050758C" w14:paraId="2543FEF0"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8EAADB"/>
            <w:noWrap/>
            <w:vAlign w:val="center"/>
            <w:hideMark/>
          </w:tcPr>
          <w:p w14:paraId="0B1E5232" w14:textId="77777777" w:rsidR="0050758C" w:rsidRPr="0050758C" w:rsidRDefault="0050758C">
            <w:pPr>
              <w:rPr>
                <w:rFonts w:ascii="Calibri" w:hAnsi="Calibri" w:cs="Calibri"/>
                <w:color w:val="1F3864"/>
                <w:sz w:val="16"/>
                <w:szCs w:val="16"/>
              </w:rPr>
            </w:pPr>
            <w:r w:rsidRPr="0050758C">
              <w:rPr>
                <w:rFonts w:ascii="Calibri" w:hAnsi="Calibri" w:cs="Calibri"/>
                <w:color w:val="1F3864"/>
                <w:sz w:val="16"/>
                <w:szCs w:val="16"/>
              </w:rPr>
              <w:t>Effet 4 : Les soubassements de La politique de développement durable et de conservation des forêts sont formalisés</w:t>
            </w:r>
          </w:p>
        </w:tc>
      </w:tr>
      <w:tr w:rsidR="0050758C" w:rsidRPr="0050758C" w14:paraId="307367D4"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3C980E8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3 : FORET</w:t>
            </w:r>
          </w:p>
        </w:tc>
      </w:tr>
      <w:tr w:rsidR="0050758C" w:rsidRPr="0050758C" w14:paraId="58CEF761"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6630EB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 (jalons 4 f) : Définir d’ici 2025, au travers d’un processus participatif et multisectoriel les concepts de « forêts de grande valeur » et de « tourbières » </w:t>
            </w:r>
          </w:p>
        </w:tc>
        <w:tc>
          <w:tcPr>
            <w:tcW w:w="710" w:type="dxa"/>
            <w:tcBorders>
              <w:top w:val="nil"/>
              <w:left w:val="nil"/>
              <w:bottom w:val="single" w:sz="4" w:space="0" w:color="auto"/>
              <w:right w:val="single" w:sz="4" w:space="0" w:color="auto"/>
            </w:tcBorders>
            <w:shd w:val="clear" w:color="000000" w:fill="FFFFFF"/>
            <w:noWrap/>
            <w:vAlign w:val="center"/>
            <w:hideMark/>
          </w:tcPr>
          <w:p w14:paraId="3138BFD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6923DBB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1FB0E20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45 000,00</w:t>
            </w:r>
          </w:p>
        </w:tc>
        <w:tc>
          <w:tcPr>
            <w:tcW w:w="992" w:type="dxa"/>
            <w:tcBorders>
              <w:top w:val="nil"/>
              <w:left w:val="nil"/>
              <w:bottom w:val="single" w:sz="4" w:space="0" w:color="auto"/>
              <w:right w:val="single" w:sz="4" w:space="0" w:color="auto"/>
            </w:tcBorders>
            <w:shd w:val="clear" w:color="000000" w:fill="FFFFFF"/>
            <w:vAlign w:val="center"/>
            <w:hideMark/>
          </w:tcPr>
          <w:p w14:paraId="5FDD2679"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29 750,00</w:t>
            </w:r>
          </w:p>
        </w:tc>
        <w:tc>
          <w:tcPr>
            <w:tcW w:w="992" w:type="dxa"/>
            <w:tcBorders>
              <w:top w:val="nil"/>
              <w:left w:val="nil"/>
              <w:bottom w:val="nil"/>
              <w:right w:val="nil"/>
            </w:tcBorders>
            <w:noWrap/>
            <w:vAlign w:val="bottom"/>
            <w:hideMark/>
          </w:tcPr>
          <w:p w14:paraId="4219E5AB" w14:textId="77777777" w:rsidR="0050758C" w:rsidRPr="0050758C" w:rsidRDefault="0050758C">
            <w:pPr>
              <w:jc w:val="right"/>
              <w:rPr>
                <w:rFonts w:ascii="Avenir" w:hAnsi="Avenir"/>
                <w:color w:val="000000"/>
                <w:sz w:val="16"/>
                <w:szCs w:val="16"/>
              </w:rPr>
            </w:pPr>
            <w:r w:rsidRPr="0050758C">
              <w:rPr>
                <w:rFonts w:ascii="Avenir" w:hAnsi="Avenir"/>
                <w:color w:val="000000"/>
                <w:sz w:val="16"/>
                <w:szCs w:val="16"/>
              </w:rPr>
              <w:t>23 500,00</w:t>
            </w:r>
          </w:p>
        </w:tc>
        <w:tc>
          <w:tcPr>
            <w:tcW w:w="1001" w:type="dxa"/>
            <w:tcBorders>
              <w:top w:val="nil"/>
              <w:left w:val="nil"/>
              <w:bottom w:val="single" w:sz="4" w:space="0" w:color="auto"/>
              <w:right w:val="single" w:sz="4" w:space="0" w:color="auto"/>
            </w:tcBorders>
            <w:noWrap/>
            <w:vAlign w:val="center"/>
            <w:hideMark/>
          </w:tcPr>
          <w:p w14:paraId="768CB8A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23 500,00</w:t>
            </w:r>
          </w:p>
        </w:tc>
        <w:tc>
          <w:tcPr>
            <w:tcW w:w="709" w:type="dxa"/>
            <w:tcBorders>
              <w:top w:val="nil"/>
              <w:left w:val="nil"/>
              <w:bottom w:val="single" w:sz="4" w:space="0" w:color="auto"/>
              <w:right w:val="single" w:sz="4" w:space="0" w:color="auto"/>
            </w:tcBorders>
            <w:noWrap/>
            <w:vAlign w:val="center"/>
            <w:hideMark/>
          </w:tcPr>
          <w:p w14:paraId="0F95796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6 250,00</w:t>
            </w:r>
          </w:p>
        </w:tc>
        <w:tc>
          <w:tcPr>
            <w:tcW w:w="855" w:type="dxa"/>
            <w:tcBorders>
              <w:top w:val="nil"/>
              <w:left w:val="nil"/>
              <w:bottom w:val="single" w:sz="4" w:space="0" w:color="auto"/>
              <w:right w:val="single" w:sz="4" w:space="0" w:color="auto"/>
            </w:tcBorders>
            <w:noWrap/>
            <w:vAlign w:val="center"/>
            <w:hideMark/>
          </w:tcPr>
          <w:p w14:paraId="745E181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78,99</w:t>
            </w:r>
          </w:p>
        </w:tc>
      </w:tr>
      <w:tr w:rsidR="0050758C" w:rsidRPr="0050758C" w14:paraId="56EB054B"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16F539F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3.2 (jalon 4 i) : Une revue légale des titres de concessions forestières de conservation est finalisée d’ici [fin 2024].</w:t>
            </w:r>
          </w:p>
        </w:tc>
        <w:tc>
          <w:tcPr>
            <w:tcW w:w="710" w:type="dxa"/>
            <w:tcBorders>
              <w:top w:val="nil"/>
              <w:left w:val="nil"/>
              <w:bottom w:val="single" w:sz="4" w:space="0" w:color="auto"/>
              <w:right w:val="single" w:sz="4" w:space="0" w:color="auto"/>
            </w:tcBorders>
            <w:shd w:val="clear" w:color="000000" w:fill="FFFFFF"/>
            <w:noWrap/>
            <w:vAlign w:val="center"/>
            <w:hideMark/>
          </w:tcPr>
          <w:p w14:paraId="58BD06D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66BBCDE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4DD6FD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110 000,00</w:t>
            </w:r>
          </w:p>
        </w:tc>
        <w:tc>
          <w:tcPr>
            <w:tcW w:w="992" w:type="dxa"/>
            <w:tcBorders>
              <w:top w:val="nil"/>
              <w:left w:val="nil"/>
              <w:bottom w:val="single" w:sz="4" w:space="0" w:color="auto"/>
              <w:right w:val="single" w:sz="4" w:space="0" w:color="auto"/>
            </w:tcBorders>
            <w:shd w:val="clear" w:color="000000" w:fill="FFFFFF"/>
            <w:vAlign w:val="center"/>
            <w:hideMark/>
          </w:tcPr>
          <w:p w14:paraId="4BC4DE4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40 000,00</w:t>
            </w:r>
          </w:p>
        </w:tc>
        <w:tc>
          <w:tcPr>
            <w:tcW w:w="992" w:type="dxa"/>
            <w:tcBorders>
              <w:top w:val="single" w:sz="4" w:space="0" w:color="auto"/>
              <w:left w:val="nil"/>
              <w:bottom w:val="single" w:sz="4" w:space="0" w:color="auto"/>
              <w:right w:val="single" w:sz="4" w:space="0" w:color="auto"/>
            </w:tcBorders>
            <w:noWrap/>
            <w:vAlign w:val="center"/>
            <w:hideMark/>
          </w:tcPr>
          <w:p w14:paraId="5A90B6B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7CBE71A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311B187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40 000,00</w:t>
            </w:r>
          </w:p>
        </w:tc>
        <w:tc>
          <w:tcPr>
            <w:tcW w:w="855" w:type="dxa"/>
            <w:tcBorders>
              <w:top w:val="nil"/>
              <w:left w:val="nil"/>
              <w:bottom w:val="single" w:sz="4" w:space="0" w:color="auto"/>
              <w:right w:val="single" w:sz="4" w:space="0" w:color="auto"/>
            </w:tcBorders>
            <w:noWrap/>
            <w:vAlign w:val="center"/>
            <w:hideMark/>
          </w:tcPr>
          <w:p w14:paraId="77857BC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r>
      <w:tr w:rsidR="0050758C" w:rsidRPr="0050758C" w14:paraId="57F48992" w14:textId="77777777" w:rsidTr="006D79E9">
        <w:trPr>
          <w:gridAfter w:val="2"/>
          <w:wAfter w:w="14" w:type="dxa"/>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1136F37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3.3 (Jalon 4 j) : Le concept de forêt dégradée sera défini et identifié pour les divers types de forêts de la RDC.</w:t>
            </w:r>
          </w:p>
        </w:tc>
        <w:tc>
          <w:tcPr>
            <w:tcW w:w="710" w:type="dxa"/>
            <w:tcBorders>
              <w:top w:val="nil"/>
              <w:left w:val="nil"/>
              <w:bottom w:val="single" w:sz="4" w:space="0" w:color="auto"/>
              <w:right w:val="single" w:sz="4" w:space="0" w:color="auto"/>
            </w:tcBorders>
            <w:shd w:val="clear" w:color="000000" w:fill="FFFFFF"/>
            <w:noWrap/>
            <w:vAlign w:val="center"/>
            <w:hideMark/>
          </w:tcPr>
          <w:p w14:paraId="0427520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7381E38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590292D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45 000,00</w:t>
            </w:r>
          </w:p>
        </w:tc>
        <w:tc>
          <w:tcPr>
            <w:tcW w:w="992" w:type="dxa"/>
            <w:tcBorders>
              <w:top w:val="nil"/>
              <w:left w:val="nil"/>
              <w:bottom w:val="single" w:sz="4" w:space="0" w:color="auto"/>
              <w:right w:val="single" w:sz="4" w:space="0" w:color="auto"/>
            </w:tcBorders>
            <w:shd w:val="clear" w:color="000000" w:fill="FFFFFF"/>
            <w:vAlign w:val="center"/>
            <w:hideMark/>
          </w:tcPr>
          <w:p w14:paraId="52C882B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22 000,00</w:t>
            </w:r>
          </w:p>
        </w:tc>
        <w:tc>
          <w:tcPr>
            <w:tcW w:w="992" w:type="dxa"/>
            <w:tcBorders>
              <w:top w:val="nil"/>
              <w:left w:val="nil"/>
              <w:bottom w:val="single" w:sz="4" w:space="0" w:color="auto"/>
              <w:right w:val="single" w:sz="4" w:space="0" w:color="auto"/>
            </w:tcBorders>
            <w:noWrap/>
            <w:vAlign w:val="center"/>
            <w:hideMark/>
          </w:tcPr>
          <w:p w14:paraId="714CB32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12 000,00</w:t>
            </w:r>
          </w:p>
        </w:tc>
        <w:tc>
          <w:tcPr>
            <w:tcW w:w="1001" w:type="dxa"/>
            <w:tcBorders>
              <w:top w:val="nil"/>
              <w:left w:val="nil"/>
              <w:bottom w:val="single" w:sz="4" w:space="0" w:color="auto"/>
              <w:right w:val="single" w:sz="4" w:space="0" w:color="auto"/>
            </w:tcBorders>
            <w:noWrap/>
            <w:vAlign w:val="center"/>
            <w:hideMark/>
          </w:tcPr>
          <w:p w14:paraId="2681A9E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12 000,00</w:t>
            </w:r>
          </w:p>
        </w:tc>
        <w:tc>
          <w:tcPr>
            <w:tcW w:w="709" w:type="dxa"/>
            <w:tcBorders>
              <w:top w:val="nil"/>
              <w:left w:val="nil"/>
              <w:bottom w:val="single" w:sz="4" w:space="0" w:color="auto"/>
              <w:right w:val="single" w:sz="4" w:space="0" w:color="auto"/>
            </w:tcBorders>
            <w:noWrap/>
            <w:vAlign w:val="center"/>
            <w:hideMark/>
          </w:tcPr>
          <w:p w14:paraId="575EAD9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10 000,00</w:t>
            </w:r>
          </w:p>
        </w:tc>
        <w:tc>
          <w:tcPr>
            <w:tcW w:w="855" w:type="dxa"/>
            <w:tcBorders>
              <w:top w:val="nil"/>
              <w:left w:val="nil"/>
              <w:bottom w:val="single" w:sz="4" w:space="0" w:color="auto"/>
              <w:right w:val="single" w:sz="4" w:space="0" w:color="auto"/>
            </w:tcBorders>
            <w:noWrap/>
            <w:vAlign w:val="center"/>
            <w:hideMark/>
          </w:tcPr>
          <w:p w14:paraId="66369B6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54,55</w:t>
            </w:r>
          </w:p>
        </w:tc>
      </w:tr>
      <w:tr w:rsidR="0050758C" w:rsidRPr="0050758C" w14:paraId="2E5C3EB4" w14:textId="77777777" w:rsidTr="006D79E9">
        <w:trPr>
          <w:gridAfter w:val="2"/>
          <w:wAfter w:w="14" w:type="dxa"/>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B4E86F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3.4 (Jalon 4 m) - Evaluer l’efficacité du contrôle forestier et développer sur cette base des stratégies provinciales de priorisation des contrôles basées sur le risque d’illégalité. Jalon pris en charge totalement par le PGDF.</w:t>
            </w:r>
          </w:p>
        </w:tc>
        <w:tc>
          <w:tcPr>
            <w:tcW w:w="710" w:type="dxa"/>
            <w:tcBorders>
              <w:top w:val="nil"/>
              <w:left w:val="nil"/>
              <w:bottom w:val="single" w:sz="4" w:space="0" w:color="auto"/>
              <w:right w:val="single" w:sz="4" w:space="0" w:color="auto"/>
            </w:tcBorders>
            <w:shd w:val="clear" w:color="000000" w:fill="FFFFFF"/>
            <w:noWrap/>
            <w:vAlign w:val="center"/>
            <w:hideMark/>
          </w:tcPr>
          <w:p w14:paraId="6E9DC01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34E05D2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1E62464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3B2E287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0,00</w:t>
            </w:r>
          </w:p>
        </w:tc>
        <w:tc>
          <w:tcPr>
            <w:tcW w:w="992" w:type="dxa"/>
            <w:tcBorders>
              <w:top w:val="nil"/>
              <w:left w:val="nil"/>
              <w:bottom w:val="single" w:sz="4" w:space="0" w:color="auto"/>
              <w:right w:val="single" w:sz="4" w:space="0" w:color="auto"/>
            </w:tcBorders>
            <w:noWrap/>
            <w:vAlign w:val="center"/>
            <w:hideMark/>
          </w:tcPr>
          <w:p w14:paraId="74D2686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46FCA3E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6528458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855" w:type="dxa"/>
            <w:tcBorders>
              <w:top w:val="nil"/>
              <w:left w:val="nil"/>
              <w:bottom w:val="single" w:sz="4" w:space="0" w:color="auto"/>
              <w:right w:val="single" w:sz="4" w:space="0" w:color="auto"/>
            </w:tcBorders>
            <w:noWrap/>
            <w:vAlign w:val="center"/>
            <w:hideMark/>
          </w:tcPr>
          <w:p w14:paraId="55014FB9"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#DIV/0!</w:t>
            </w:r>
          </w:p>
        </w:tc>
      </w:tr>
      <w:tr w:rsidR="0050758C" w:rsidRPr="0050758C" w14:paraId="27301FA8"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23DE58B5"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3.5 (jalon 4 n) : La politique forestière est élaborée et adoptée d’ici [fin 2024].</w:t>
            </w:r>
          </w:p>
        </w:tc>
        <w:tc>
          <w:tcPr>
            <w:tcW w:w="710" w:type="dxa"/>
            <w:tcBorders>
              <w:top w:val="nil"/>
              <w:left w:val="nil"/>
              <w:bottom w:val="single" w:sz="4" w:space="0" w:color="auto"/>
              <w:right w:val="single" w:sz="4" w:space="0" w:color="auto"/>
            </w:tcBorders>
            <w:shd w:val="clear" w:color="000000" w:fill="FFFFFF"/>
            <w:noWrap/>
            <w:vAlign w:val="center"/>
            <w:hideMark/>
          </w:tcPr>
          <w:p w14:paraId="23FDDF0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5D6145F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77C5E05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230 007,00</w:t>
            </w:r>
          </w:p>
        </w:tc>
        <w:tc>
          <w:tcPr>
            <w:tcW w:w="992" w:type="dxa"/>
            <w:tcBorders>
              <w:top w:val="nil"/>
              <w:left w:val="nil"/>
              <w:bottom w:val="single" w:sz="4" w:space="0" w:color="auto"/>
              <w:right w:val="single" w:sz="4" w:space="0" w:color="auto"/>
            </w:tcBorders>
            <w:shd w:val="clear" w:color="000000" w:fill="FFFFFF"/>
            <w:vAlign w:val="center"/>
            <w:hideMark/>
          </w:tcPr>
          <w:p w14:paraId="7D3C0148"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240 000,00</w:t>
            </w:r>
          </w:p>
        </w:tc>
        <w:tc>
          <w:tcPr>
            <w:tcW w:w="992" w:type="dxa"/>
            <w:tcBorders>
              <w:top w:val="nil"/>
              <w:left w:val="nil"/>
              <w:bottom w:val="nil"/>
              <w:right w:val="nil"/>
            </w:tcBorders>
            <w:noWrap/>
            <w:vAlign w:val="bottom"/>
            <w:hideMark/>
          </w:tcPr>
          <w:p w14:paraId="020A1049" w14:textId="77777777" w:rsidR="0050758C" w:rsidRPr="0050758C" w:rsidRDefault="0050758C">
            <w:pPr>
              <w:jc w:val="right"/>
              <w:rPr>
                <w:rFonts w:ascii="Avenir" w:hAnsi="Avenir"/>
                <w:color w:val="000000"/>
                <w:sz w:val="16"/>
                <w:szCs w:val="16"/>
              </w:rPr>
            </w:pPr>
            <w:r w:rsidRPr="0050758C">
              <w:rPr>
                <w:rFonts w:ascii="Avenir" w:hAnsi="Avenir"/>
                <w:color w:val="000000"/>
                <w:sz w:val="16"/>
                <w:szCs w:val="16"/>
              </w:rPr>
              <w:t>204 527,00</w:t>
            </w:r>
          </w:p>
        </w:tc>
        <w:tc>
          <w:tcPr>
            <w:tcW w:w="1001" w:type="dxa"/>
            <w:tcBorders>
              <w:top w:val="nil"/>
              <w:left w:val="nil"/>
              <w:bottom w:val="single" w:sz="4" w:space="0" w:color="auto"/>
              <w:right w:val="single" w:sz="4" w:space="0" w:color="auto"/>
            </w:tcBorders>
            <w:noWrap/>
            <w:vAlign w:val="center"/>
            <w:hideMark/>
          </w:tcPr>
          <w:p w14:paraId="571F6E0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204 527,00</w:t>
            </w:r>
          </w:p>
        </w:tc>
        <w:tc>
          <w:tcPr>
            <w:tcW w:w="709" w:type="dxa"/>
            <w:tcBorders>
              <w:top w:val="nil"/>
              <w:left w:val="nil"/>
              <w:bottom w:val="single" w:sz="4" w:space="0" w:color="auto"/>
              <w:right w:val="single" w:sz="4" w:space="0" w:color="auto"/>
            </w:tcBorders>
            <w:noWrap/>
            <w:vAlign w:val="center"/>
            <w:hideMark/>
          </w:tcPr>
          <w:p w14:paraId="6BCBD9A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35 473,00</w:t>
            </w:r>
          </w:p>
        </w:tc>
        <w:tc>
          <w:tcPr>
            <w:tcW w:w="855" w:type="dxa"/>
            <w:tcBorders>
              <w:top w:val="nil"/>
              <w:left w:val="nil"/>
              <w:bottom w:val="single" w:sz="4" w:space="0" w:color="auto"/>
              <w:right w:val="single" w:sz="4" w:space="0" w:color="auto"/>
            </w:tcBorders>
            <w:noWrap/>
            <w:vAlign w:val="center"/>
            <w:hideMark/>
          </w:tcPr>
          <w:p w14:paraId="0669E2D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85,22</w:t>
            </w:r>
          </w:p>
        </w:tc>
      </w:tr>
      <w:tr w:rsidR="0050758C" w:rsidRPr="0050758C" w14:paraId="5B3D18E6"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C3B49C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3.6 (Jalon 4 o) : Le Code forestier est révisé d’ici [fin 2023] (cfr PGDF).</w:t>
            </w:r>
          </w:p>
        </w:tc>
        <w:tc>
          <w:tcPr>
            <w:tcW w:w="710" w:type="dxa"/>
            <w:tcBorders>
              <w:top w:val="nil"/>
              <w:left w:val="nil"/>
              <w:bottom w:val="single" w:sz="4" w:space="0" w:color="auto"/>
              <w:right w:val="single" w:sz="4" w:space="0" w:color="auto"/>
            </w:tcBorders>
            <w:shd w:val="clear" w:color="000000" w:fill="FFFFFF"/>
            <w:noWrap/>
            <w:vAlign w:val="center"/>
            <w:hideMark/>
          </w:tcPr>
          <w:p w14:paraId="098AE1D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3005C62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688F749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79 000,00</w:t>
            </w:r>
          </w:p>
        </w:tc>
        <w:tc>
          <w:tcPr>
            <w:tcW w:w="992" w:type="dxa"/>
            <w:tcBorders>
              <w:top w:val="nil"/>
              <w:left w:val="nil"/>
              <w:bottom w:val="single" w:sz="4" w:space="0" w:color="auto"/>
              <w:right w:val="single" w:sz="4" w:space="0" w:color="auto"/>
            </w:tcBorders>
            <w:shd w:val="clear" w:color="000000" w:fill="FFFFFF"/>
            <w:vAlign w:val="center"/>
            <w:hideMark/>
          </w:tcPr>
          <w:p w14:paraId="6279E94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30 000,00</w:t>
            </w:r>
          </w:p>
        </w:tc>
        <w:tc>
          <w:tcPr>
            <w:tcW w:w="992" w:type="dxa"/>
            <w:tcBorders>
              <w:top w:val="single" w:sz="4" w:space="0" w:color="auto"/>
              <w:left w:val="nil"/>
              <w:bottom w:val="single" w:sz="4" w:space="0" w:color="auto"/>
              <w:right w:val="single" w:sz="4" w:space="0" w:color="auto"/>
            </w:tcBorders>
            <w:noWrap/>
            <w:vAlign w:val="center"/>
            <w:hideMark/>
          </w:tcPr>
          <w:p w14:paraId="79F729B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7 500,00</w:t>
            </w:r>
          </w:p>
        </w:tc>
        <w:tc>
          <w:tcPr>
            <w:tcW w:w="1001" w:type="dxa"/>
            <w:tcBorders>
              <w:top w:val="nil"/>
              <w:left w:val="nil"/>
              <w:bottom w:val="single" w:sz="4" w:space="0" w:color="auto"/>
              <w:right w:val="single" w:sz="4" w:space="0" w:color="auto"/>
            </w:tcBorders>
            <w:noWrap/>
            <w:vAlign w:val="center"/>
            <w:hideMark/>
          </w:tcPr>
          <w:p w14:paraId="1A09863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7 500,00</w:t>
            </w:r>
          </w:p>
        </w:tc>
        <w:tc>
          <w:tcPr>
            <w:tcW w:w="709" w:type="dxa"/>
            <w:tcBorders>
              <w:top w:val="nil"/>
              <w:left w:val="nil"/>
              <w:bottom w:val="single" w:sz="4" w:space="0" w:color="auto"/>
              <w:right w:val="single" w:sz="4" w:space="0" w:color="auto"/>
            </w:tcBorders>
            <w:noWrap/>
            <w:vAlign w:val="center"/>
            <w:hideMark/>
          </w:tcPr>
          <w:p w14:paraId="7A6FA3C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22 500,00</w:t>
            </w:r>
          </w:p>
        </w:tc>
        <w:tc>
          <w:tcPr>
            <w:tcW w:w="855" w:type="dxa"/>
            <w:tcBorders>
              <w:top w:val="nil"/>
              <w:left w:val="nil"/>
              <w:bottom w:val="single" w:sz="4" w:space="0" w:color="auto"/>
              <w:right w:val="single" w:sz="4" w:space="0" w:color="auto"/>
            </w:tcBorders>
            <w:noWrap/>
            <w:vAlign w:val="center"/>
            <w:hideMark/>
          </w:tcPr>
          <w:p w14:paraId="27EA1BE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25,00</w:t>
            </w:r>
          </w:p>
        </w:tc>
      </w:tr>
      <w:tr w:rsidR="0050758C" w:rsidRPr="0050758C" w14:paraId="6D5EAEA5"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1F1214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3.7 (Jalon 4 p) : Dans le cadre de l’allocation de nouvelles concessions forestières industrielles, les mesures efficaces d’évaluation, les standards de qualité et les procédures prévues par le Code forestier (...) sont respectés comme prévu dans le cadre réglementaire.</w:t>
            </w:r>
          </w:p>
        </w:tc>
        <w:tc>
          <w:tcPr>
            <w:tcW w:w="710" w:type="dxa"/>
            <w:tcBorders>
              <w:top w:val="nil"/>
              <w:left w:val="nil"/>
              <w:bottom w:val="single" w:sz="4" w:space="0" w:color="auto"/>
              <w:right w:val="single" w:sz="4" w:space="0" w:color="auto"/>
            </w:tcBorders>
            <w:shd w:val="clear" w:color="000000" w:fill="FFFFFF"/>
            <w:noWrap/>
            <w:vAlign w:val="center"/>
            <w:hideMark/>
          </w:tcPr>
          <w:p w14:paraId="2A97301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051D714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5590434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1A70FBDE"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0,00</w:t>
            </w:r>
          </w:p>
        </w:tc>
        <w:tc>
          <w:tcPr>
            <w:tcW w:w="992" w:type="dxa"/>
            <w:tcBorders>
              <w:top w:val="nil"/>
              <w:left w:val="nil"/>
              <w:bottom w:val="single" w:sz="4" w:space="0" w:color="auto"/>
              <w:right w:val="single" w:sz="4" w:space="0" w:color="auto"/>
            </w:tcBorders>
            <w:noWrap/>
            <w:vAlign w:val="center"/>
            <w:hideMark/>
          </w:tcPr>
          <w:p w14:paraId="7B7B32A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4053746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5CA4982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855" w:type="dxa"/>
            <w:tcBorders>
              <w:top w:val="nil"/>
              <w:left w:val="nil"/>
              <w:bottom w:val="single" w:sz="4" w:space="0" w:color="auto"/>
              <w:right w:val="single" w:sz="4" w:space="0" w:color="auto"/>
            </w:tcBorders>
            <w:noWrap/>
            <w:vAlign w:val="center"/>
            <w:hideMark/>
          </w:tcPr>
          <w:p w14:paraId="316E3E74"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#DIV/0!</w:t>
            </w:r>
          </w:p>
        </w:tc>
      </w:tr>
      <w:tr w:rsidR="0050758C" w:rsidRPr="0050758C" w14:paraId="42EA6834"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645EED3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3.8 (Jalon 4 q) : Le décret formalisant la levée du moratoire sera adopté seulement après la réalisation, sur base d’un processus consultatif, d’une programmation géographique des futures allocations en adéquation avec le Décret Présidentiel n° 05/116 du 24 octobre 2005.</w:t>
            </w:r>
          </w:p>
        </w:tc>
        <w:tc>
          <w:tcPr>
            <w:tcW w:w="710" w:type="dxa"/>
            <w:tcBorders>
              <w:top w:val="nil"/>
              <w:left w:val="nil"/>
              <w:bottom w:val="single" w:sz="4" w:space="0" w:color="auto"/>
              <w:right w:val="single" w:sz="4" w:space="0" w:color="auto"/>
            </w:tcBorders>
            <w:shd w:val="clear" w:color="000000" w:fill="FFFFFF"/>
            <w:noWrap/>
            <w:vAlign w:val="center"/>
            <w:hideMark/>
          </w:tcPr>
          <w:p w14:paraId="28BF722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538B4930"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21839C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144 000,00</w:t>
            </w:r>
          </w:p>
        </w:tc>
        <w:tc>
          <w:tcPr>
            <w:tcW w:w="992" w:type="dxa"/>
            <w:tcBorders>
              <w:top w:val="nil"/>
              <w:left w:val="nil"/>
              <w:bottom w:val="single" w:sz="4" w:space="0" w:color="auto"/>
              <w:right w:val="single" w:sz="4" w:space="0" w:color="auto"/>
            </w:tcBorders>
            <w:shd w:val="clear" w:color="000000" w:fill="FFFFFF"/>
            <w:vAlign w:val="center"/>
            <w:hideMark/>
          </w:tcPr>
          <w:p w14:paraId="5114708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72 000,00</w:t>
            </w:r>
          </w:p>
        </w:tc>
        <w:tc>
          <w:tcPr>
            <w:tcW w:w="992" w:type="dxa"/>
            <w:tcBorders>
              <w:top w:val="nil"/>
              <w:left w:val="nil"/>
              <w:bottom w:val="single" w:sz="4" w:space="0" w:color="auto"/>
              <w:right w:val="single" w:sz="4" w:space="0" w:color="auto"/>
            </w:tcBorders>
            <w:noWrap/>
            <w:vAlign w:val="center"/>
            <w:hideMark/>
          </w:tcPr>
          <w:p w14:paraId="182D41E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22 000,00</w:t>
            </w:r>
          </w:p>
        </w:tc>
        <w:tc>
          <w:tcPr>
            <w:tcW w:w="1001" w:type="dxa"/>
            <w:tcBorders>
              <w:top w:val="nil"/>
              <w:left w:val="nil"/>
              <w:bottom w:val="single" w:sz="4" w:space="0" w:color="auto"/>
              <w:right w:val="single" w:sz="4" w:space="0" w:color="auto"/>
            </w:tcBorders>
            <w:noWrap/>
            <w:vAlign w:val="center"/>
            <w:hideMark/>
          </w:tcPr>
          <w:p w14:paraId="1B4645D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22 000,00</w:t>
            </w:r>
          </w:p>
        </w:tc>
        <w:tc>
          <w:tcPr>
            <w:tcW w:w="709" w:type="dxa"/>
            <w:tcBorders>
              <w:top w:val="nil"/>
              <w:left w:val="nil"/>
              <w:bottom w:val="single" w:sz="4" w:space="0" w:color="auto"/>
              <w:right w:val="single" w:sz="4" w:space="0" w:color="auto"/>
            </w:tcBorders>
            <w:noWrap/>
            <w:vAlign w:val="center"/>
            <w:hideMark/>
          </w:tcPr>
          <w:p w14:paraId="71F1F37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50 000,00</w:t>
            </w:r>
          </w:p>
        </w:tc>
        <w:tc>
          <w:tcPr>
            <w:tcW w:w="855" w:type="dxa"/>
            <w:tcBorders>
              <w:top w:val="nil"/>
              <w:left w:val="nil"/>
              <w:bottom w:val="single" w:sz="4" w:space="0" w:color="auto"/>
              <w:right w:val="single" w:sz="4" w:space="0" w:color="auto"/>
            </w:tcBorders>
            <w:noWrap/>
            <w:vAlign w:val="center"/>
            <w:hideMark/>
          </w:tcPr>
          <w:p w14:paraId="6A15019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30,56</w:t>
            </w:r>
          </w:p>
        </w:tc>
      </w:tr>
      <w:tr w:rsidR="0050758C" w:rsidRPr="0050758C" w14:paraId="3260D801"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35AC59C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3.9 (Jalon 4 r) : Élaborer de manière participative et adopter un Plan d’ici [fin 2025] pour assurer la protection effective des aires protégées existantes et étendre les espaces sous statut de protection à 30%, au minimum du territoire national d’ici à 2030.</w:t>
            </w:r>
          </w:p>
        </w:tc>
        <w:tc>
          <w:tcPr>
            <w:tcW w:w="710" w:type="dxa"/>
            <w:tcBorders>
              <w:top w:val="nil"/>
              <w:left w:val="nil"/>
              <w:bottom w:val="single" w:sz="4" w:space="0" w:color="auto"/>
              <w:right w:val="single" w:sz="4" w:space="0" w:color="auto"/>
            </w:tcBorders>
            <w:shd w:val="clear" w:color="000000" w:fill="FFFFFF"/>
            <w:noWrap/>
            <w:vAlign w:val="center"/>
            <w:hideMark/>
          </w:tcPr>
          <w:p w14:paraId="2FFCD45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116A545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37332FF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124 000,00</w:t>
            </w:r>
          </w:p>
        </w:tc>
        <w:tc>
          <w:tcPr>
            <w:tcW w:w="992" w:type="dxa"/>
            <w:tcBorders>
              <w:top w:val="nil"/>
              <w:left w:val="nil"/>
              <w:bottom w:val="single" w:sz="4" w:space="0" w:color="auto"/>
              <w:right w:val="single" w:sz="4" w:space="0" w:color="auto"/>
            </w:tcBorders>
            <w:shd w:val="clear" w:color="000000" w:fill="FFFFFF"/>
            <w:vAlign w:val="center"/>
            <w:hideMark/>
          </w:tcPr>
          <w:p w14:paraId="41C3780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40 000,00</w:t>
            </w:r>
          </w:p>
        </w:tc>
        <w:tc>
          <w:tcPr>
            <w:tcW w:w="992" w:type="dxa"/>
            <w:tcBorders>
              <w:top w:val="nil"/>
              <w:left w:val="nil"/>
              <w:bottom w:val="single" w:sz="4" w:space="0" w:color="auto"/>
              <w:right w:val="single" w:sz="4" w:space="0" w:color="auto"/>
            </w:tcBorders>
            <w:noWrap/>
            <w:vAlign w:val="center"/>
            <w:hideMark/>
          </w:tcPr>
          <w:p w14:paraId="02DFD2C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13 800,00</w:t>
            </w:r>
          </w:p>
        </w:tc>
        <w:tc>
          <w:tcPr>
            <w:tcW w:w="1001" w:type="dxa"/>
            <w:tcBorders>
              <w:top w:val="nil"/>
              <w:left w:val="nil"/>
              <w:bottom w:val="single" w:sz="4" w:space="0" w:color="auto"/>
              <w:right w:val="single" w:sz="4" w:space="0" w:color="auto"/>
            </w:tcBorders>
            <w:noWrap/>
            <w:vAlign w:val="center"/>
            <w:hideMark/>
          </w:tcPr>
          <w:p w14:paraId="5FA6AF6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13 800,00</w:t>
            </w:r>
          </w:p>
        </w:tc>
        <w:tc>
          <w:tcPr>
            <w:tcW w:w="709" w:type="dxa"/>
            <w:tcBorders>
              <w:top w:val="nil"/>
              <w:left w:val="nil"/>
              <w:bottom w:val="single" w:sz="4" w:space="0" w:color="auto"/>
              <w:right w:val="single" w:sz="4" w:space="0" w:color="auto"/>
            </w:tcBorders>
            <w:noWrap/>
            <w:vAlign w:val="center"/>
            <w:hideMark/>
          </w:tcPr>
          <w:p w14:paraId="18A4E83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26 200,00</w:t>
            </w:r>
          </w:p>
        </w:tc>
        <w:tc>
          <w:tcPr>
            <w:tcW w:w="855" w:type="dxa"/>
            <w:tcBorders>
              <w:top w:val="nil"/>
              <w:left w:val="nil"/>
              <w:bottom w:val="single" w:sz="4" w:space="0" w:color="auto"/>
              <w:right w:val="single" w:sz="4" w:space="0" w:color="auto"/>
            </w:tcBorders>
            <w:noWrap/>
            <w:vAlign w:val="center"/>
            <w:hideMark/>
          </w:tcPr>
          <w:p w14:paraId="096CEA3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34,50</w:t>
            </w:r>
          </w:p>
        </w:tc>
      </w:tr>
      <w:tr w:rsidR="0050758C" w:rsidRPr="0050758C" w14:paraId="6997EE97"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484B6A6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3.10 (jalon 4 s) : Élaboration et adoption d'un guide de bonne pratique d’ici fin 2023, en vue d’atteindre 5 millions d’hectares au total de Concessions Forestières des Forêts des Communautés Locales (CFCL) d’ici à fin 2031. Jalon pris en charge totalement par le PGDF.</w:t>
            </w:r>
          </w:p>
        </w:tc>
        <w:tc>
          <w:tcPr>
            <w:tcW w:w="710" w:type="dxa"/>
            <w:tcBorders>
              <w:top w:val="nil"/>
              <w:left w:val="nil"/>
              <w:bottom w:val="single" w:sz="4" w:space="0" w:color="auto"/>
              <w:right w:val="single" w:sz="4" w:space="0" w:color="auto"/>
            </w:tcBorders>
            <w:shd w:val="clear" w:color="000000" w:fill="FFFFFF"/>
            <w:noWrap/>
            <w:vAlign w:val="center"/>
            <w:hideMark/>
          </w:tcPr>
          <w:p w14:paraId="103E4C5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410435D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59918F4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4033914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0,00</w:t>
            </w:r>
          </w:p>
        </w:tc>
        <w:tc>
          <w:tcPr>
            <w:tcW w:w="992" w:type="dxa"/>
            <w:tcBorders>
              <w:top w:val="nil"/>
              <w:left w:val="nil"/>
              <w:bottom w:val="single" w:sz="4" w:space="0" w:color="auto"/>
              <w:right w:val="single" w:sz="4" w:space="0" w:color="auto"/>
            </w:tcBorders>
            <w:noWrap/>
            <w:vAlign w:val="center"/>
            <w:hideMark/>
          </w:tcPr>
          <w:p w14:paraId="1558565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78F5E8E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0CF4CBD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855" w:type="dxa"/>
            <w:tcBorders>
              <w:top w:val="nil"/>
              <w:left w:val="nil"/>
              <w:bottom w:val="single" w:sz="4" w:space="0" w:color="auto"/>
              <w:right w:val="single" w:sz="4" w:space="0" w:color="auto"/>
            </w:tcBorders>
            <w:noWrap/>
            <w:vAlign w:val="center"/>
            <w:hideMark/>
          </w:tcPr>
          <w:p w14:paraId="263C1254"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#DIV/0!</w:t>
            </w:r>
          </w:p>
        </w:tc>
      </w:tr>
      <w:tr w:rsidR="0050758C" w:rsidRPr="0050758C" w14:paraId="1DC89C91"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04A8FB0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3.11 (Jalon 4 t) : Les données de déforestation et de dégradation des forêts générées à l’échelle nationale et provinciale par le SNSF, ainsi que les données [clés] de l’inventaire forestier national, sont mises à jour annuellement et améliorées graduellement.</w:t>
            </w:r>
          </w:p>
        </w:tc>
        <w:tc>
          <w:tcPr>
            <w:tcW w:w="710" w:type="dxa"/>
            <w:tcBorders>
              <w:top w:val="nil"/>
              <w:left w:val="nil"/>
              <w:bottom w:val="single" w:sz="4" w:space="0" w:color="auto"/>
              <w:right w:val="single" w:sz="4" w:space="0" w:color="auto"/>
            </w:tcBorders>
            <w:shd w:val="clear" w:color="000000" w:fill="FFFFFF"/>
            <w:noWrap/>
            <w:vAlign w:val="center"/>
            <w:hideMark/>
          </w:tcPr>
          <w:p w14:paraId="61B35C7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38F0078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6B5E3B0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239 628,51</w:t>
            </w:r>
          </w:p>
        </w:tc>
        <w:tc>
          <w:tcPr>
            <w:tcW w:w="992" w:type="dxa"/>
            <w:tcBorders>
              <w:top w:val="nil"/>
              <w:left w:val="nil"/>
              <w:bottom w:val="single" w:sz="4" w:space="0" w:color="auto"/>
              <w:right w:val="single" w:sz="4" w:space="0" w:color="auto"/>
            </w:tcBorders>
            <w:shd w:val="clear" w:color="000000" w:fill="FFFFFF"/>
            <w:vAlign w:val="center"/>
            <w:hideMark/>
          </w:tcPr>
          <w:p w14:paraId="190C86F1"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50 000,00</w:t>
            </w:r>
          </w:p>
        </w:tc>
        <w:tc>
          <w:tcPr>
            <w:tcW w:w="992" w:type="dxa"/>
            <w:tcBorders>
              <w:top w:val="nil"/>
              <w:left w:val="nil"/>
              <w:bottom w:val="single" w:sz="4" w:space="0" w:color="auto"/>
              <w:right w:val="single" w:sz="4" w:space="0" w:color="auto"/>
            </w:tcBorders>
            <w:noWrap/>
            <w:vAlign w:val="center"/>
            <w:hideMark/>
          </w:tcPr>
          <w:p w14:paraId="10A192F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27 460,00</w:t>
            </w:r>
          </w:p>
        </w:tc>
        <w:tc>
          <w:tcPr>
            <w:tcW w:w="1001" w:type="dxa"/>
            <w:tcBorders>
              <w:top w:val="nil"/>
              <w:left w:val="nil"/>
              <w:bottom w:val="single" w:sz="4" w:space="0" w:color="auto"/>
              <w:right w:val="single" w:sz="4" w:space="0" w:color="auto"/>
            </w:tcBorders>
            <w:noWrap/>
            <w:vAlign w:val="center"/>
            <w:hideMark/>
          </w:tcPr>
          <w:p w14:paraId="218F9ED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27 460,00</w:t>
            </w:r>
          </w:p>
        </w:tc>
        <w:tc>
          <w:tcPr>
            <w:tcW w:w="709" w:type="dxa"/>
            <w:tcBorders>
              <w:top w:val="nil"/>
              <w:left w:val="nil"/>
              <w:bottom w:val="single" w:sz="4" w:space="0" w:color="auto"/>
              <w:right w:val="single" w:sz="4" w:space="0" w:color="auto"/>
            </w:tcBorders>
            <w:noWrap/>
            <w:vAlign w:val="center"/>
            <w:hideMark/>
          </w:tcPr>
          <w:p w14:paraId="1DCC7B4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22 540,00</w:t>
            </w:r>
          </w:p>
        </w:tc>
        <w:tc>
          <w:tcPr>
            <w:tcW w:w="855" w:type="dxa"/>
            <w:tcBorders>
              <w:top w:val="nil"/>
              <w:left w:val="nil"/>
              <w:bottom w:val="single" w:sz="4" w:space="0" w:color="auto"/>
              <w:right w:val="single" w:sz="4" w:space="0" w:color="auto"/>
            </w:tcBorders>
            <w:noWrap/>
            <w:vAlign w:val="center"/>
            <w:hideMark/>
          </w:tcPr>
          <w:p w14:paraId="48A284A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54,92</w:t>
            </w:r>
          </w:p>
        </w:tc>
      </w:tr>
      <w:tr w:rsidR="0050758C" w:rsidRPr="0050758C" w14:paraId="17060B42"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342B379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3.12 (Jalon 4 u) : Les Rapports biennaux actualisés (BUR) sont soumis à la CCNUCC.</w:t>
            </w:r>
          </w:p>
        </w:tc>
        <w:tc>
          <w:tcPr>
            <w:tcW w:w="710" w:type="dxa"/>
            <w:tcBorders>
              <w:top w:val="nil"/>
              <w:left w:val="nil"/>
              <w:bottom w:val="single" w:sz="4" w:space="0" w:color="auto"/>
              <w:right w:val="single" w:sz="4" w:space="0" w:color="auto"/>
            </w:tcBorders>
            <w:shd w:val="clear" w:color="000000" w:fill="FFFFFF"/>
            <w:noWrap/>
            <w:vAlign w:val="center"/>
            <w:hideMark/>
          </w:tcPr>
          <w:p w14:paraId="7900C90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2E2C6F8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79BF563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50 000,00</w:t>
            </w:r>
          </w:p>
        </w:tc>
        <w:tc>
          <w:tcPr>
            <w:tcW w:w="992" w:type="dxa"/>
            <w:tcBorders>
              <w:top w:val="nil"/>
              <w:left w:val="nil"/>
              <w:bottom w:val="single" w:sz="4" w:space="0" w:color="auto"/>
              <w:right w:val="single" w:sz="4" w:space="0" w:color="auto"/>
            </w:tcBorders>
            <w:shd w:val="clear" w:color="000000" w:fill="FFFFFF"/>
            <w:vAlign w:val="center"/>
            <w:hideMark/>
          </w:tcPr>
          <w:p w14:paraId="3C5AB94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20 000,00</w:t>
            </w:r>
          </w:p>
        </w:tc>
        <w:tc>
          <w:tcPr>
            <w:tcW w:w="992" w:type="dxa"/>
            <w:tcBorders>
              <w:top w:val="nil"/>
              <w:left w:val="nil"/>
              <w:bottom w:val="nil"/>
              <w:right w:val="nil"/>
            </w:tcBorders>
            <w:noWrap/>
            <w:vAlign w:val="bottom"/>
            <w:hideMark/>
          </w:tcPr>
          <w:p w14:paraId="7F835945" w14:textId="77777777" w:rsidR="0050758C" w:rsidRPr="0050758C" w:rsidRDefault="0050758C">
            <w:pPr>
              <w:jc w:val="right"/>
              <w:rPr>
                <w:rFonts w:ascii="Avenir" w:hAnsi="Avenir"/>
                <w:color w:val="000000"/>
                <w:sz w:val="16"/>
                <w:szCs w:val="16"/>
              </w:rPr>
            </w:pPr>
            <w:r w:rsidRPr="0050758C">
              <w:rPr>
                <w:rFonts w:ascii="Avenir" w:hAnsi="Avenir"/>
                <w:color w:val="000000"/>
                <w:sz w:val="16"/>
                <w:szCs w:val="16"/>
              </w:rPr>
              <w:t>19 460,00</w:t>
            </w:r>
          </w:p>
        </w:tc>
        <w:tc>
          <w:tcPr>
            <w:tcW w:w="1001" w:type="dxa"/>
            <w:tcBorders>
              <w:top w:val="nil"/>
              <w:left w:val="nil"/>
              <w:bottom w:val="single" w:sz="4" w:space="0" w:color="auto"/>
              <w:right w:val="single" w:sz="4" w:space="0" w:color="auto"/>
            </w:tcBorders>
            <w:noWrap/>
            <w:vAlign w:val="center"/>
            <w:hideMark/>
          </w:tcPr>
          <w:p w14:paraId="6D04A2E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19 460,00</w:t>
            </w:r>
          </w:p>
        </w:tc>
        <w:tc>
          <w:tcPr>
            <w:tcW w:w="709" w:type="dxa"/>
            <w:tcBorders>
              <w:top w:val="nil"/>
              <w:left w:val="nil"/>
              <w:bottom w:val="single" w:sz="4" w:space="0" w:color="auto"/>
              <w:right w:val="single" w:sz="4" w:space="0" w:color="auto"/>
            </w:tcBorders>
            <w:noWrap/>
            <w:vAlign w:val="center"/>
            <w:hideMark/>
          </w:tcPr>
          <w:p w14:paraId="65EA550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540,00</w:t>
            </w:r>
          </w:p>
        </w:tc>
        <w:tc>
          <w:tcPr>
            <w:tcW w:w="855" w:type="dxa"/>
            <w:tcBorders>
              <w:top w:val="nil"/>
              <w:left w:val="nil"/>
              <w:bottom w:val="single" w:sz="4" w:space="0" w:color="auto"/>
              <w:right w:val="single" w:sz="4" w:space="0" w:color="auto"/>
            </w:tcBorders>
            <w:noWrap/>
            <w:vAlign w:val="center"/>
            <w:hideMark/>
          </w:tcPr>
          <w:p w14:paraId="69CDCB8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97,30</w:t>
            </w:r>
          </w:p>
        </w:tc>
      </w:tr>
      <w:tr w:rsidR="0050758C" w:rsidRPr="0050758C" w14:paraId="5B90A812"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DEA973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3.13 (jalon 4 v) : Le Conseil Consultatif National des Forêts (CCNF) est opérationnel et fonctionnel et des Conseils Consultatifs Provinciaux des Forêts (CCPF) sont fonctionnels dans les provinces PIREDD d’ici [fin 2024], avec au moins deux sessions par an.</w:t>
            </w:r>
          </w:p>
        </w:tc>
        <w:tc>
          <w:tcPr>
            <w:tcW w:w="710" w:type="dxa"/>
            <w:tcBorders>
              <w:top w:val="nil"/>
              <w:left w:val="nil"/>
              <w:bottom w:val="single" w:sz="4" w:space="0" w:color="auto"/>
              <w:right w:val="single" w:sz="4" w:space="0" w:color="auto"/>
            </w:tcBorders>
            <w:shd w:val="clear" w:color="000000" w:fill="FFFFFF"/>
            <w:noWrap/>
            <w:vAlign w:val="center"/>
            <w:hideMark/>
          </w:tcPr>
          <w:p w14:paraId="0BB7708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176474D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03E3EDE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99 938,00</w:t>
            </w:r>
          </w:p>
        </w:tc>
        <w:tc>
          <w:tcPr>
            <w:tcW w:w="992" w:type="dxa"/>
            <w:tcBorders>
              <w:top w:val="nil"/>
              <w:left w:val="nil"/>
              <w:bottom w:val="single" w:sz="4" w:space="0" w:color="auto"/>
              <w:right w:val="single" w:sz="4" w:space="0" w:color="auto"/>
            </w:tcBorders>
            <w:shd w:val="clear" w:color="000000" w:fill="FFFFFF"/>
            <w:vAlign w:val="center"/>
            <w:hideMark/>
          </w:tcPr>
          <w:p w14:paraId="5A2A391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20 000,00</w:t>
            </w:r>
          </w:p>
        </w:tc>
        <w:tc>
          <w:tcPr>
            <w:tcW w:w="992" w:type="dxa"/>
            <w:tcBorders>
              <w:top w:val="nil"/>
              <w:left w:val="nil"/>
              <w:bottom w:val="nil"/>
              <w:right w:val="nil"/>
            </w:tcBorders>
            <w:noWrap/>
            <w:vAlign w:val="bottom"/>
            <w:hideMark/>
          </w:tcPr>
          <w:p w14:paraId="20DD0B76" w14:textId="77777777" w:rsidR="0050758C" w:rsidRPr="0050758C" w:rsidRDefault="0050758C">
            <w:pPr>
              <w:jc w:val="right"/>
              <w:rPr>
                <w:rFonts w:ascii="Avenir" w:hAnsi="Avenir"/>
                <w:color w:val="000000"/>
                <w:sz w:val="16"/>
                <w:szCs w:val="16"/>
              </w:rPr>
            </w:pPr>
            <w:r w:rsidRPr="0050758C">
              <w:rPr>
                <w:rFonts w:ascii="Avenir" w:hAnsi="Avenir"/>
                <w:color w:val="000000"/>
                <w:sz w:val="16"/>
                <w:szCs w:val="16"/>
              </w:rPr>
              <w:t>8 662,00</w:t>
            </w:r>
          </w:p>
        </w:tc>
        <w:tc>
          <w:tcPr>
            <w:tcW w:w="1001" w:type="dxa"/>
            <w:tcBorders>
              <w:top w:val="nil"/>
              <w:left w:val="nil"/>
              <w:bottom w:val="single" w:sz="4" w:space="0" w:color="auto"/>
              <w:right w:val="single" w:sz="4" w:space="0" w:color="auto"/>
            </w:tcBorders>
            <w:noWrap/>
            <w:vAlign w:val="center"/>
            <w:hideMark/>
          </w:tcPr>
          <w:p w14:paraId="5B0D7B1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8 662,00</w:t>
            </w:r>
          </w:p>
        </w:tc>
        <w:tc>
          <w:tcPr>
            <w:tcW w:w="709" w:type="dxa"/>
            <w:tcBorders>
              <w:top w:val="nil"/>
              <w:left w:val="nil"/>
              <w:bottom w:val="single" w:sz="4" w:space="0" w:color="auto"/>
              <w:right w:val="single" w:sz="4" w:space="0" w:color="auto"/>
            </w:tcBorders>
            <w:noWrap/>
            <w:vAlign w:val="center"/>
            <w:hideMark/>
          </w:tcPr>
          <w:p w14:paraId="2F39122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11 338,00</w:t>
            </w:r>
          </w:p>
        </w:tc>
        <w:tc>
          <w:tcPr>
            <w:tcW w:w="855" w:type="dxa"/>
            <w:tcBorders>
              <w:top w:val="nil"/>
              <w:left w:val="nil"/>
              <w:bottom w:val="single" w:sz="4" w:space="0" w:color="auto"/>
              <w:right w:val="single" w:sz="4" w:space="0" w:color="auto"/>
            </w:tcBorders>
            <w:noWrap/>
            <w:vAlign w:val="center"/>
            <w:hideMark/>
          </w:tcPr>
          <w:p w14:paraId="3B7A3D5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43,31</w:t>
            </w:r>
          </w:p>
        </w:tc>
      </w:tr>
      <w:tr w:rsidR="0050758C" w:rsidRPr="0050758C" w14:paraId="13D1BD5B"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78C967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3.14 (jalon 4 x) : Le Niveau d’émissions de référence des forêts pour la réduction des émissions dues à la déforestation en RDC (NERF) est mis à jour d’ici fin 2022 et soumis à la CCNUCC.</w:t>
            </w:r>
          </w:p>
        </w:tc>
        <w:tc>
          <w:tcPr>
            <w:tcW w:w="710" w:type="dxa"/>
            <w:tcBorders>
              <w:top w:val="nil"/>
              <w:left w:val="nil"/>
              <w:bottom w:val="single" w:sz="4" w:space="0" w:color="auto"/>
              <w:right w:val="single" w:sz="4" w:space="0" w:color="auto"/>
            </w:tcBorders>
            <w:shd w:val="clear" w:color="000000" w:fill="FFFFFF"/>
            <w:noWrap/>
            <w:vAlign w:val="center"/>
            <w:hideMark/>
          </w:tcPr>
          <w:p w14:paraId="47759B4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05D33EF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1423AF2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235 500,00</w:t>
            </w:r>
          </w:p>
        </w:tc>
        <w:tc>
          <w:tcPr>
            <w:tcW w:w="992" w:type="dxa"/>
            <w:tcBorders>
              <w:top w:val="nil"/>
              <w:left w:val="nil"/>
              <w:bottom w:val="single" w:sz="4" w:space="0" w:color="auto"/>
              <w:right w:val="single" w:sz="4" w:space="0" w:color="auto"/>
            </w:tcBorders>
            <w:shd w:val="clear" w:color="000000" w:fill="FFFFFF"/>
            <w:vAlign w:val="center"/>
            <w:hideMark/>
          </w:tcPr>
          <w:p w14:paraId="38040739"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110 757,00</w:t>
            </w:r>
          </w:p>
        </w:tc>
        <w:tc>
          <w:tcPr>
            <w:tcW w:w="992" w:type="dxa"/>
            <w:tcBorders>
              <w:top w:val="nil"/>
              <w:left w:val="nil"/>
              <w:bottom w:val="nil"/>
              <w:right w:val="nil"/>
            </w:tcBorders>
            <w:noWrap/>
            <w:vAlign w:val="bottom"/>
            <w:hideMark/>
          </w:tcPr>
          <w:p w14:paraId="0D95E030" w14:textId="77777777" w:rsidR="0050758C" w:rsidRPr="0050758C" w:rsidRDefault="0050758C">
            <w:pPr>
              <w:jc w:val="right"/>
              <w:rPr>
                <w:rFonts w:ascii="Avenir" w:hAnsi="Avenir"/>
                <w:color w:val="000000"/>
                <w:sz w:val="16"/>
                <w:szCs w:val="16"/>
              </w:rPr>
            </w:pPr>
            <w:r w:rsidRPr="0050758C">
              <w:rPr>
                <w:rFonts w:ascii="Avenir" w:hAnsi="Avenir"/>
                <w:color w:val="000000"/>
                <w:sz w:val="16"/>
                <w:szCs w:val="16"/>
              </w:rPr>
              <w:t>24 800,00</w:t>
            </w:r>
          </w:p>
        </w:tc>
        <w:tc>
          <w:tcPr>
            <w:tcW w:w="1001" w:type="dxa"/>
            <w:tcBorders>
              <w:top w:val="nil"/>
              <w:left w:val="nil"/>
              <w:bottom w:val="single" w:sz="4" w:space="0" w:color="auto"/>
              <w:right w:val="single" w:sz="4" w:space="0" w:color="auto"/>
            </w:tcBorders>
            <w:noWrap/>
            <w:vAlign w:val="center"/>
            <w:hideMark/>
          </w:tcPr>
          <w:p w14:paraId="49C65A0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24 800,00</w:t>
            </w:r>
          </w:p>
        </w:tc>
        <w:tc>
          <w:tcPr>
            <w:tcW w:w="709" w:type="dxa"/>
            <w:tcBorders>
              <w:top w:val="nil"/>
              <w:left w:val="nil"/>
              <w:bottom w:val="single" w:sz="4" w:space="0" w:color="auto"/>
              <w:right w:val="single" w:sz="4" w:space="0" w:color="auto"/>
            </w:tcBorders>
            <w:noWrap/>
            <w:vAlign w:val="center"/>
            <w:hideMark/>
          </w:tcPr>
          <w:p w14:paraId="5979323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85 957,00</w:t>
            </w:r>
          </w:p>
        </w:tc>
        <w:tc>
          <w:tcPr>
            <w:tcW w:w="855" w:type="dxa"/>
            <w:tcBorders>
              <w:top w:val="nil"/>
              <w:left w:val="nil"/>
              <w:bottom w:val="single" w:sz="4" w:space="0" w:color="auto"/>
              <w:right w:val="single" w:sz="4" w:space="0" w:color="auto"/>
            </w:tcBorders>
            <w:noWrap/>
            <w:vAlign w:val="center"/>
            <w:hideMark/>
          </w:tcPr>
          <w:p w14:paraId="19880FC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22,39</w:t>
            </w:r>
          </w:p>
        </w:tc>
      </w:tr>
      <w:tr w:rsidR="0050758C" w:rsidRPr="0050758C" w14:paraId="66CE9CD7"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059F5C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3.15 Les capacités humaines et techniques du Ministère de l'Environnement et du Développement Durable dans la mise en œuvre de la politique forestière sont renforcées.</w:t>
            </w:r>
          </w:p>
        </w:tc>
        <w:tc>
          <w:tcPr>
            <w:tcW w:w="710" w:type="dxa"/>
            <w:tcBorders>
              <w:top w:val="nil"/>
              <w:left w:val="nil"/>
              <w:bottom w:val="single" w:sz="4" w:space="0" w:color="auto"/>
              <w:right w:val="single" w:sz="4" w:space="0" w:color="auto"/>
            </w:tcBorders>
            <w:shd w:val="clear" w:color="000000" w:fill="FFFFFF"/>
            <w:noWrap/>
            <w:vAlign w:val="center"/>
            <w:hideMark/>
          </w:tcPr>
          <w:p w14:paraId="46374D4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529B8EA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En/DDD</w:t>
            </w:r>
          </w:p>
        </w:tc>
        <w:tc>
          <w:tcPr>
            <w:tcW w:w="1134" w:type="dxa"/>
            <w:tcBorders>
              <w:top w:val="nil"/>
              <w:left w:val="nil"/>
              <w:bottom w:val="single" w:sz="4" w:space="0" w:color="auto"/>
              <w:right w:val="single" w:sz="4" w:space="0" w:color="auto"/>
            </w:tcBorders>
            <w:noWrap/>
            <w:vAlign w:val="center"/>
            <w:hideMark/>
          </w:tcPr>
          <w:p w14:paraId="34BC86E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384 900,00</w:t>
            </w:r>
          </w:p>
        </w:tc>
        <w:tc>
          <w:tcPr>
            <w:tcW w:w="992" w:type="dxa"/>
            <w:tcBorders>
              <w:top w:val="nil"/>
              <w:left w:val="nil"/>
              <w:bottom w:val="single" w:sz="4" w:space="0" w:color="auto"/>
              <w:right w:val="single" w:sz="4" w:space="0" w:color="auto"/>
            </w:tcBorders>
            <w:shd w:val="clear" w:color="000000" w:fill="FFFFFF"/>
            <w:vAlign w:val="center"/>
            <w:hideMark/>
          </w:tcPr>
          <w:p w14:paraId="3F90AE94"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218 979,76</w:t>
            </w:r>
          </w:p>
        </w:tc>
        <w:tc>
          <w:tcPr>
            <w:tcW w:w="992" w:type="dxa"/>
            <w:tcBorders>
              <w:top w:val="nil"/>
              <w:left w:val="nil"/>
              <w:bottom w:val="nil"/>
              <w:right w:val="nil"/>
            </w:tcBorders>
            <w:noWrap/>
            <w:vAlign w:val="bottom"/>
            <w:hideMark/>
          </w:tcPr>
          <w:p w14:paraId="2C862900" w14:textId="77777777" w:rsidR="0050758C" w:rsidRPr="0050758C" w:rsidRDefault="0050758C">
            <w:pPr>
              <w:jc w:val="right"/>
              <w:rPr>
                <w:rFonts w:ascii="Avenir" w:hAnsi="Avenir"/>
                <w:color w:val="000000"/>
                <w:sz w:val="16"/>
                <w:szCs w:val="16"/>
              </w:rPr>
            </w:pPr>
            <w:r w:rsidRPr="0050758C">
              <w:rPr>
                <w:rFonts w:ascii="Avenir" w:hAnsi="Avenir"/>
                <w:color w:val="000000"/>
                <w:sz w:val="16"/>
                <w:szCs w:val="16"/>
              </w:rPr>
              <w:t>153 868,00</w:t>
            </w:r>
          </w:p>
        </w:tc>
        <w:tc>
          <w:tcPr>
            <w:tcW w:w="1001" w:type="dxa"/>
            <w:tcBorders>
              <w:top w:val="nil"/>
              <w:left w:val="nil"/>
              <w:bottom w:val="single" w:sz="4" w:space="0" w:color="auto"/>
              <w:right w:val="single" w:sz="4" w:space="0" w:color="auto"/>
            </w:tcBorders>
            <w:noWrap/>
            <w:vAlign w:val="center"/>
            <w:hideMark/>
          </w:tcPr>
          <w:p w14:paraId="31DFB88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153 868,00</w:t>
            </w:r>
          </w:p>
        </w:tc>
        <w:tc>
          <w:tcPr>
            <w:tcW w:w="709" w:type="dxa"/>
            <w:tcBorders>
              <w:top w:val="nil"/>
              <w:left w:val="nil"/>
              <w:bottom w:val="single" w:sz="4" w:space="0" w:color="auto"/>
              <w:right w:val="single" w:sz="4" w:space="0" w:color="auto"/>
            </w:tcBorders>
            <w:noWrap/>
            <w:vAlign w:val="center"/>
            <w:hideMark/>
          </w:tcPr>
          <w:p w14:paraId="6EB79AA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65 111,76</w:t>
            </w:r>
          </w:p>
        </w:tc>
        <w:tc>
          <w:tcPr>
            <w:tcW w:w="855" w:type="dxa"/>
            <w:tcBorders>
              <w:top w:val="nil"/>
              <w:left w:val="nil"/>
              <w:bottom w:val="single" w:sz="4" w:space="0" w:color="auto"/>
              <w:right w:val="single" w:sz="4" w:space="0" w:color="auto"/>
            </w:tcBorders>
            <w:noWrap/>
            <w:vAlign w:val="center"/>
            <w:hideMark/>
          </w:tcPr>
          <w:p w14:paraId="14B45FD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70,27</w:t>
            </w:r>
          </w:p>
        </w:tc>
      </w:tr>
      <w:tr w:rsidR="0050758C" w:rsidRPr="0050758C" w14:paraId="31DBE2A2"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1F63D21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3 : FORET</w:t>
            </w:r>
          </w:p>
        </w:tc>
        <w:tc>
          <w:tcPr>
            <w:tcW w:w="710" w:type="dxa"/>
            <w:tcBorders>
              <w:top w:val="nil"/>
              <w:left w:val="nil"/>
              <w:bottom w:val="single" w:sz="4" w:space="0" w:color="auto"/>
              <w:right w:val="single" w:sz="4" w:space="0" w:color="auto"/>
            </w:tcBorders>
            <w:shd w:val="clear" w:color="000000" w:fill="C0CF3A"/>
            <w:noWrap/>
            <w:vAlign w:val="center"/>
            <w:hideMark/>
          </w:tcPr>
          <w:p w14:paraId="537FFBC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6FEB9E7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3D2B47D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1 786 973,51</w:t>
            </w:r>
          </w:p>
        </w:tc>
        <w:tc>
          <w:tcPr>
            <w:tcW w:w="992" w:type="dxa"/>
            <w:tcBorders>
              <w:top w:val="nil"/>
              <w:left w:val="nil"/>
              <w:bottom w:val="single" w:sz="4" w:space="0" w:color="auto"/>
              <w:right w:val="single" w:sz="4" w:space="0" w:color="auto"/>
            </w:tcBorders>
            <w:shd w:val="clear" w:color="000000" w:fill="C0CF3A"/>
            <w:noWrap/>
            <w:vAlign w:val="center"/>
            <w:hideMark/>
          </w:tcPr>
          <w:p w14:paraId="40710D9A"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893 486,76</w:t>
            </w:r>
          </w:p>
        </w:tc>
        <w:tc>
          <w:tcPr>
            <w:tcW w:w="992" w:type="dxa"/>
            <w:tcBorders>
              <w:top w:val="single" w:sz="4" w:space="0" w:color="auto"/>
              <w:left w:val="nil"/>
              <w:bottom w:val="single" w:sz="4" w:space="0" w:color="auto"/>
              <w:right w:val="single" w:sz="4" w:space="0" w:color="auto"/>
            </w:tcBorders>
            <w:shd w:val="clear" w:color="000000" w:fill="C0CF3A"/>
            <w:noWrap/>
            <w:vAlign w:val="center"/>
            <w:hideMark/>
          </w:tcPr>
          <w:p w14:paraId="4C23B3B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517 577,00</w:t>
            </w:r>
          </w:p>
        </w:tc>
        <w:tc>
          <w:tcPr>
            <w:tcW w:w="1001" w:type="dxa"/>
            <w:tcBorders>
              <w:top w:val="nil"/>
              <w:left w:val="nil"/>
              <w:bottom w:val="single" w:sz="4" w:space="0" w:color="auto"/>
              <w:right w:val="single" w:sz="4" w:space="0" w:color="auto"/>
            </w:tcBorders>
            <w:shd w:val="clear" w:color="000000" w:fill="C0CF3A"/>
            <w:noWrap/>
            <w:vAlign w:val="center"/>
            <w:hideMark/>
          </w:tcPr>
          <w:p w14:paraId="10B3885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517 577,00</w:t>
            </w:r>
          </w:p>
        </w:tc>
        <w:tc>
          <w:tcPr>
            <w:tcW w:w="709" w:type="dxa"/>
            <w:tcBorders>
              <w:top w:val="nil"/>
              <w:left w:val="nil"/>
              <w:bottom w:val="single" w:sz="4" w:space="0" w:color="auto"/>
              <w:right w:val="single" w:sz="4" w:space="0" w:color="auto"/>
            </w:tcBorders>
            <w:shd w:val="clear" w:color="000000" w:fill="C0CF3A"/>
            <w:noWrap/>
            <w:vAlign w:val="center"/>
            <w:hideMark/>
          </w:tcPr>
          <w:p w14:paraId="528174C6"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375 909,76</w:t>
            </w:r>
          </w:p>
        </w:tc>
        <w:tc>
          <w:tcPr>
            <w:tcW w:w="855" w:type="dxa"/>
            <w:tcBorders>
              <w:top w:val="nil"/>
              <w:left w:val="nil"/>
              <w:bottom w:val="single" w:sz="4" w:space="0" w:color="auto"/>
              <w:right w:val="single" w:sz="4" w:space="0" w:color="auto"/>
            </w:tcBorders>
            <w:shd w:val="clear" w:color="000000" w:fill="C0CF3A"/>
            <w:noWrap/>
            <w:vAlign w:val="center"/>
            <w:hideMark/>
          </w:tcPr>
          <w:p w14:paraId="4B69B89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57,93</w:t>
            </w:r>
          </w:p>
        </w:tc>
      </w:tr>
      <w:tr w:rsidR="0050758C" w:rsidRPr="0050758C" w14:paraId="12447C99"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8EAADB"/>
            <w:noWrap/>
            <w:vAlign w:val="center"/>
            <w:hideMark/>
          </w:tcPr>
          <w:p w14:paraId="5B922FE6" w14:textId="77777777" w:rsidR="0050758C" w:rsidRPr="0050758C" w:rsidRDefault="0050758C">
            <w:pPr>
              <w:rPr>
                <w:rFonts w:ascii="Calibri" w:hAnsi="Calibri" w:cs="Calibri"/>
                <w:color w:val="1F3864"/>
                <w:sz w:val="16"/>
                <w:szCs w:val="16"/>
              </w:rPr>
            </w:pPr>
            <w:r w:rsidRPr="0050758C">
              <w:rPr>
                <w:rFonts w:ascii="Calibri" w:hAnsi="Calibri" w:cs="Calibri"/>
                <w:color w:val="1F3864"/>
                <w:sz w:val="16"/>
                <w:szCs w:val="16"/>
              </w:rPr>
              <w:t xml:space="preserve">Effet 4 : La RDC dispose d’une Politique des Populations et la met en œuvre. </w:t>
            </w:r>
          </w:p>
        </w:tc>
      </w:tr>
      <w:tr w:rsidR="0050758C" w:rsidRPr="0050758C" w14:paraId="2ED88BDC"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686CBE9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4 : DEMOGRAPHIE</w:t>
            </w:r>
          </w:p>
        </w:tc>
      </w:tr>
      <w:tr w:rsidR="0050758C" w:rsidRPr="0050758C" w14:paraId="7159830F"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447A4B1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4.1 (Jalon 7 b) : Le Comité national de population (CONAPO), y compris son secrétariat est redynamisé et ses comités provinciaux sont installés et redynamisés dans au moins 6 provinces d'ici 2023 et 4 autres dans au moins 4 provinces d'ici 2025.</w:t>
            </w:r>
          </w:p>
        </w:tc>
        <w:tc>
          <w:tcPr>
            <w:tcW w:w="710" w:type="dxa"/>
            <w:tcBorders>
              <w:top w:val="nil"/>
              <w:left w:val="nil"/>
              <w:bottom w:val="single" w:sz="4" w:space="0" w:color="auto"/>
              <w:right w:val="single" w:sz="4" w:space="0" w:color="auto"/>
            </w:tcBorders>
            <w:shd w:val="clear" w:color="000000" w:fill="FFFFFF"/>
            <w:noWrap/>
            <w:vAlign w:val="center"/>
            <w:hideMark/>
          </w:tcPr>
          <w:p w14:paraId="229EA45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3B137D4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PLAN/OCDD</w:t>
            </w:r>
          </w:p>
        </w:tc>
        <w:tc>
          <w:tcPr>
            <w:tcW w:w="1134" w:type="dxa"/>
            <w:tcBorders>
              <w:top w:val="nil"/>
              <w:left w:val="nil"/>
              <w:bottom w:val="single" w:sz="4" w:space="0" w:color="auto"/>
              <w:right w:val="single" w:sz="4" w:space="0" w:color="auto"/>
            </w:tcBorders>
            <w:noWrap/>
            <w:vAlign w:val="center"/>
            <w:hideMark/>
          </w:tcPr>
          <w:p w14:paraId="75BA57F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173 600,00</w:t>
            </w:r>
          </w:p>
        </w:tc>
        <w:tc>
          <w:tcPr>
            <w:tcW w:w="992" w:type="dxa"/>
            <w:tcBorders>
              <w:top w:val="nil"/>
              <w:left w:val="nil"/>
              <w:bottom w:val="single" w:sz="4" w:space="0" w:color="auto"/>
              <w:right w:val="single" w:sz="4" w:space="0" w:color="auto"/>
            </w:tcBorders>
            <w:shd w:val="clear" w:color="000000" w:fill="FFFFFF"/>
            <w:vAlign w:val="center"/>
            <w:hideMark/>
          </w:tcPr>
          <w:p w14:paraId="08CEC2D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92 225,00</w:t>
            </w:r>
          </w:p>
        </w:tc>
        <w:tc>
          <w:tcPr>
            <w:tcW w:w="992" w:type="dxa"/>
            <w:tcBorders>
              <w:top w:val="nil"/>
              <w:left w:val="nil"/>
              <w:bottom w:val="single" w:sz="4" w:space="0" w:color="auto"/>
              <w:right w:val="single" w:sz="4" w:space="0" w:color="auto"/>
            </w:tcBorders>
            <w:noWrap/>
            <w:vAlign w:val="center"/>
            <w:hideMark/>
          </w:tcPr>
          <w:p w14:paraId="7F1610B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92 240,00</w:t>
            </w:r>
          </w:p>
        </w:tc>
        <w:tc>
          <w:tcPr>
            <w:tcW w:w="1001" w:type="dxa"/>
            <w:tcBorders>
              <w:top w:val="nil"/>
              <w:left w:val="nil"/>
              <w:bottom w:val="single" w:sz="4" w:space="0" w:color="auto"/>
              <w:right w:val="single" w:sz="4" w:space="0" w:color="auto"/>
            </w:tcBorders>
            <w:noWrap/>
            <w:vAlign w:val="center"/>
            <w:hideMark/>
          </w:tcPr>
          <w:p w14:paraId="0C8C2F6D"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92 240,00</w:t>
            </w:r>
          </w:p>
        </w:tc>
        <w:tc>
          <w:tcPr>
            <w:tcW w:w="709" w:type="dxa"/>
            <w:tcBorders>
              <w:top w:val="nil"/>
              <w:left w:val="nil"/>
              <w:bottom w:val="single" w:sz="4" w:space="0" w:color="auto"/>
              <w:right w:val="single" w:sz="4" w:space="0" w:color="auto"/>
            </w:tcBorders>
            <w:noWrap/>
            <w:vAlign w:val="center"/>
            <w:hideMark/>
          </w:tcPr>
          <w:p w14:paraId="79040E4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-15,00</w:t>
            </w:r>
          </w:p>
        </w:tc>
        <w:tc>
          <w:tcPr>
            <w:tcW w:w="855" w:type="dxa"/>
            <w:tcBorders>
              <w:top w:val="nil"/>
              <w:left w:val="nil"/>
              <w:bottom w:val="single" w:sz="4" w:space="0" w:color="auto"/>
              <w:right w:val="single" w:sz="4" w:space="0" w:color="auto"/>
            </w:tcBorders>
            <w:noWrap/>
            <w:vAlign w:val="center"/>
            <w:hideMark/>
          </w:tcPr>
          <w:p w14:paraId="2BA4EE5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100,02</w:t>
            </w:r>
          </w:p>
        </w:tc>
      </w:tr>
      <w:tr w:rsidR="0050758C" w:rsidRPr="0050758C" w14:paraId="779EC429"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1205BA6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4.2 La Politique Nationale de Population (PNP) est élaborée et adoptée</w:t>
            </w:r>
          </w:p>
        </w:tc>
        <w:tc>
          <w:tcPr>
            <w:tcW w:w="710" w:type="dxa"/>
            <w:tcBorders>
              <w:top w:val="nil"/>
              <w:left w:val="nil"/>
              <w:bottom w:val="single" w:sz="4" w:space="0" w:color="auto"/>
              <w:right w:val="single" w:sz="4" w:space="0" w:color="auto"/>
            </w:tcBorders>
            <w:shd w:val="clear" w:color="000000" w:fill="FFFFFF"/>
            <w:noWrap/>
            <w:vAlign w:val="center"/>
            <w:hideMark/>
          </w:tcPr>
          <w:p w14:paraId="00CCE740"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4FD02FF5"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PLAN/OCDD</w:t>
            </w:r>
          </w:p>
        </w:tc>
        <w:tc>
          <w:tcPr>
            <w:tcW w:w="1134" w:type="dxa"/>
            <w:tcBorders>
              <w:top w:val="nil"/>
              <w:left w:val="nil"/>
              <w:bottom w:val="single" w:sz="4" w:space="0" w:color="auto"/>
              <w:right w:val="single" w:sz="4" w:space="0" w:color="auto"/>
            </w:tcBorders>
            <w:noWrap/>
            <w:vAlign w:val="center"/>
            <w:hideMark/>
          </w:tcPr>
          <w:p w14:paraId="00CC9C3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461 850,00</w:t>
            </w:r>
          </w:p>
        </w:tc>
        <w:tc>
          <w:tcPr>
            <w:tcW w:w="992" w:type="dxa"/>
            <w:tcBorders>
              <w:top w:val="nil"/>
              <w:left w:val="nil"/>
              <w:bottom w:val="single" w:sz="4" w:space="0" w:color="auto"/>
              <w:right w:val="single" w:sz="4" w:space="0" w:color="auto"/>
            </w:tcBorders>
            <w:shd w:val="clear" w:color="000000" w:fill="FFFFFF"/>
            <w:vAlign w:val="center"/>
            <w:hideMark/>
          </w:tcPr>
          <w:p w14:paraId="44913FC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181 000,00</w:t>
            </w:r>
          </w:p>
        </w:tc>
        <w:tc>
          <w:tcPr>
            <w:tcW w:w="992" w:type="dxa"/>
            <w:tcBorders>
              <w:top w:val="nil"/>
              <w:left w:val="nil"/>
              <w:bottom w:val="single" w:sz="4" w:space="0" w:color="auto"/>
              <w:right w:val="single" w:sz="4" w:space="0" w:color="auto"/>
            </w:tcBorders>
            <w:noWrap/>
            <w:vAlign w:val="center"/>
            <w:hideMark/>
          </w:tcPr>
          <w:p w14:paraId="134944D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181 000,00</w:t>
            </w:r>
          </w:p>
        </w:tc>
        <w:tc>
          <w:tcPr>
            <w:tcW w:w="1001" w:type="dxa"/>
            <w:tcBorders>
              <w:top w:val="nil"/>
              <w:left w:val="nil"/>
              <w:bottom w:val="single" w:sz="4" w:space="0" w:color="auto"/>
              <w:right w:val="single" w:sz="4" w:space="0" w:color="auto"/>
            </w:tcBorders>
            <w:noWrap/>
            <w:vAlign w:val="center"/>
            <w:hideMark/>
          </w:tcPr>
          <w:p w14:paraId="7CE28ED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181 000,00</w:t>
            </w:r>
          </w:p>
        </w:tc>
        <w:tc>
          <w:tcPr>
            <w:tcW w:w="709" w:type="dxa"/>
            <w:tcBorders>
              <w:top w:val="nil"/>
              <w:left w:val="nil"/>
              <w:bottom w:val="single" w:sz="4" w:space="0" w:color="auto"/>
              <w:right w:val="single" w:sz="4" w:space="0" w:color="auto"/>
            </w:tcBorders>
            <w:noWrap/>
            <w:vAlign w:val="center"/>
            <w:hideMark/>
          </w:tcPr>
          <w:p w14:paraId="1A8FE5A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855" w:type="dxa"/>
            <w:tcBorders>
              <w:top w:val="nil"/>
              <w:left w:val="nil"/>
              <w:bottom w:val="single" w:sz="4" w:space="0" w:color="auto"/>
              <w:right w:val="single" w:sz="4" w:space="0" w:color="auto"/>
            </w:tcBorders>
            <w:noWrap/>
            <w:vAlign w:val="center"/>
            <w:hideMark/>
          </w:tcPr>
          <w:p w14:paraId="1D699C5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100,00</w:t>
            </w:r>
          </w:p>
        </w:tc>
      </w:tr>
      <w:tr w:rsidR="0050758C" w:rsidRPr="0050758C" w14:paraId="7557BC16"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20D858F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4.3 (Jalon 7 g) : Le Plan de plaidoyer auprès du Gouvernement pour l'allocation d'une ligne des crédits consistants au CONAPO est adopté d’ici fin 2023.</w:t>
            </w:r>
          </w:p>
        </w:tc>
        <w:tc>
          <w:tcPr>
            <w:tcW w:w="710" w:type="dxa"/>
            <w:tcBorders>
              <w:top w:val="nil"/>
              <w:left w:val="nil"/>
              <w:bottom w:val="single" w:sz="4" w:space="0" w:color="auto"/>
              <w:right w:val="single" w:sz="4" w:space="0" w:color="auto"/>
            </w:tcBorders>
            <w:shd w:val="clear" w:color="000000" w:fill="FFFFFF"/>
            <w:noWrap/>
            <w:vAlign w:val="center"/>
            <w:hideMark/>
          </w:tcPr>
          <w:p w14:paraId="26D9261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7397029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PLAN/OCDD</w:t>
            </w:r>
          </w:p>
        </w:tc>
        <w:tc>
          <w:tcPr>
            <w:tcW w:w="1134" w:type="dxa"/>
            <w:tcBorders>
              <w:top w:val="nil"/>
              <w:left w:val="nil"/>
              <w:bottom w:val="single" w:sz="4" w:space="0" w:color="auto"/>
              <w:right w:val="single" w:sz="4" w:space="0" w:color="auto"/>
            </w:tcBorders>
            <w:noWrap/>
            <w:vAlign w:val="center"/>
            <w:hideMark/>
          </w:tcPr>
          <w:p w14:paraId="034B4A9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13 000,00</w:t>
            </w:r>
          </w:p>
        </w:tc>
        <w:tc>
          <w:tcPr>
            <w:tcW w:w="992" w:type="dxa"/>
            <w:tcBorders>
              <w:top w:val="nil"/>
              <w:left w:val="nil"/>
              <w:bottom w:val="single" w:sz="4" w:space="0" w:color="auto"/>
              <w:right w:val="single" w:sz="4" w:space="0" w:color="auto"/>
            </w:tcBorders>
            <w:shd w:val="clear" w:color="000000" w:fill="FFFFFF"/>
            <w:vAlign w:val="center"/>
            <w:hideMark/>
          </w:tcPr>
          <w:p w14:paraId="7A78BCA5"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6 500,00</w:t>
            </w:r>
          </w:p>
        </w:tc>
        <w:tc>
          <w:tcPr>
            <w:tcW w:w="992" w:type="dxa"/>
            <w:tcBorders>
              <w:top w:val="nil"/>
              <w:left w:val="nil"/>
              <w:bottom w:val="single" w:sz="4" w:space="0" w:color="auto"/>
              <w:right w:val="single" w:sz="4" w:space="0" w:color="auto"/>
            </w:tcBorders>
            <w:noWrap/>
            <w:vAlign w:val="center"/>
            <w:hideMark/>
          </w:tcPr>
          <w:p w14:paraId="04E9FE9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6 500,00</w:t>
            </w:r>
          </w:p>
        </w:tc>
        <w:tc>
          <w:tcPr>
            <w:tcW w:w="1001" w:type="dxa"/>
            <w:tcBorders>
              <w:top w:val="nil"/>
              <w:left w:val="nil"/>
              <w:bottom w:val="single" w:sz="4" w:space="0" w:color="auto"/>
              <w:right w:val="single" w:sz="4" w:space="0" w:color="auto"/>
            </w:tcBorders>
            <w:noWrap/>
            <w:vAlign w:val="center"/>
            <w:hideMark/>
          </w:tcPr>
          <w:p w14:paraId="1FD84F4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6 500,00</w:t>
            </w:r>
          </w:p>
        </w:tc>
        <w:tc>
          <w:tcPr>
            <w:tcW w:w="709" w:type="dxa"/>
            <w:tcBorders>
              <w:top w:val="nil"/>
              <w:left w:val="nil"/>
              <w:bottom w:val="single" w:sz="4" w:space="0" w:color="auto"/>
              <w:right w:val="single" w:sz="4" w:space="0" w:color="auto"/>
            </w:tcBorders>
            <w:noWrap/>
            <w:vAlign w:val="center"/>
            <w:hideMark/>
          </w:tcPr>
          <w:p w14:paraId="4865422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855" w:type="dxa"/>
            <w:tcBorders>
              <w:top w:val="nil"/>
              <w:left w:val="nil"/>
              <w:bottom w:val="single" w:sz="4" w:space="0" w:color="auto"/>
              <w:right w:val="single" w:sz="4" w:space="0" w:color="auto"/>
            </w:tcBorders>
            <w:noWrap/>
            <w:vAlign w:val="center"/>
            <w:hideMark/>
          </w:tcPr>
          <w:p w14:paraId="6FA7042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100,00</w:t>
            </w:r>
          </w:p>
        </w:tc>
      </w:tr>
      <w:tr w:rsidR="0050758C" w:rsidRPr="0050758C" w14:paraId="4C7BADB5"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41D7898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4.4 Les capacités humaines et techniques du Ministère du Plan dans la mise en œuvre de la Politique Nationale de Population sont renforcées.</w:t>
            </w:r>
          </w:p>
        </w:tc>
        <w:tc>
          <w:tcPr>
            <w:tcW w:w="710" w:type="dxa"/>
            <w:tcBorders>
              <w:top w:val="nil"/>
              <w:left w:val="nil"/>
              <w:bottom w:val="single" w:sz="4" w:space="0" w:color="auto"/>
              <w:right w:val="single" w:sz="4" w:space="0" w:color="auto"/>
            </w:tcBorders>
            <w:shd w:val="clear" w:color="000000" w:fill="FFFFFF"/>
            <w:noWrap/>
            <w:vAlign w:val="center"/>
            <w:hideMark/>
          </w:tcPr>
          <w:p w14:paraId="04C3214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4CDFC36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PLAN/OCDD</w:t>
            </w:r>
          </w:p>
        </w:tc>
        <w:tc>
          <w:tcPr>
            <w:tcW w:w="1134" w:type="dxa"/>
            <w:tcBorders>
              <w:top w:val="nil"/>
              <w:left w:val="nil"/>
              <w:bottom w:val="single" w:sz="4" w:space="0" w:color="auto"/>
              <w:right w:val="single" w:sz="4" w:space="0" w:color="auto"/>
            </w:tcBorders>
            <w:noWrap/>
            <w:vAlign w:val="center"/>
            <w:hideMark/>
          </w:tcPr>
          <w:p w14:paraId="3F5946B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352 150,00</w:t>
            </w:r>
          </w:p>
        </w:tc>
        <w:tc>
          <w:tcPr>
            <w:tcW w:w="992" w:type="dxa"/>
            <w:tcBorders>
              <w:top w:val="nil"/>
              <w:left w:val="nil"/>
              <w:bottom w:val="single" w:sz="4" w:space="0" w:color="auto"/>
              <w:right w:val="single" w:sz="4" w:space="0" w:color="auto"/>
            </w:tcBorders>
            <w:shd w:val="clear" w:color="000000" w:fill="FFFFFF"/>
            <w:vAlign w:val="center"/>
            <w:hideMark/>
          </w:tcPr>
          <w:p w14:paraId="5EFB1965"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220 575,00</w:t>
            </w:r>
          </w:p>
        </w:tc>
        <w:tc>
          <w:tcPr>
            <w:tcW w:w="992" w:type="dxa"/>
            <w:tcBorders>
              <w:top w:val="nil"/>
              <w:left w:val="nil"/>
              <w:bottom w:val="single" w:sz="4" w:space="0" w:color="auto"/>
              <w:right w:val="single" w:sz="4" w:space="0" w:color="auto"/>
            </w:tcBorders>
            <w:noWrap/>
            <w:vAlign w:val="center"/>
            <w:hideMark/>
          </w:tcPr>
          <w:p w14:paraId="620A310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150 475,00</w:t>
            </w:r>
          </w:p>
        </w:tc>
        <w:tc>
          <w:tcPr>
            <w:tcW w:w="1001" w:type="dxa"/>
            <w:tcBorders>
              <w:top w:val="nil"/>
              <w:left w:val="nil"/>
              <w:bottom w:val="single" w:sz="4" w:space="0" w:color="auto"/>
              <w:right w:val="single" w:sz="4" w:space="0" w:color="auto"/>
            </w:tcBorders>
            <w:noWrap/>
            <w:vAlign w:val="center"/>
            <w:hideMark/>
          </w:tcPr>
          <w:p w14:paraId="3C06A9C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150 475,00</w:t>
            </w:r>
          </w:p>
        </w:tc>
        <w:tc>
          <w:tcPr>
            <w:tcW w:w="709" w:type="dxa"/>
            <w:tcBorders>
              <w:top w:val="nil"/>
              <w:left w:val="nil"/>
              <w:bottom w:val="single" w:sz="4" w:space="0" w:color="auto"/>
              <w:right w:val="single" w:sz="4" w:space="0" w:color="auto"/>
            </w:tcBorders>
            <w:noWrap/>
            <w:vAlign w:val="center"/>
            <w:hideMark/>
          </w:tcPr>
          <w:p w14:paraId="66AB72B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70 100,00</w:t>
            </w:r>
          </w:p>
        </w:tc>
        <w:tc>
          <w:tcPr>
            <w:tcW w:w="855" w:type="dxa"/>
            <w:tcBorders>
              <w:top w:val="nil"/>
              <w:left w:val="nil"/>
              <w:bottom w:val="single" w:sz="4" w:space="0" w:color="auto"/>
              <w:right w:val="single" w:sz="4" w:space="0" w:color="auto"/>
            </w:tcBorders>
            <w:noWrap/>
            <w:vAlign w:val="center"/>
            <w:hideMark/>
          </w:tcPr>
          <w:p w14:paraId="5A5D68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68,22</w:t>
            </w:r>
          </w:p>
        </w:tc>
      </w:tr>
      <w:tr w:rsidR="0050758C" w:rsidRPr="0050758C" w14:paraId="347CF9BB"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3FC3D49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4 : DEMOGRAPHIE</w:t>
            </w:r>
          </w:p>
        </w:tc>
        <w:tc>
          <w:tcPr>
            <w:tcW w:w="710" w:type="dxa"/>
            <w:tcBorders>
              <w:top w:val="nil"/>
              <w:left w:val="nil"/>
              <w:bottom w:val="single" w:sz="4" w:space="0" w:color="auto"/>
              <w:right w:val="single" w:sz="4" w:space="0" w:color="auto"/>
            </w:tcBorders>
            <w:shd w:val="clear" w:color="000000" w:fill="C0CF3A"/>
            <w:noWrap/>
            <w:vAlign w:val="center"/>
            <w:hideMark/>
          </w:tcPr>
          <w:p w14:paraId="56C07F6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31E4494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1DDB8E0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1 000 600,00</w:t>
            </w:r>
          </w:p>
        </w:tc>
        <w:tc>
          <w:tcPr>
            <w:tcW w:w="992" w:type="dxa"/>
            <w:tcBorders>
              <w:top w:val="nil"/>
              <w:left w:val="nil"/>
              <w:bottom w:val="single" w:sz="4" w:space="0" w:color="auto"/>
              <w:right w:val="single" w:sz="4" w:space="0" w:color="auto"/>
            </w:tcBorders>
            <w:shd w:val="clear" w:color="000000" w:fill="C0CF3A"/>
            <w:noWrap/>
            <w:vAlign w:val="center"/>
            <w:hideMark/>
          </w:tcPr>
          <w:p w14:paraId="0AE51BC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500 300,00</w:t>
            </w:r>
          </w:p>
        </w:tc>
        <w:tc>
          <w:tcPr>
            <w:tcW w:w="992" w:type="dxa"/>
            <w:tcBorders>
              <w:top w:val="nil"/>
              <w:left w:val="nil"/>
              <w:bottom w:val="single" w:sz="4" w:space="0" w:color="auto"/>
              <w:right w:val="single" w:sz="4" w:space="0" w:color="auto"/>
            </w:tcBorders>
            <w:shd w:val="clear" w:color="000000" w:fill="C0CF3A"/>
            <w:noWrap/>
            <w:vAlign w:val="center"/>
            <w:hideMark/>
          </w:tcPr>
          <w:p w14:paraId="12669A3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430 215,00</w:t>
            </w:r>
          </w:p>
        </w:tc>
        <w:tc>
          <w:tcPr>
            <w:tcW w:w="1001" w:type="dxa"/>
            <w:tcBorders>
              <w:top w:val="nil"/>
              <w:left w:val="nil"/>
              <w:bottom w:val="single" w:sz="4" w:space="0" w:color="auto"/>
              <w:right w:val="single" w:sz="4" w:space="0" w:color="auto"/>
            </w:tcBorders>
            <w:shd w:val="clear" w:color="000000" w:fill="C0CF3A"/>
            <w:noWrap/>
            <w:vAlign w:val="center"/>
            <w:hideMark/>
          </w:tcPr>
          <w:p w14:paraId="05365D4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430 215,00</w:t>
            </w:r>
          </w:p>
        </w:tc>
        <w:tc>
          <w:tcPr>
            <w:tcW w:w="709" w:type="dxa"/>
            <w:tcBorders>
              <w:top w:val="nil"/>
              <w:left w:val="nil"/>
              <w:bottom w:val="single" w:sz="4" w:space="0" w:color="auto"/>
              <w:right w:val="single" w:sz="4" w:space="0" w:color="auto"/>
            </w:tcBorders>
            <w:shd w:val="clear" w:color="000000" w:fill="C0CF3A"/>
            <w:noWrap/>
            <w:vAlign w:val="center"/>
            <w:hideMark/>
          </w:tcPr>
          <w:p w14:paraId="11A498CD"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70 085,00</w:t>
            </w:r>
          </w:p>
        </w:tc>
        <w:tc>
          <w:tcPr>
            <w:tcW w:w="855" w:type="dxa"/>
            <w:tcBorders>
              <w:top w:val="nil"/>
              <w:left w:val="nil"/>
              <w:bottom w:val="single" w:sz="4" w:space="0" w:color="auto"/>
              <w:right w:val="single" w:sz="4" w:space="0" w:color="auto"/>
            </w:tcBorders>
            <w:shd w:val="clear" w:color="000000" w:fill="C0CF3A"/>
            <w:noWrap/>
            <w:vAlign w:val="center"/>
            <w:hideMark/>
          </w:tcPr>
          <w:p w14:paraId="7286B28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85,99</w:t>
            </w:r>
          </w:p>
        </w:tc>
      </w:tr>
      <w:tr w:rsidR="0050758C" w:rsidRPr="0050758C" w14:paraId="4B513EC2"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8EAADB"/>
            <w:noWrap/>
            <w:vAlign w:val="center"/>
            <w:hideMark/>
          </w:tcPr>
          <w:p w14:paraId="3985566C" w14:textId="77777777" w:rsidR="0050758C" w:rsidRPr="0050758C" w:rsidRDefault="0050758C">
            <w:pPr>
              <w:rPr>
                <w:rFonts w:ascii="Calibri" w:hAnsi="Calibri" w:cs="Calibri"/>
                <w:color w:val="1F3864"/>
                <w:sz w:val="16"/>
                <w:szCs w:val="16"/>
              </w:rPr>
            </w:pPr>
            <w:r w:rsidRPr="0050758C">
              <w:rPr>
                <w:rFonts w:ascii="Calibri" w:hAnsi="Calibri" w:cs="Calibri"/>
                <w:color w:val="1F3864"/>
                <w:sz w:val="16"/>
                <w:szCs w:val="16"/>
              </w:rPr>
              <w:t xml:space="preserve">EFFET 5: L’exploitation minière est gérée avec transparence et obéit à des normes socio environnementales </w:t>
            </w:r>
          </w:p>
        </w:tc>
      </w:tr>
      <w:tr w:rsidR="0050758C" w:rsidRPr="0050758C" w14:paraId="0FC377EE"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06E163E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5 : MINES ET HYDROCARBURES</w:t>
            </w:r>
          </w:p>
        </w:tc>
      </w:tr>
      <w:tr w:rsidR="0050758C" w:rsidRPr="0050758C" w14:paraId="3E8C4F25"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8DCB07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5.1 (jalon 6 c) : Démontrer la mise en œuvre des obligations légales de réalisation des évaluations environnementales et sociales par les opérateurs exerçant dans les secteurs forêt, mines, hydrocarbures, agriculture, infrastructures et énergie, etc.</w:t>
            </w:r>
          </w:p>
        </w:tc>
        <w:tc>
          <w:tcPr>
            <w:tcW w:w="710" w:type="dxa"/>
            <w:tcBorders>
              <w:top w:val="nil"/>
              <w:left w:val="nil"/>
              <w:bottom w:val="single" w:sz="4" w:space="0" w:color="auto"/>
              <w:right w:val="single" w:sz="4" w:space="0" w:color="auto"/>
            </w:tcBorders>
            <w:shd w:val="clear" w:color="000000" w:fill="FFFFFF"/>
            <w:noWrap/>
            <w:vAlign w:val="center"/>
            <w:hideMark/>
          </w:tcPr>
          <w:p w14:paraId="256A984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055FB2F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HYDRO/MINES</w:t>
            </w:r>
          </w:p>
        </w:tc>
        <w:tc>
          <w:tcPr>
            <w:tcW w:w="1134" w:type="dxa"/>
            <w:tcBorders>
              <w:top w:val="nil"/>
              <w:left w:val="nil"/>
              <w:bottom w:val="single" w:sz="4" w:space="0" w:color="auto"/>
              <w:right w:val="single" w:sz="4" w:space="0" w:color="auto"/>
            </w:tcBorders>
            <w:noWrap/>
            <w:vAlign w:val="center"/>
            <w:hideMark/>
          </w:tcPr>
          <w:p w14:paraId="436217F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64 000,00</w:t>
            </w:r>
          </w:p>
        </w:tc>
        <w:tc>
          <w:tcPr>
            <w:tcW w:w="992" w:type="dxa"/>
            <w:tcBorders>
              <w:top w:val="nil"/>
              <w:left w:val="nil"/>
              <w:bottom w:val="single" w:sz="4" w:space="0" w:color="auto"/>
              <w:right w:val="single" w:sz="4" w:space="0" w:color="auto"/>
            </w:tcBorders>
            <w:shd w:val="clear" w:color="000000" w:fill="FFFFFF"/>
            <w:vAlign w:val="center"/>
            <w:hideMark/>
          </w:tcPr>
          <w:p w14:paraId="253DE480"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41 375,00</w:t>
            </w:r>
          </w:p>
        </w:tc>
        <w:tc>
          <w:tcPr>
            <w:tcW w:w="992" w:type="dxa"/>
            <w:tcBorders>
              <w:top w:val="nil"/>
              <w:left w:val="nil"/>
              <w:bottom w:val="single" w:sz="4" w:space="0" w:color="auto"/>
              <w:right w:val="single" w:sz="4" w:space="0" w:color="auto"/>
            </w:tcBorders>
            <w:noWrap/>
            <w:vAlign w:val="center"/>
            <w:hideMark/>
          </w:tcPr>
          <w:p w14:paraId="5273DBD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33 575,00</w:t>
            </w:r>
          </w:p>
        </w:tc>
        <w:tc>
          <w:tcPr>
            <w:tcW w:w="1001" w:type="dxa"/>
            <w:tcBorders>
              <w:top w:val="nil"/>
              <w:left w:val="nil"/>
              <w:bottom w:val="single" w:sz="4" w:space="0" w:color="auto"/>
              <w:right w:val="single" w:sz="4" w:space="0" w:color="auto"/>
            </w:tcBorders>
            <w:noWrap/>
            <w:vAlign w:val="center"/>
            <w:hideMark/>
          </w:tcPr>
          <w:p w14:paraId="41C4A82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33 575,00</w:t>
            </w:r>
          </w:p>
        </w:tc>
        <w:tc>
          <w:tcPr>
            <w:tcW w:w="709" w:type="dxa"/>
            <w:tcBorders>
              <w:top w:val="nil"/>
              <w:left w:val="nil"/>
              <w:bottom w:val="single" w:sz="4" w:space="0" w:color="auto"/>
              <w:right w:val="single" w:sz="4" w:space="0" w:color="auto"/>
            </w:tcBorders>
            <w:noWrap/>
            <w:vAlign w:val="center"/>
            <w:hideMark/>
          </w:tcPr>
          <w:p w14:paraId="3074E2F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7 800,00</w:t>
            </w:r>
          </w:p>
        </w:tc>
        <w:tc>
          <w:tcPr>
            <w:tcW w:w="855" w:type="dxa"/>
            <w:tcBorders>
              <w:top w:val="nil"/>
              <w:left w:val="nil"/>
              <w:bottom w:val="single" w:sz="4" w:space="0" w:color="auto"/>
              <w:right w:val="single" w:sz="4" w:space="0" w:color="auto"/>
            </w:tcBorders>
            <w:noWrap/>
            <w:vAlign w:val="center"/>
            <w:hideMark/>
          </w:tcPr>
          <w:p w14:paraId="0F334FE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81,15</w:t>
            </w:r>
          </w:p>
        </w:tc>
      </w:tr>
      <w:tr w:rsidR="0050758C" w:rsidRPr="0050758C" w14:paraId="446BED68"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27C5013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5.2 (jalon 6 h) : Les contrats miniers et des hydrocarbures sont publiés.</w:t>
            </w:r>
          </w:p>
        </w:tc>
        <w:tc>
          <w:tcPr>
            <w:tcW w:w="710" w:type="dxa"/>
            <w:tcBorders>
              <w:top w:val="nil"/>
              <w:left w:val="nil"/>
              <w:bottom w:val="single" w:sz="4" w:space="0" w:color="auto"/>
              <w:right w:val="single" w:sz="4" w:space="0" w:color="auto"/>
            </w:tcBorders>
            <w:shd w:val="clear" w:color="000000" w:fill="FFFFFF"/>
            <w:noWrap/>
            <w:vAlign w:val="center"/>
            <w:hideMark/>
          </w:tcPr>
          <w:p w14:paraId="4BCBFBA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6B825F1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HYDRO/MINES</w:t>
            </w:r>
          </w:p>
        </w:tc>
        <w:tc>
          <w:tcPr>
            <w:tcW w:w="1134" w:type="dxa"/>
            <w:tcBorders>
              <w:top w:val="nil"/>
              <w:left w:val="nil"/>
              <w:bottom w:val="single" w:sz="4" w:space="0" w:color="auto"/>
              <w:right w:val="single" w:sz="4" w:space="0" w:color="auto"/>
            </w:tcBorders>
            <w:noWrap/>
            <w:vAlign w:val="center"/>
            <w:hideMark/>
          </w:tcPr>
          <w:p w14:paraId="0386768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20 800,00</w:t>
            </w:r>
          </w:p>
        </w:tc>
        <w:tc>
          <w:tcPr>
            <w:tcW w:w="992" w:type="dxa"/>
            <w:tcBorders>
              <w:top w:val="nil"/>
              <w:left w:val="nil"/>
              <w:bottom w:val="single" w:sz="4" w:space="0" w:color="auto"/>
              <w:right w:val="single" w:sz="4" w:space="0" w:color="auto"/>
            </w:tcBorders>
            <w:shd w:val="clear" w:color="000000" w:fill="FFFFFF"/>
            <w:vAlign w:val="center"/>
            <w:hideMark/>
          </w:tcPr>
          <w:p w14:paraId="587EFBD4"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10 400,00</w:t>
            </w:r>
          </w:p>
        </w:tc>
        <w:tc>
          <w:tcPr>
            <w:tcW w:w="992" w:type="dxa"/>
            <w:tcBorders>
              <w:top w:val="nil"/>
              <w:left w:val="nil"/>
              <w:bottom w:val="single" w:sz="4" w:space="0" w:color="auto"/>
              <w:right w:val="single" w:sz="4" w:space="0" w:color="auto"/>
            </w:tcBorders>
            <w:noWrap/>
            <w:vAlign w:val="center"/>
            <w:hideMark/>
          </w:tcPr>
          <w:p w14:paraId="1A8FD07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3 700,00</w:t>
            </w:r>
          </w:p>
        </w:tc>
        <w:tc>
          <w:tcPr>
            <w:tcW w:w="1001" w:type="dxa"/>
            <w:tcBorders>
              <w:top w:val="nil"/>
              <w:left w:val="nil"/>
              <w:bottom w:val="single" w:sz="4" w:space="0" w:color="auto"/>
              <w:right w:val="single" w:sz="4" w:space="0" w:color="auto"/>
            </w:tcBorders>
            <w:noWrap/>
            <w:vAlign w:val="center"/>
            <w:hideMark/>
          </w:tcPr>
          <w:p w14:paraId="1A3DB7B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3 700,00</w:t>
            </w:r>
          </w:p>
        </w:tc>
        <w:tc>
          <w:tcPr>
            <w:tcW w:w="709" w:type="dxa"/>
            <w:tcBorders>
              <w:top w:val="nil"/>
              <w:left w:val="nil"/>
              <w:bottom w:val="single" w:sz="4" w:space="0" w:color="auto"/>
              <w:right w:val="single" w:sz="4" w:space="0" w:color="auto"/>
            </w:tcBorders>
            <w:noWrap/>
            <w:vAlign w:val="center"/>
            <w:hideMark/>
          </w:tcPr>
          <w:p w14:paraId="4CBD56F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6 700,00</w:t>
            </w:r>
          </w:p>
        </w:tc>
        <w:tc>
          <w:tcPr>
            <w:tcW w:w="855" w:type="dxa"/>
            <w:tcBorders>
              <w:top w:val="nil"/>
              <w:left w:val="nil"/>
              <w:bottom w:val="single" w:sz="4" w:space="0" w:color="auto"/>
              <w:right w:val="single" w:sz="4" w:space="0" w:color="auto"/>
            </w:tcBorders>
            <w:noWrap/>
            <w:vAlign w:val="center"/>
            <w:hideMark/>
          </w:tcPr>
          <w:p w14:paraId="16BF4FF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35,58</w:t>
            </w:r>
          </w:p>
        </w:tc>
      </w:tr>
      <w:tr w:rsidR="0050758C" w:rsidRPr="0050758C" w14:paraId="752FF353"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B7F827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xml:space="preserve">Produit 5.3 (jalon 6 g) : Les Normes REDD+ sont élaborées de manière participative, adoptées dans le Manuel d'Opérations et de procédures des évaluations environnementales et sociales, assorties d'un mécanisme d'audit indépendant. </w:t>
            </w:r>
          </w:p>
        </w:tc>
        <w:tc>
          <w:tcPr>
            <w:tcW w:w="710" w:type="dxa"/>
            <w:tcBorders>
              <w:top w:val="nil"/>
              <w:left w:val="nil"/>
              <w:bottom w:val="single" w:sz="4" w:space="0" w:color="auto"/>
              <w:right w:val="single" w:sz="4" w:space="0" w:color="auto"/>
            </w:tcBorders>
            <w:shd w:val="clear" w:color="000000" w:fill="FFFFFF"/>
            <w:noWrap/>
            <w:vAlign w:val="center"/>
            <w:hideMark/>
          </w:tcPr>
          <w:p w14:paraId="65BD580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2BE749A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HYDRO/MINES</w:t>
            </w:r>
          </w:p>
        </w:tc>
        <w:tc>
          <w:tcPr>
            <w:tcW w:w="1134" w:type="dxa"/>
            <w:tcBorders>
              <w:top w:val="nil"/>
              <w:left w:val="nil"/>
              <w:bottom w:val="single" w:sz="4" w:space="0" w:color="auto"/>
              <w:right w:val="single" w:sz="4" w:space="0" w:color="auto"/>
            </w:tcBorders>
            <w:noWrap/>
            <w:vAlign w:val="center"/>
            <w:hideMark/>
          </w:tcPr>
          <w:p w14:paraId="63026E1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91 000,00</w:t>
            </w:r>
          </w:p>
        </w:tc>
        <w:tc>
          <w:tcPr>
            <w:tcW w:w="992" w:type="dxa"/>
            <w:tcBorders>
              <w:top w:val="nil"/>
              <w:left w:val="nil"/>
              <w:bottom w:val="single" w:sz="4" w:space="0" w:color="auto"/>
              <w:right w:val="single" w:sz="4" w:space="0" w:color="auto"/>
            </w:tcBorders>
            <w:shd w:val="clear" w:color="000000" w:fill="FFFFFF"/>
            <w:vAlign w:val="center"/>
            <w:hideMark/>
          </w:tcPr>
          <w:p w14:paraId="6F45D53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15 687,50</w:t>
            </w:r>
          </w:p>
        </w:tc>
        <w:tc>
          <w:tcPr>
            <w:tcW w:w="992" w:type="dxa"/>
            <w:tcBorders>
              <w:top w:val="nil"/>
              <w:left w:val="nil"/>
              <w:bottom w:val="single" w:sz="4" w:space="0" w:color="auto"/>
              <w:right w:val="single" w:sz="4" w:space="0" w:color="auto"/>
            </w:tcBorders>
            <w:noWrap/>
            <w:vAlign w:val="center"/>
            <w:hideMark/>
          </w:tcPr>
          <w:p w14:paraId="6512C5E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4 910,00</w:t>
            </w:r>
          </w:p>
        </w:tc>
        <w:tc>
          <w:tcPr>
            <w:tcW w:w="1001" w:type="dxa"/>
            <w:tcBorders>
              <w:top w:val="nil"/>
              <w:left w:val="nil"/>
              <w:bottom w:val="single" w:sz="4" w:space="0" w:color="auto"/>
              <w:right w:val="single" w:sz="4" w:space="0" w:color="auto"/>
            </w:tcBorders>
            <w:noWrap/>
            <w:vAlign w:val="center"/>
            <w:hideMark/>
          </w:tcPr>
          <w:p w14:paraId="1C3E031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4 910,00</w:t>
            </w:r>
          </w:p>
        </w:tc>
        <w:tc>
          <w:tcPr>
            <w:tcW w:w="709" w:type="dxa"/>
            <w:tcBorders>
              <w:top w:val="nil"/>
              <w:left w:val="nil"/>
              <w:bottom w:val="single" w:sz="4" w:space="0" w:color="auto"/>
              <w:right w:val="single" w:sz="4" w:space="0" w:color="auto"/>
            </w:tcBorders>
            <w:noWrap/>
            <w:vAlign w:val="center"/>
            <w:hideMark/>
          </w:tcPr>
          <w:p w14:paraId="120A0FC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10 777,50</w:t>
            </w:r>
          </w:p>
        </w:tc>
        <w:tc>
          <w:tcPr>
            <w:tcW w:w="855" w:type="dxa"/>
            <w:tcBorders>
              <w:top w:val="nil"/>
              <w:left w:val="nil"/>
              <w:bottom w:val="single" w:sz="4" w:space="0" w:color="auto"/>
              <w:right w:val="single" w:sz="4" w:space="0" w:color="auto"/>
            </w:tcBorders>
            <w:noWrap/>
            <w:vAlign w:val="center"/>
            <w:hideMark/>
          </w:tcPr>
          <w:p w14:paraId="270B3D0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31,30</w:t>
            </w:r>
          </w:p>
        </w:tc>
      </w:tr>
      <w:tr w:rsidR="0050758C" w:rsidRPr="0050758C" w14:paraId="3CAFF802" w14:textId="77777777" w:rsidTr="006D79E9">
        <w:trPr>
          <w:gridAfter w:val="2"/>
          <w:wAfter w:w="14" w:type="dxa"/>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4B96BE8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5.4 Les capacités humaines et techniques des Ministères des Mines et des Hydrocarbures dans la mise en œuvre des Politiques environnementales et sociales sont renforcées.</w:t>
            </w:r>
          </w:p>
        </w:tc>
        <w:tc>
          <w:tcPr>
            <w:tcW w:w="710" w:type="dxa"/>
            <w:tcBorders>
              <w:top w:val="nil"/>
              <w:left w:val="nil"/>
              <w:bottom w:val="single" w:sz="4" w:space="0" w:color="auto"/>
              <w:right w:val="single" w:sz="4" w:space="0" w:color="auto"/>
            </w:tcBorders>
            <w:shd w:val="clear" w:color="000000" w:fill="FFFFFF"/>
            <w:noWrap/>
            <w:vAlign w:val="center"/>
            <w:hideMark/>
          </w:tcPr>
          <w:p w14:paraId="7118E36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62D847B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SG HYDRO/MINES</w:t>
            </w:r>
          </w:p>
        </w:tc>
        <w:tc>
          <w:tcPr>
            <w:tcW w:w="1134" w:type="dxa"/>
            <w:tcBorders>
              <w:top w:val="nil"/>
              <w:left w:val="nil"/>
              <w:bottom w:val="single" w:sz="4" w:space="0" w:color="auto"/>
              <w:right w:val="single" w:sz="4" w:space="0" w:color="auto"/>
            </w:tcBorders>
            <w:noWrap/>
            <w:vAlign w:val="center"/>
            <w:hideMark/>
          </w:tcPr>
          <w:p w14:paraId="1E4365E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457 200,00</w:t>
            </w:r>
          </w:p>
        </w:tc>
        <w:tc>
          <w:tcPr>
            <w:tcW w:w="992" w:type="dxa"/>
            <w:tcBorders>
              <w:top w:val="nil"/>
              <w:left w:val="nil"/>
              <w:bottom w:val="single" w:sz="4" w:space="0" w:color="auto"/>
              <w:right w:val="single" w:sz="4" w:space="0" w:color="auto"/>
            </w:tcBorders>
            <w:shd w:val="clear" w:color="000000" w:fill="FFFFFF"/>
            <w:vAlign w:val="center"/>
            <w:hideMark/>
          </w:tcPr>
          <w:p w14:paraId="1AA8705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249 037,50</w:t>
            </w:r>
          </w:p>
        </w:tc>
        <w:tc>
          <w:tcPr>
            <w:tcW w:w="992" w:type="dxa"/>
            <w:tcBorders>
              <w:top w:val="nil"/>
              <w:left w:val="nil"/>
              <w:bottom w:val="single" w:sz="4" w:space="0" w:color="auto"/>
              <w:right w:val="single" w:sz="4" w:space="0" w:color="auto"/>
            </w:tcBorders>
            <w:noWrap/>
            <w:vAlign w:val="center"/>
            <w:hideMark/>
          </w:tcPr>
          <w:p w14:paraId="4AEB4A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73 465,00</w:t>
            </w:r>
          </w:p>
        </w:tc>
        <w:tc>
          <w:tcPr>
            <w:tcW w:w="1001" w:type="dxa"/>
            <w:tcBorders>
              <w:top w:val="nil"/>
              <w:left w:val="nil"/>
              <w:bottom w:val="single" w:sz="4" w:space="0" w:color="auto"/>
              <w:right w:val="single" w:sz="4" w:space="0" w:color="auto"/>
            </w:tcBorders>
            <w:noWrap/>
            <w:vAlign w:val="center"/>
            <w:hideMark/>
          </w:tcPr>
          <w:p w14:paraId="3F92D24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73 465,00</w:t>
            </w:r>
          </w:p>
        </w:tc>
        <w:tc>
          <w:tcPr>
            <w:tcW w:w="709" w:type="dxa"/>
            <w:tcBorders>
              <w:top w:val="nil"/>
              <w:left w:val="nil"/>
              <w:bottom w:val="single" w:sz="4" w:space="0" w:color="auto"/>
              <w:right w:val="single" w:sz="4" w:space="0" w:color="auto"/>
            </w:tcBorders>
            <w:noWrap/>
            <w:vAlign w:val="center"/>
            <w:hideMark/>
          </w:tcPr>
          <w:p w14:paraId="7E99946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175 572,50</w:t>
            </w:r>
          </w:p>
        </w:tc>
        <w:tc>
          <w:tcPr>
            <w:tcW w:w="855" w:type="dxa"/>
            <w:tcBorders>
              <w:top w:val="nil"/>
              <w:left w:val="nil"/>
              <w:bottom w:val="single" w:sz="4" w:space="0" w:color="auto"/>
              <w:right w:val="single" w:sz="4" w:space="0" w:color="auto"/>
            </w:tcBorders>
            <w:noWrap/>
            <w:vAlign w:val="center"/>
            <w:hideMark/>
          </w:tcPr>
          <w:p w14:paraId="64DE3BF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29,50</w:t>
            </w:r>
          </w:p>
        </w:tc>
      </w:tr>
      <w:tr w:rsidR="0050758C" w:rsidRPr="0050758C" w14:paraId="66678574"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45CA26D0"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5: Mines et hydrocarbures</w:t>
            </w:r>
          </w:p>
        </w:tc>
        <w:tc>
          <w:tcPr>
            <w:tcW w:w="710" w:type="dxa"/>
            <w:tcBorders>
              <w:top w:val="nil"/>
              <w:left w:val="nil"/>
              <w:bottom w:val="single" w:sz="4" w:space="0" w:color="auto"/>
              <w:right w:val="single" w:sz="4" w:space="0" w:color="auto"/>
            </w:tcBorders>
            <w:shd w:val="clear" w:color="000000" w:fill="C0CF3A"/>
            <w:noWrap/>
            <w:vAlign w:val="center"/>
            <w:hideMark/>
          </w:tcPr>
          <w:p w14:paraId="773FDB5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67CE9A6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7C056C2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633 000,00</w:t>
            </w:r>
          </w:p>
        </w:tc>
        <w:tc>
          <w:tcPr>
            <w:tcW w:w="992" w:type="dxa"/>
            <w:tcBorders>
              <w:top w:val="nil"/>
              <w:left w:val="nil"/>
              <w:bottom w:val="single" w:sz="4" w:space="0" w:color="auto"/>
              <w:right w:val="single" w:sz="4" w:space="0" w:color="auto"/>
            </w:tcBorders>
            <w:shd w:val="clear" w:color="000000" w:fill="C0CF3A"/>
            <w:noWrap/>
            <w:vAlign w:val="center"/>
            <w:hideMark/>
          </w:tcPr>
          <w:p w14:paraId="77130A1A"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316 500,00</w:t>
            </w:r>
          </w:p>
        </w:tc>
        <w:tc>
          <w:tcPr>
            <w:tcW w:w="992" w:type="dxa"/>
            <w:tcBorders>
              <w:top w:val="nil"/>
              <w:left w:val="nil"/>
              <w:bottom w:val="single" w:sz="4" w:space="0" w:color="auto"/>
              <w:right w:val="single" w:sz="4" w:space="0" w:color="auto"/>
            </w:tcBorders>
            <w:shd w:val="clear" w:color="000000" w:fill="C0CF3A"/>
            <w:noWrap/>
            <w:vAlign w:val="center"/>
            <w:hideMark/>
          </w:tcPr>
          <w:p w14:paraId="3077840D"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115 650,00</w:t>
            </w:r>
          </w:p>
        </w:tc>
        <w:tc>
          <w:tcPr>
            <w:tcW w:w="1001" w:type="dxa"/>
            <w:tcBorders>
              <w:top w:val="nil"/>
              <w:left w:val="nil"/>
              <w:bottom w:val="single" w:sz="4" w:space="0" w:color="auto"/>
              <w:right w:val="single" w:sz="4" w:space="0" w:color="auto"/>
            </w:tcBorders>
            <w:shd w:val="clear" w:color="000000" w:fill="C0CF3A"/>
            <w:noWrap/>
            <w:vAlign w:val="center"/>
            <w:hideMark/>
          </w:tcPr>
          <w:p w14:paraId="7411C34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115 650,00</w:t>
            </w:r>
          </w:p>
        </w:tc>
        <w:tc>
          <w:tcPr>
            <w:tcW w:w="709" w:type="dxa"/>
            <w:tcBorders>
              <w:top w:val="nil"/>
              <w:left w:val="nil"/>
              <w:bottom w:val="single" w:sz="4" w:space="0" w:color="auto"/>
              <w:right w:val="single" w:sz="4" w:space="0" w:color="auto"/>
            </w:tcBorders>
            <w:shd w:val="clear" w:color="000000" w:fill="C0CF3A"/>
            <w:noWrap/>
            <w:vAlign w:val="center"/>
            <w:hideMark/>
          </w:tcPr>
          <w:p w14:paraId="687CA154"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200 850,00</w:t>
            </w:r>
          </w:p>
        </w:tc>
        <w:tc>
          <w:tcPr>
            <w:tcW w:w="855" w:type="dxa"/>
            <w:tcBorders>
              <w:top w:val="nil"/>
              <w:left w:val="nil"/>
              <w:bottom w:val="single" w:sz="4" w:space="0" w:color="auto"/>
              <w:right w:val="single" w:sz="4" w:space="0" w:color="auto"/>
            </w:tcBorders>
            <w:shd w:val="clear" w:color="000000" w:fill="C0CF3A"/>
            <w:noWrap/>
            <w:vAlign w:val="center"/>
            <w:hideMark/>
          </w:tcPr>
          <w:p w14:paraId="1045F22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36,54</w:t>
            </w:r>
          </w:p>
        </w:tc>
      </w:tr>
      <w:tr w:rsidR="0050758C" w:rsidRPr="0050758C" w14:paraId="020F035C"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8EAADB"/>
            <w:noWrap/>
            <w:vAlign w:val="center"/>
            <w:hideMark/>
          </w:tcPr>
          <w:p w14:paraId="2C779154" w14:textId="77777777" w:rsidR="0050758C" w:rsidRPr="0050758C" w:rsidRDefault="0050758C">
            <w:pPr>
              <w:rPr>
                <w:rFonts w:ascii="Calibri" w:hAnsi="Calibri" w:cs="Calibri"/>
                <w:color w:val="1F3864"/>
                <w:sz w:val="16"/>
                <w:szCs w:val="16"/>
              </w:rPr>
            </w:pPr>
            <w:r w:rsidRPr="0050758C">
              <w:rPr>
                <w:rFonts w:ascii="Calibri" w:hAnsi="Calibri" w:cs="Calibri"/>
                <w:color w:val="1F3864"/>
                <w:sz w:val="16"/>
                <w:szCs w:val="16"/>
              </w:rPr>
              <w:t>Effet CAFI 6 : L’exploitation forestière et la préoccupation REDD+ entrent dans l’Initiative pour la Transparence dans les Industries Extractives (ITIE)</w:t>
            </w:r>
          </w:p>
        </w:tc>
      </w:tr>
      <w:tr w:rsidR="0050758C" w:rsidRPr="0050758C" w14:paraId="50D24044"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15008A9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6 : ITIE</w:t>
            </w:r>
          </w:p>
        </w:tc>
      </w:tr>
      <w:tr w:rsidR="0050758C" w:rsidRPr="0050758C" w14:paraId="0B34F451"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2CF8470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xml:space="preserve">Produit 6.1 (Jalon 4 I) : Le Secteur forêt est clairement et fortement intégré dans l'Initiative pour la Transparence dans les Industries Extractives (l'ITIE) et à ce titre, tous les contrats de concessions d'exploitation industrielle et de conservation, y compris les rapports d'audit, de revue </w:t>
            </w:r>
          </w:p>
        </w:tc>
        <w:tc>
          <w:tcPr>
            <w:tcW w:w="710" w:type="dxa"/>
            <w:tcBorders>
              <w:top w:val="nil"/>
              <w:left w:val="nil"/>
              <w:bottom w:val="single" w:sz="4" w:space="0" w:color="auto"/>
              <w:right w:val="single" w:sz="4" w:space="0" w:color="auto"/>
            </w:tcBorders>
            <w:shd w:val="clear" w:color="000000" w:fill="FFFFFF"/>
            <w:noWrap/>
            <w:vAlign w:val="center"/>
            <w:hideMark/>
          </w:tcPr>
          <w:p w14:paraId="4BC96E3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0997422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ITIE</w:t>
            </w:r>
          </w:p>
        </w:tc>
        <w:tc>
          <w:tcPr>
            <w:tcW w:w="1134" w:type="dxa"/>
            <w:tcBorders>
              <w:top w:val="nil"/>
              <w:left w:val="nil"/>
              <w:bottom w:val="single" w:sz="4" w:space="0" w:color="auto"/>
              <w:right w:val="single" w:sz="4" w:space="0" w:color="auto"/>
            </w:tcBorders>
            <w:noWrap/>
            <w:vAlign w:val="center"/>
            <w:hideMark/>
          </w:tcPr>
          <w:p w14:paraId="0AD18EC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674 000,00</w:t>
            </w:r>
          </w:p>
        </w:tc>
        <w:tc>
          <w:tcPr>
            <w:tcW w:w="992" w:type="dxa"/>
            <w:tcBorders>
              <w:top w:val="nil"/>
              <w:left w:val="nil"/>
              <w:bottom w:val="single" w:sz="4" w:space="0" w:color="auto"/>
              <w:right w:val="single" w:sz="4" w:space="0" w:color="auto"/>
            </w:tcBorders>
            <w:shd w:val="clear" w:color="000000" w:fill="FFFFFF"/>
            <w:vAlign w:val="center"/>
            <w:hideMark/>
          </w:tcPr>
          <w:p w14:paraId="245F8CD6"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337 000,00</w:t>
            </w:r>
          </w:p>
        </w:tc>
        <w:tc>
          <w:tcPr>
            <w:tcW w:w="992" w:type="dxa"/>
            <w:tcBorders>
              <w:top w:val="nil"/>
              <w:left w:val="nil"/>
              <w:bottom w:val="single" w:sz="4" w:space="0" w:color="auto"/>
              <w:right w:val="single" w:sz="4" w:space="0" w:color="auto"/>
            </w:tcBorders>
            <w:noWrap/>
            <w:vAlign w:val="center"/>
            <w:hideMark/>
          </w:tcPr>
          <w:p w14:paraId="00AAC31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238 119,47</w:t>
            </w:r>
          </w:p>
        </w:tc>
        <w:tc>
          <w:tcPr>
            <w:tcW w:w="1001" w:type="dxa"/>
            <w:tcBorders>
              <w:top w:val="nil"/>
              <w:left w:val="nil"/>
              <w:bottom w:val="single" w:sz="4" w:space="0" w:color="auto"/>
              <w:right w:val="single" w:sz="4" w:space="0" w:color="auto"/>
            </w:tcBorders>
            <w:noWrap/>
            <w:vAlign w:val="center"/>
            <w:hideMark/>
          </w:tcPr>
          <w:p w14:paraId="320AF89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238 119,47</w:t>
            </w:r>
          </w:p>
        </w:tc>
        <w:tc>
          <w:tcPr>
            <w:tcW w:w="709" w:type="dxa"/>
            <w:tcBorders>
              <w:top w:val="nil"/>
              <w:left w:val="nil"/>
              <w:bottom w:val="single" w:sz="4" w:space="0" w:color="auto"/>
              <w:right w:val="single" w:sz="4" w:space="0" w:color="auto"/>
            </w:tcBorders>
            <w:noWrap/>
            <w:vAlign w:val="center"/>
            <w:hideMark/>
          </w:tcPr>
          <w:p w14:paraId="69EE706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98 880,53</w:t>
            </w:r>
          </w:p>
        </w:tc>
        <w:tc>
          <w:tcPr>
            <w:tcW w:w="855" w:type="dxa"/>
            <w:tcBorders>
              <w:top w:val="nil"/>
              <w:left w:val="nil"/>
              <w:bottom w:val="single" w:sz="4" w:space="0" w:color="auto"/>
              <w:right w:val="single" w:sz="4" w:space="0" w:color="auto"/>
            </w:tcBorders>
            <w:noWrap/>
            <w:vAlign w:val="center"/>
            <w:hideMark/>
          </w:tcPr>
          <w:p w14:paraId="7B5BC8D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70,66</w:t>
            </w:r>
          </w:p>
        </w:tc>
      </w:tr>
      <w:tr w:rsidR="0050758C" w:rsidRPr="0050758C" w14:paraId="786BB5D4"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098D85F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xml:space="preserve">Produit 6.2 (Jalon 6 c) : Démontrer la mise en œuvre des obligations légales de réalisation des évaluations environnementales et sociales par les opérateurs exerçant dans les secteurs forêt, mines, hydrocarbures, agriculture, infrastructures et énergie, etc. Pilotage </w:t>
            </w:r>
          </w:p>
        </w:tc>
        <w:tc>
          <w:tcPr>
            <w:tcW w:w="710" w:type="dxa"/>
            <w:tcBorders>
              <w:top w:val="nil"/>
              <w:left w:val="nil"/>
              <w:bottom w:val="single" w:sz="4" w:space="0" w:color="auto"/>
              <w:right w:val="single" w:sz="4" w:space="0" w:color="auto"/>
            </w:tcBorders>
            <w:shd w:val="clear" w:color="000000" w:fill="FFFFFF"/>
            <w:noWrap/>
            <w:vAlign w:val="center"/>
            <w:hideMark/>
          </w:tcPr>
          <w:p w14:paraId="155A2E7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3FB4CF10"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ITIE</w:t>
            </w:r>
          </w:p>
        </w:tc>
        <w:tc>
          <w:tcPr>
            <w:tcW w:w="1134" w:type="dxa"/>
            <w:tcBorders>
              <w:top w:val="nil"/>
              <w:left w:val="nil"/>
              <w:bottom w:val="single" w:sz="4" w:space="0" w:color="auto"/>
              <w:right w:val="single" w:sz="4" w:space="0" w:color="auto"/>
            </w:tcBorders>
            <w:noWrap/>
            <w:vAlign w:val="center"/>
            <w:hideMark/>
          </w:tcPr>
          <w:p w14:paraId="1678782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86 000,00</w:t>
            </w:r>
          </w:p>
        </w:tc>
        <w:tc>
          <w:tcPr>
            <w:tcW w:w="992" w:type="dxa"/>
            <w:tcBorders>
              <w:top w:val="nil"/>
              <w:left w:val="nil"/>
              <w:bottom w:val="single" w:sz="4" w:space="0" w:color="auto"/>
              <w:right w:val="single" w:sz="4" w:space="0" w:color="auto"/>
            </w:tcBorders>
            <w:shd w:val="clear" w:color="000000" w:fill="FFFFFF"/>
            <w:vAlign w:val="center"/>
            <w:hideMark/>
          </w:tcPr>
          <w:p w14:paraId="26A518E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43 000,00</w:t>
            </w:r>
          </w:p>
        </w:tc>
        <w:tc>
          <w:tcPr>
            <w:tcW w:w="992" w:type="dxa"/>
            <w:tcBorders>
              <w:top w:val="nil"/>
              <w:left w:val="nil"/>
              <w:bottom w:val="single" w:sz="4" w:space="0" w:color="auto"/>
              <w:right w:val="single" w:sz="4" w:space="0" w:color="auto"/>
            </w:tcBorders>
            <w:noWrap/>
            <w:vAlign w:val="center"/>
            <w:hideMark/>
          </w:tcPr>
          <w:p w14:paraId="26B90F0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6 980,00</w:t>
            </w:r>
          </w:p>
        </w:tc>
        <w:tc>
          <w:tcPr>
            <w:tcW w:w="1001" w:type="dxa"/>
            <w:tcBorders>
              <w:top w:val="nil"/>
              <w:left w:val="nil"/>
              <w:bottom w:val="single" w:sz="4" w:space="0" w:color="auto"/>
              <w:right w:val="single" w:sz="4" w:space="0" w:color="auto"/>
            </w:tcBorders>
            <w:noWrap/>
            <w:vAlign w:val="center"/>
            <w:hideMark/>
          </w:tcPr>
          <w:p w14:paraId="2481CFA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6 980,00</w:t>
            </w:r>
          </w:p>
        </w:tc>
        <w:tc>
          <w:tcPr>
            <w:tcW w:w="709" w:type="dxa"/>
            <w:tcBorders>
              <w:top w:val="nil"/>
              <w:left w:val="nil"/>
              <w:bottom w:val="single" w:sz="4" w:space="0" w:color="auto"/>
              <w:right w:val="single" w:sz="4" w:space="0" w:color="auto"/>
            </w:tcBorders>
            <w:noWrap/>
            <w:vAlign w:val="center"/>
            <w:hideMark/>
          </w:tcPr>
          <w:p w14:paraId="230883F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36 020,00</w:t>
            </w:r>
          </w:p>
        </w:tc>
        <w:tc>
          <w:tcPr>
            <w:tcW w:w="855" w:type="dxa"/>
            <w:tcBorders>
              <w:top w:val="nil"/>
              <w:left w:val="nil"/>
              <w:bottom w:val="single" w:sz="4" w:space="0" w:color="auto"/>
              <w:right w:val="single" w:sz="4" w:space="0" w:color="auto"/>
            </w:tcBorders>
            <w:noWrap/>
            <w:vAlign w:val="center"/>
            <w:hideMark/>
          </w:tcPr>
          <w:p w14:paraId="18BBD1C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16,23</w:t>
            </w:r>
          </w:p>
        </w:tc>
      </w:tr>
      <w:tr w:rsidR="0050758C" w:rsidRPr="0050758C" w14:paraId="2A896914" w14:textId="77777777" w:rsidTr="006D79E9">
        <w:trPr>
          <w:gridAfter w:val="2"/>
          <w:wAfter w:w="14" w:type="dxa"/>
          <w:trHeight w:val="48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72B6D7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6.3 : Les capacités humaines et techniques de l'ITIE dans le pilotage du processus de réalisation des jalons de la LOI sont renforcées.</w:t>
            </w:r>
          </w:p>
        </w:tc>
        <w:tc>
          <w:tcPr>
            <w:tcW w:w="710" w:type="dxa"/>
            <w:tcBorders>
              <w:top w:val="nil"/>
              <w:left w:val="nil"/>
              <w:bottom w:val="single" w:sz="4" w:space="0" w:color="auto"/>
              <w:right w:val="single" w:sz="4" w:space="0" w:color="auto"/>
            </w:tcBorders>
            <w:shd w:val="clear" w:color="000000" w:fill="FFFFFF"/>
            <w:noWrap/>
            <w:vAlign w:val="center"/>
            <w:hideMark/>
          </w:tcPr>
          <w:p w14:paraId="38144EC5"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7E1EA6C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ITIE</w:t>
            </w:r>
          </w:p>
        </w:tc>
        <w:tc>
          <w:tcPr>
            <w:tcW w:w="1134" w:type="dxa"/>
            <w:tcBorders>
              <w:top w:val="nil"/>
              <w:left w:val="nil"/>
              <w:bottom w:val="single" w:sz="4" w:space="0" w:color="auto"/>
              <w:right w:val="single" w:sz="4" w:space="0" w:color="auto"/>
            </w:tcBorders>
            <w:noWrap/>
            <w:vAlign w:val="center"/>
            <w:hideMark/>
          </w:tcPr>
          <w:p w14:paraId="78F1A1A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153 200,00</w:t>
            </w:r>
          </w:p>
        </w:tc>
        <w:tc>
          <w:tcPr>
            <w:tcW w:w="992" w:type="dxa"/>
            <w:tcBorders>
              <w:top w:val="nil"/>
              <w:left w:val="nil"/>
              <w:bottom w:val="single" w:sz="4" w:space="0" w:color="auto"/>
              <w:right w:val="single" w:sz="4" w:space="0" w:color="auto"/>
            </w:tcBorders>
            <w:shd w:val="clear" w:color="000000" w:fill="FFFFFF"/>
            <w:vAlign w:val="center"/>
            <w:hideMark/>
          </w:tcPr>
          <w:p w14:paraId="68D41AE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76 600,00</w:t>
            </w:r>
          </w:p>
        </w:tc>
        <w:tc>
          <w:tcPr>
            <w:tcW w:w="992" w:type="dxa"/>
            <w:tcBorders>
              <w:top w:val="nil"/>
              <w:left w:val="nil"/>
              <w:bottom w:val="single" w:sz="4" w:space="0" w:color="auto"/>
              <w:right w:val="single" w:sz="4" w:space="0" w:color="auto"/>
            </w:tcBorders>
            <w:noWrap/>
            <w:vAlign w:val="center"/>
            <w:hideMark/>
          </w:tcPr>
          <w:p w14:paraId="2C19CF0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58 667,32</w:t>
            </w:r>
          </w:p>
        </w:tc>
        <w:tc>
          <w:tcPr>
            <w:tcW w:w="1001" w:type="dxa"/>
            <w:tcBorders>
              <w:top w:val="nil"/>
              <w:left w:val="nil"/>
              <w:bottom w:val="single" w:sz="4" w:space="0" w:color="auto"/>
              <w:right w:val="single" w:sz="4" w:space="0" w:color="auto"/>
            </w:tcBorders>
            <w:noWrap/>
            <w:vAlign w:val="center"/>
            <w:hideMark/>
          </w:tcPr>
          <w:p w14:paraId="75287D6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58 667,32</w:t>
            </w:r>
          </w:p>
        </w:tc>
        <w:tc>
          <w:tcPr>
            <w:tcW w:w="709" w:type="dxa"/>
            <w:tcBorders>
              <w:top w:val="nil"/>
              <w:left w:val="nil"/>
              <w:bottom w:val="single" w:sz="4" w:space="0" w:color="auto"/>
              <w:right w:val="single" w:sz="4" w:space="0" w:color="auto"/>
            </w:tcBorders>
            <w:noWrap/>
            <w:vAlign w:val="center"/>
            <w:hideMark/>
          </w:tcPr>
          <w:p w14:paraId="2D6009A0"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17 932,68</w:t>
            </w:r>
          </w:p>
        </w:tc>
        <w:tc>
          <w:tcPr>
            <w:tcW w:w="855" w:type="dxa"/>
            <w:tcBorders>
              <w:top w:val="nil"/>
              <w:left w:val="nil"/>
              <w:bottom w:val="single" w:sz="4" w:space="0" w:color="auto"/>
              <w:right w:val="single" w:sz="4" w:space="0" w:color="auto"/>
            </w:tcBorders>
            <w:noWrap/>
            <w:vAlign w:val="center"/>
            <w:hideMark/>
          </w:tcPr>
          <w:p w14:paraId="585E08E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76,59</w:t>
            </w:r>
          </w:p>
        </w:tc>
      </w:tr>
      <w:tr w:rsidR="0050758C" w:rsidRPr="0050758C" w14:paraId="225BA2E5"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7490FD3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6 : ITIE</w:t>
            </w:r>
          </w:p>
        </w:tc>
        <w:tc>
          <w:tcPr>
            <w:tcW w:w="710" w:type="dxa"/>
            <w:tcBorders>
              <w:top w:val="nil"/>
              <w:left w:val="nil"/>
              <w:bottom w:val="single" w:sz="4" w:space="0" w:color="auto"/>
              <w:right w:val="single" w:sz="4" w:space="0" w:color="auto"/>
            </w:tcBorders>
            <w:shd w:val="clear" w:color="000000" w:fill="C0CF3A"/>
            <w:noWrap/>
            <w:vAlign w:val="center"/>
            <w:hideMark/>
          </w:tcPr>
          <w:p w14:paraId="794EA50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591E088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703A478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913 200,00</w:t>
            </w:r>
          </w:p>
        </w:tc>
        <w:tc>
          <w:tcPr>
            <w:tcW w:w="992" w:type="dxa"/>
            <w:tcBorders>
              <w:top w:val="nil"/>
              <w:left w:val="nil"/>
              <w:bottom w:val="single" w:sz="4" w:space="0" w:color="auto"/>
              <w:right w:val="single" w:sz="4" w:space="0" w:color="auto"/>
            </w:tcBorders>
            <w:shd w:val="clear" w:color="000000" w:fill="C0CF3A"/>
            <w:noWrap/>
            <w:vAlign w:val="center"/>
            <w:hideMark/>
          </w:tcPr>
          <w:p w14:paraId="06D63AF8"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456 600,00</w:t>
            </w:r>
          </w:p>
        </w:tc>
        <w:tc>
          <w:tcPr>
            <w:tcW w:w="992" w:type="dxa"/>
            <w:tcBorders>
              <w:top w:val="nil"/>
              <w:left w:val="nil"/>
              <w:bottom w:val="single" w:sz="4" w:space="0" w:color="auto"/>
              <w:right w:val="single" w:sz="4" w:space="0" w:color="auto"/>
            </w:tcBorders>
            <w:shd w:val="clear" w:color="000000" w:fill="C0CF3A"/>
            <w:noWrap/>
            <w:vAlign w:val="center"/>
            <w:hideMark/>
          </w:tcPr>
          <w:p w14:paraId="63A0EF91"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303 766,79</w:t>
            </w:r>
          </w:p>
        </w:tc>
        <w:tc>
          <w:tcPr>
            <w:tcW w:w="1001" w:type="dxa"/>
            <w:tcBorders>
              <w:top w:val="nil"/>
              <w:left w:val="nil"/>
              <w:bottom w:val="single" w:sz="4" w:space="0" w:color="auto"/>
              <w:right w:val="single" w:sz="4" w:space="0" w:color="auto"/>
            </w:tcBorders>
            <w:shd w:val="clear" w:color="000000" w:fill="C0CF3A"/>
            <w:noWrap/>
            <w:vAlign w:val="center"/>
            <w:hideMark/>
          </w:tcPr>
          <w:p w14:paraId="301385B6"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303 766,79</w:t>
            </w:r>
          </w:p>
        </w:tc>
        <w:tc>
          <w:tcPr>
            <w:tcW w:w="709" w:type="dxa"/>
            <w:tcBorders>
              <w:top w:val="nil"/>
              <w:left w:val="nil"/>
              <w:bottom w:val="single" w:sz="4" w:space="0" w:color="auto"/>
              <w:right w:val="single" w:sz="4" w:space="0" w:color="auto"/>
            </w:tcBorders>
            <w:shd w:val="clear" w:color="000000" w:fill="C0CF3A"/>
            <w:noWrap/>
            <w:vAlign w:val="center"/>
            <w:hideMark/>
          </w:tcPr>
          <w:p w14:paraId="77FD7081"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152 833,21</w:t>
            </w:r>
          </w:p>
        </w:tc>
        <w:tc>
          <w:tcPr>
            <w:tcW w:w="855" w:type="dxa"/>
            <w:tcBorders>
              <w:top w:val="nil"/>
              <w:left w:val="nil"/>
              <w:bottom w:val="single" w:sz="4" w:space="0" w:color="auto"/>
              <w:right w:val="single" w:sz="4" w:space="0" w:color="auto"/>
            </w:tcBorders>
            <w:shd w:val="clear" w:color="000000" w:fill="C0CF3A"/>
            <w:noWrap/>
            <w:vAlign w:val="center"/>
            <w:hideMark/>
          </w:tcPr>
          <w:p w14:paraId="50D1F97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66,53</w:t>
            </w:r>
          </w:p>
        </w:tc>
      </w:tr>
      <w:tr w:rsidR="0050758C" w:rsidRPr="0050758C" w14:paraId="780B0D80"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8EAADB"/>
            <w:noWrap/>
            <w:vAlign w:val="center"/>
            <w:hideMark/>
          </w:tcPr>
          <w:p w14:paraId="3084F72C" w14:textId="77777777" w:rsidR="0050758C" w:rsidRPr="0050758C" w:rsidRDefault="0050758C">
            <w:pPr>
              <w:rPr>
                <w:rFonts w:ascii="Calibri" w:hAnsi="Calibri" w:cs="Calibri"/>
                <w:color w:val="1F3864"/>
                <w:sz w:val="16"/>
                <w:szCs w:val="16"/>
              </w:rPr>
            </w:pPr>
            <w:r w:rsidRPr="0050758C">
              <w:rPr>
                <w:rFonts w:ascii="Calibri" w:hAnsi="Calibri" w:cs="Calibri"/>
                <w:color w:val="1F3864"/>
                <w:sz w:val="16"/>
                <w:szCs w:val="16"/>
              </w:rPr>
              <w:t>Effet 7: Les exploitants respectent des normes Socio Environnementale contrôlées</w:t>
            </w:r>
          </w:p>
        </w:tc>
      </w:tr>
      <w:tr w:rsidR="0050758C" w:rsidRPr="0050758C" w14:paraId="58269F3E"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5B11E26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COMPOSANTE/SOUS PROJET 7 : ACE</w:t>
            </w:r>
          </w:p>
        </w:tc>
      </w:tr>
      <w:tr w:rsidR="0050758C" w:rsidRPr="0050758C" w14:paraId="7DBECD94" w14:textId="77777777" w:rsidTr="006D79E9">
        <w:trPr>
          <w:gridAfter w:val="2"/>
          <w:wAfter w:w="14" w:type="dxa"/>
          <w:trHeight w:val="7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5CB7FEF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7.1 : Démontrer la mise en œuvre des obligations légales de réalisation des évaluations environnementales et sociales par les opérateurs exerçant dans les secteurs forêt, mines, hydrocarbures, agriculture, infrastructures et énergie, etc. Pilotage ITIE – ACE</w:t>
            </w:r>
          </w:p>
        </w:tc>
        <w:tc>
          <w:tcPr>
            <w:tcW w:w="710" w:type="dxa"/>
            <w:tcBorders>
              <w:top w:val="nil"/>
              <w:left w:val="nil"/>
              <w:bottom w:val="single" w:sz="4" w:space="0" w:color="auto"/>
              <w:right w:val="single" w:sz="4" w:space="0" w:color="auto"/>
            </w:tcBorders>
            <w:shd w:val="clear" w:color="000000" w:fill="FFFFFF"/>
            <w:noWrap/>
            <w:vAlign w:val="center"/>
            <w:hideMark/>
          </w:tcPr>
          <w:p w14:paraId="19BD23B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08102975"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ACE/DDD</w:t>
            </w:r>
          </w:p>
        </w:tc>
        <w:tc>
          <w:tcPr>
            <w:tcW w:w="1134" w:type="dxa"/>
            <w:tcBorders>
              <w:top w:val="nil"/>
              <w:left w:val="nil"/>
              <w:bottom w:val="single" w:sz="4" w:space="0" w:color="auto"/>
              <w:right w:val="single" w:sz="4" w:space="0" w:color="auto"/>
            </w:tcBorders>
            <w:noWrap/>
            <w:vAlign w:val="center"/>
            <w:hideMark/>
          </w:tcPr>
          <w:p w14:paraId="6F13184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122 000,00</w:t>
            </w:r>
          </w:p>
        </w:tc>
        <w:tc>
          <w:tcPr>
            <w:tcW w:w="992" w:type="dxa"/>
            <w:tcBorders>
              <w:top w:val="nil"/>
              <w:left w:val="nil"/>
              <w:bottom w:val="single" w:sz="4" w:space="0" w:color="auto"/>
              <w:right w:val="single" w:sz="4" w:space="0" w:color="auto"/>
            </w:tcBorders>
            <w:shd w:val="clear" w:color="000000" w:fill="FFFFFF"/>
            <w:vAlign w:val="center"/>
            <w:hideMark/>
          </w:tcPr>
          <w:p w14:paraId="4A979DDB"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61 000,00</w:t>
            </w:r>
          </w:p>
        </w:tc>
        <w:tc>
          <w:tcPr>
            <w:tcW w:w="992" w:type="dxa"/>
            <w:tcBorders>
              <w:top w:val="nil"/>
              <w:left w:val="nil"/>
              <w:bottom w:val="single" w:sz="4" w:space="0" w:color="auto"/>
              <w:right w:val="single" w:sz="4" w:space="0" w:color="auto"/>
            </w:tcBorders>
            <w:noWrap/>
            <w:vAlign w:val="center"/>
            <w:hideMark/>
          </w:tcPr>
          <w:p w14:paraId="358FC5C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22 688,00</w:t>
            </w:r>
          </w:p>
        </w:tc>
        <w:tc>
          <w:tcPr>
            <w:tcW w:w="1001" w:type="dxa"/>
            <w:tcBorders>
              <w:top w:val="nil"/>
              <w:left w:val="nil"/>
              <w:bottom w:val="single" w:sz="4" w:space="0" w:color="auto"/>
              <w:right w:val="single" w:sz="4" w:space="0" w:color="auto"/>
            </w:tcBorders>
            <w:noWrap/>
            <w:vAlign w:val="center"/>
            <w:hideMark/>
          </w:tcPr>
          <w:p w14:paraId="67A360B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22 688,00</w:t>
            </w:r>
          </w:p>
        </w:tc>
        <w:tc>
          <w:tcPr>
            <w:tcW w:w="709" w:type="dxa"/>
            <w:tcBorders>
              <w:top w:val="nil"/>
              <w:left w:val="nil"/>
              <w:bottom w:val="single" w:sz="4" w:space="0" w:color="auto"/>
              <w:right w:val="single" w:sz="4" w:space="0" w:color="auto"/>
            </w:tcBorders>
            <w:noWrap/>
            <w:vAlign w:val="center"/>
            <w:hideMark/>
          </w:tcPr>
          <w:p w14:paraId="01C2759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38 312,00</w:t>
            </w:r>
          </w:p>
        </w:tc>
        <w:tc>
          <w:tcPr>
            <w:tcW w:w="855" w:type="dxa"/>
            <w:tcBorders>
              <w:top w:val="nil"/>
              <w:left w:val="nil"/>
              <w:bottom w:val="single" w:sz="4" w:space="0" w:color="auto"/>
              <w:right w:val="single" w:sz="4" w:space="0" w:color="auto"/>
            </w:tcBorders>
            <w:noWrap/>
            <w:vAlign w:val="center"/>
            <w:hideMark/>
          </w:tcPr>
          <w:p w14:paraId="1C2620A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37,19</w:t>
            </w:r>
          </w:p>
        </w:tc>
      </w:tr>
      <w:tr w:rsidR="0050758C" w:rsidRPr="0050758C" w14:paraId="60533F3D" w14:textId="77777777" w:rsidTr="006D79E9">
        <w:trPr>
          <w:gridAfter w:val="2"/>
          <w:wAfter w:w="14" w:type="dxa"/>
          <w:trHeight w:val="9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1BE198B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7.2 (Jalon 6 f) : Conditionner tout investissement minier et d’hydrocarbures dans la zone tampon d’aires protégées par le fait qu’il n’ait pas d’incidence négative sur l’aire protégée, et assujettir ces investissements à une étude d’impact environnemental et social préalable, assortie de son plan de gestion dûment approuvés, conformément au cadre légal en vigueur.</w:t>
            </w:r>
          </w:p>
        </w:tc>
        <w:tc>
          <w:tcPr>
            <w:tcW w:w="710" w:type="dxa"/>
            <w:tcBorders>
              <w:top w:val="nil"/>
              <w:left w:val="nil"/>
              <w:bottom w:val="single" w:sz="4" w:space="0" w:color="auto"/>
              <w:right w:val="single" w:sz="4" w:space="0" w:color="auto"/>
            </w:tcBorders>
            <w:shd w:val="clear" w:color="000000" w:fill="FFFFFF"/>
            <w:noWrap/>
            <w:vAlign w:val="center"/>
            <w:hideMark/>
          </w:tcPr>
          <w:p w14:paraId="38AD226A"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650E063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ACE/DDD</w:t>
            </w:r>
          </w:p>
        </w:tc>
        <w:tc>
          <w:tcPr>
            <w:tcW w:w="1134" w:type="dxa"/>
            <w:tcBorders>
              <w:top w:val="nil"/>
              <w:left w:val="nil"/>
              <w:bottom w:val="single" w:sz="4" w:space="0" w:color="auto"/>
              <w:right w:val="single" w:sz="4" w:space="0" w:color="auto"/>
            </w:tcBorders>
            <w:noWrap/>
            <w:vAlign w:val="center"/>
            <w:hideMark/>
          </w:tcPr>
          <w:p w14:paraId="661221C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88 100,00</w:t>
            </w:r>
          </w:p>
        </w:tc>
        <w:tc>
          <w:tcPr>
            <w:tcW w:w="992" w:type="dxa"/>
            <w:tcBorders>
              <w:top w:val="nil"/>
              <w:left w:val="nil"/>
              <w:bottom w:val="single" w:sz="4" w:space="0" w:color="auto"/>
              <w:right w:val="single" w:sz="4" w:space="0" w:color="auto"/>
            </w:tcBorders>
            <w:shd w:val="clear" w:color="000000" w:fill="FFFFFF"/>
            <w:vAlign w:val="center"/>
            <w:hideMark/>
          </w:tcPr>
          <w:p w14:paraId="60A7DF4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44 050,00</w:t>
            </w:r>
          </w:p>
        </w:tc>
        <w:tc>
          <w:tcPr>
            <w:tcW w:w="992" w:type="dxa"/>
            <w:tcBorders>
              <w:top w:val="nil"/>
              <w:left w:val="nil"/>
              <w:bottom w:val="single" w:sz="4" w:space="0" w:color="auto"/>
              <w:right w:val="single" w:sz="4" w:space="0" w:color="auto"/>
            </w:tcBorders>
            <w:noWrap/>
            <w:vAlign w:val="center"/>
            <w:hideMark/>
          </w:tcPr>
          <w:p w14:paraId="232CD7B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26 420,00</w:t>
            </w:r>
          </w:p>
        </w:tc>
        <w:tc>
          <w:tcPr>
            <w:tcW w:w="1001" w:type="dxa"/>
            <w:tcBorders>
              <w:top w:val="nil"/>
              <w:left w:val="nil"/>
              <w:bottom w:val="single" w:sz="4" w:space="0" w:color="auto"/>
              <w:right w:val="single" w:sz="4" w:space="0" w:color="auto"/>
            </w:tcBorders>
            <w:noWrap/>
            <w:vAlign w:val="center"/>
            <w:hideMark/>
          </w:tcPr>
          <w:p w14:paraId="0A5D7C07"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26 420,00</w:t>
            </w:r>
          </w:p>
        </w:tc>
        <w:tc>
          <w:tcPr>
            <w:tcW w:w="709" w:type="dxa"/>
            <w:tcBorders>
              <w:top w:val="nil"/>
              <w:left w:val="nil"/>
              <w:bottom w:val="single" w:sz="4" w:space="0" w:color="auto"/>
              <w:right w:val="single" w:sz="4" w:space="0" w:color="auto"/>
            </w:tcBorders>
            <w:noWrap/>
            <w:vAlign w:val="center"/>
            <w:hideMark/>
          </w:tcPr>
          <w:p w14:paraId="3F6BD08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17 630,00</w:t>
            </w:r>
          </w:p>
        </w:tc>
        <w:tc>
          <w:tcPr>
            <w:tcW w:w="855" w:type="dxa"/>
            <w:tcBorders>
              <w:top w:val="nil"/>
              <w:left w:val="nil"/>
              <w:bottom w:val="single" w:sz="4" w:space="0" w:color="auto"/>
              <w:right w:val="single" w:sz="4" w:space="0" w:color="auto"/>
            </w:tcBorders>
            <w:noWrap/>
            <w:vAlign w:val="center"/>
            <w:hideMark/>
          </w:tcPr>
          <w:p w14:paraId="262B25B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59,98</w:t>
            </w:r>
          </w:p>
        </w:tc>
      </w:tr>
      <w:tr w:rsidR="0050758C" w:rsidRPr="0050758C" w14:paraId="6A316F46" w14:textId="77777777" w:rsidTr="006D79E9">
        <w:trPr>
          <w:gridAfter w:val="2"/>
          <w:wAfter w:w="14" w:type="dxa"/>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74ADEBD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7.3 (Jalon 6 g) : Les Normes REDD+28sont élaborées de manière participative, adoptées et intégrées dans le Manuel d’Opérations et des Procédures des évaluations environnementales et sociales, en prenant en compte les meilleures pratiques nationales et internationales en relation avec la prévention, l’atténuation et la compensation (par ordre de priorité) des impacts négatifs directs et indirects des investissements miniers et des hydrocarbures, d’ici fin 2023. Les normes REDD+ sont assorties d’un mécanisme d’audit indépendant.</w:t>
            </w:r>
          </w:p>
        </w:tc>
        <w:tc>
          <w:tcPr>
            <w:tcW w:w="710" w:type="dxa"/>
            <w:tcBorders>
              <w:top w:val="nil"/>
              <w:left w:val="nil"/>
              <w:bottom w:val="single" w:sz="4" w:space="0" w:color="auto"/>
              <w:right w:val="single" w:sz="4" w:space="0" w:color="auto"/>
            </w:tcBorders>
            <w:shd w:val="clear" w:color="000000" w:fill="FFFFFF"/>
            <w:noWrap/>
            <w:vAlign w:val="center"/>
            <w:hideMark/>
          </w:tcPr>
          <w:p w14:paraId="4F3E5BEB"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2659301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ACE/DDD</w:t>
            </w:r>
          </w:p>
        </w:tc>
        <w:tc>
          <w:tcPr>
            <w:tcW w:w="1134" w:type="dxa"/>
            <w:tcBorders>
              <w:top w:val="nil"/>
              <w:left w:val="nil"/>
              <w:bottom w:val="single" w:sz="4" w:space="0" w:color="auto"/>
              <w:right w:val="single" w:sz="4" w:space="0" w:color="auto"/>
            </w:tcBorders>
            <w:noWrap/>
            <w:vAlign w:val="center"/>
            <w:hideMark/>
          </w:tcPr>
          <w:p w14:paraId="4696EDDF"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9 000,00</w:t>
            </w:r>
          </w:p>
        </w:tc>
        <w:tc>
          <w:tcPr>
            <w:tcW w:w="992" w:type="dxa"/>
            <w:tcBorders>
              <w:top w:val="nil"/>
              <w:left w:val="nil"/>
              <w:bottom w:val="single" w:sz="4" w:space="0" w:color="auto"/>
              <w:right w:val="single" w:sz="4" w:space="0" w:color="auto"/>
            </w:tcBorders>
            <w:shd w:val="clear" w:color="000000" w:fill="FFFFFF"/>
            <w:vAlign w:val="center"/>
            <w:hideMark/>
          </w:tcPr>
          <w:p w14:paraId="27306618"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4 500,00</w:t>
            </w:r>
          </w:p>
        </w:tc>
        <w:tc>
          <w:tcPr>
            <w:tcW w:w="992" w:type="dxa"/>
            <w:tcBorders>
              <w:top w:val="nil"/>
              <w:left w:val="nil"/>
              <w:bottom w:val="single" w:sz="4" w:space="0" w:color="auto"/>
              <w:right w:val="single" w:sz="4" w:space="0" w:color="auto"/>
            </w:tcBorders>
            <w:noWrap/>
            <w:vAlign w:val="center"/>
            <w:hideMark/>
          </w:tcPr>
          <w:p w14:paraId="06C977A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1001" w:type="dxa"/>
            <w:tcBorders>
              <w:top w:val="nil"/>
              <w:left w:val="nil"/>
              <w:bottom w:val="single" w:sz="4" w:space="0" w:color="auto"/>
              <w:right w:val="single" w:sz="4" w:space="0" w:color="auto"/>
            </w:tcBorders>
            <w:noWrap/>
            <w:vAlign w:val="center"/>
            <w:hideMark/>
          </w:tcPr>
          <w:p w14:paraId="79FFAF0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c>
          <w:tcPr>
            <w:tcW w:w="709" w:type="dxa"/>
            <w:tcBorders>
              <w:top w:val="nil"/>
              <w:left w:val="nil"/>
              <w:bottom w:val="single" w:sz="4" w:space="0" w:color="auto"/>
              <w:right w:val="single" w:sz="4" w:space="0" w:color="auto"/>
            </w:tcBorders>
            <w:noWrap/>
            <w:vAlign w:val="center"/>
            <w:hideMark/>
          </w:tcPr>
          <w:p w14:paraId="60E9D72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4 500,00</w:t>
            </w:r>
          </w:p>
        </w:tc>
        <w:tc>
          <w:tcPr>
            <w:tcW w:w="855" w:type="dxa"/>
            <w:tcBorders>
              <w:top w:val="nil"/>
              <w:left w:val="nil"/>
              <w:bottom w:val="single" w:sz="4" w:space="0" w:color="auto"/>
              <w:right w:val="single" w:sz="4" w:space="0" w:color="auto"/>
            </w:tcBorders>
            <w:noWrap/>
            <w:vAlign w:val="center"/>
            <w:hideMark/>
          </w:tcPr>
          <w:p w14:paraId="05F02E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0,00</w:t>
            </w:r>
          </w:p>
        </w:tc>
      </w:tr>
      <w:tr w:rsidR="0050758C" w:rsidRPr="0050758C" w14:paraId="2E81C846" w14:textId="77777777" w:rsidTr="006D79E9">
        <w:trPr>
          <w:gridAfter w:val="2"/>
          <w:wAfter w:w="14" w:type="dxa"/>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0586B74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Produit 7.4 (Jalon 6 g) : Les Normes REDD+28sont élaborées de manière participative, adoptées et intégrées dans le Manuel d’Opérations et des Procédures des évaluations environnementales et sociales, en prenant en compte les meilleures pratiques nationales et internationales en relation avec la prévention, l’atténuation et la compensation (par ordre de priorité) des impacts négatifs directs et indirects des investissements miniers et des hydrocarbures, d’ici fin 2023. Les normes REDD+ sont assorties d’un mécanisme d’audit indépendant.</w:t>
            </w:r>
          </w:p>
        </w:tc>
        <w:tc>
          <w:tcPr>
            <w:tcW w:w="710" w:type="dxa"/>
            <w:tcBorders>
              <w:top w:val="nil"/>
              <w:left w:val="nil"/>
              <w:bottom w:val="single" w:sz="4" w:space="0" w:color="auto"/>
              <w:right w:val="single" w:sz="4" w:space="0" w:color="auto"/>
            </w:tcBorders>
            <w:shd w:val="clear" w:color="000000" w:fill="FFFFFF"/>
            <w:noWrap/>
            <w:vAlign w:val="center"/>
            <w:hideMark/>
          </w:tcPr>
          <w:p w14:paraId="1C33143D"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noWrap/>
            <w:vAlign w:val="center"/>
            <w:hideMark/>
          </w:tcPr>
          <w:p w14:paraId="6E9C270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ACE/DDD</w:t>
            </w:r>
          </w:p>
        </w:tc>
        <w:tc>
          <w:tcPr>
            <w:tcW w:w="1134" w:type="dxa"/>
            <w:tcBorders>
              <w:top w:val="nil"/>
              <w:left w:val="nil"/>
              <w:bottom w:val="single" w:sz="4" w:space="0" w:color="auto"/>
              <w:right w:val="single" w:sz="4" w:space="0" w:color="auto"/>
            </w:tcBorders>
            <w:noWrap/>
            <w:vAlign w:val="center"/>
            <w:hideMark/>
          </w:tcPr>
          <w:p w14:paraId="7791FA3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139 100,00</w:t>
            </w:r>
          </w:p>
        </w:tc>
        <w:tc>
          <w:tcPr>
            <w:tcW w:w="992" w:type="dxa"/>
            <w:tcBorders>
              <w:top w:val="nil"/>
              <w:left w:val="nil"/>
              <w:bottom w:val="single" w:sz="4" w:space="0" w:color="auto"/>
              <w:right w:val="single" w:sz="4" w:space="0" w:color="auto"/>
            </w:tcBorders>
            <w:shd w:val="clear" w:color="000000" w:fill="FFFFFF"/>
            <w:vAlign w:val="center"/>
            <w:hideMark/>
          </w:tcPr>
          <w:p w14:paraId="3639766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69 550,00</w:t>
            </w:r>
          </w:p>
        </w:tc>
        <w:tc>
          <w:tcPr>
            <w:tcW w:w="992" w:type="dxa"/>
            <w:tcBorders>
              <w:top w:val="nil"/>
              <w:left w:val="nil"/>
              <w:bottom w:val="single" w:sz="4" w:space="0" w:color="auto"/>
              <w:right w:val="single" w:sz="4" w:space="0" w:color="auto"/>
            </w:tcBorders>
            <w:noWrap/>
            <w:vAlign w:val="center"/>
            <w:hideMark/>
          </w:tcPr>
          <w:p w14:paraId="557F7C6B"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59 948,00</w:t>
            </w:r>
          </w:p>
        </w:tc>
        <w:tc>
          <w:tcPr>
            <w:tcW w:w="1001" w:type="dxa"/>
            <w:tcBorders>
              <w:top w:val="nil"/>
              <w:left w:val="nil"/>
              <w:bottom w:val="single" w:sz="4" w:space="0" w:color="auto"/>
              <w:right w:val="single" w:sz="4" w:space="0" w:color="auto"/>
            </w:tcBorders>
            <w:noWrap/>
            <w:vAlign w:val="center"/>
            <w:hideMark/>
          </w:tcPr>
          <w:p w14:paraId="16D5078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59 948,00</w:t>
            </w:r>
          </w:p>
        </w:tc>
        <w:tc>
          <w:tcPr>
            <w:tcW w:w="709" w:type="dxa"/>
            <w:tcBorders>
              <w:top w:val="nil"/>
              <w:left w:val="nil"/>
              <w:bottom w:val="single" w:sz="4" w:space="0" w:color="auto"/>
              <w:right w:val="single" w:sz="4" w:space="0" w:color="auto"/>
            </w:tcBorders>
            <w:noWrap/>
            <w:vAlign w:val="center"/>
            <w:hideMark/>
          </w:tcPr>
          <w:p w14:paraId="058E02FC"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9 602,00</w:t>
            </w:r>
          </w:p>
        </w:tc>
        <w:tc>
          <w:tcPr>
            <w:tcW w:w="855" w:type="dxa"/>
            <w:tcBorders>
              <w:top w:val="nil"/>
              <w:left w:val="nil"/>
              <w:bottom w:val="single" w:sz="4" w:space="0" w:color="auto"/>
              <w:right w:val="single" w:sz="4" w:space="0" w:color="auto"/>
            </w:tcBorders>
            <w:noWrap/>
            <w:vAlign w:val="center"/>
            <w:hideMark/>
          </w:tcPr>
          <w:p w14:paraId="3415419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86,19</w:t>
            </w:r>
          </w:p>
        </w:tc>
      </w:tr>
      <w:tr w:rsidR="0050758C" w:rsidRPr="0050758C" w14:paraId="6A64D72A"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43ECE26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Sous projet 7: ACE</w:t>
            </w:r>
          </w:p>
        </w:tc>
        <w:tc>
          <w:tcPr>
            <w:tcW w:w="710" w:type="dxa"/>
            <w:tcBorders>
              <w:top w:val="nil"/>
              <w:left w:val="nil"/>
              <w:bottom w:val="single" w:sz="4" w:space="0" w:color="auto"/>
              <w:right w:val="single" w:sz="4" w:space="0" w:color="auto"/>
            </w:tcBorders>
            <w:shd w:val="clear" w:color="000000" w:fill="C0CF3A"/>
            <w:noWrap/>
            <w:vAlign w:val="center"/>
            <w:hideMark/>
          </w:tcPr>
          <w:p w14:paraId="71B71D8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18F4AB2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7D5681E1"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358 200,00</w:t>
            </w:r>
          </w:p>
        </w:tc>
        <w:tc>
          <w:tcPr>
            <w:tcW w:w="992" w:type="dxa"/>
            <w:tcBorders>
              <w:top w:val="nil"/>
              <w:left w:val="nil"/>
              <w:bottom w:val="single" w:sz="4" w:space="0" w:color="auto"/>
              <w:right w:val="single" w:sz="4" w:space="0" w:color="auto"/>
            </w:tcBorders>
            <w:shd w:val="clear" w:color="000000" w:fill="C0CF3A"/>
            <w:noWrap/>
            <w:vAlign w:val="center"/>
            <w:hideMark/>
          </w:tcPr>
          <w:p w14:paraId="7AC193F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179 100,00</w:t>
            </w:r>
          </w:p>
        </w:tc>
        <w:tc>
          <w:tcPr>
            <w:tcW w:w="992" w:type="dxa"/>
            <w:tcBorders>
              <w:top w:val="nil"/>
              <w:left w:val="nil"/>
              <w:bottom w:val="single" w:sz="4" w:space="0" w:color="auto"/>
              <w:right w:val="single" w:sz="4" w:space="0" w:color="auto"/>
            </w:tcBorders>
            <w:shd w:val="clear" w:color="000000" w:fill="C0CF3A"/>
            <w:noWrap/>
            <w:vAlign w:val="center"/>
            <w:hideMark/>
          </w:tcPr>
          <w:p w14:paraId="6F56550D"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109 056,00</w:t>
            </w:r>
          </w:p>
        </w:tc>
        <w:tc>
          <w:tcPr>
            <w:tcW w:w="1001" w:type="dxa"/>
            <w:tcBorders>
              <w:top w:val="nil"/>
              <w:left w:val="nil"/>
              <w:bottom w:val="single" w:sz="4" w:space="0" w:color="auto"/>
              <w:right w:val="single" w:sz="4" w:space="0" w:color="auto"/>
            </w:tcBorders>
            <w:shd w:val="clear" w:color="000000" w:fill="C0CF3A"/>
            <w:noWrap/>
            <w:vAlign w:val="center"/>
            <w:hideMark/>
          </w:tcPr>
          <w:p w14:paraId="5E09CA55"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109 056,00</w:t>
            </w:r>
          </w:p>
        </w:tc>
        <w:tc>
          <w:tcPr>
            <w:tcW w:w="709" w:type="dxa"/>
            <w:tcBorders>
              <w:top w:val="nil"/>
              <w:left w:val="nil"/>
              <w:bottom w:val="single" w:sz="4" w:space="0" w:color="auto"/>
              <w:right w:val="single" w:sz="4" w:space="0" w:color="auto"/>
            </w:tcBorders>
            <w:shd w:val="clear" w:color="000000" w:fill="C0CF3A"/>
            <w:noWrap/>
            <w:vAlign w:val="center"/>
            <w:hideMark/>
          </w:tcPr>
          <w:p w14:paraId="38A40D66"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70 044,00</w:t>
            </w:r>
          </w:p>
        </w:tc>
        <w:tc>
          <w:tcPr>
            <w:tcW w:w="855" w:type="dxa"/>
            <w:tcBorders>
              <w:top w:val="nil"/>
              <w:left w:val="nil"/>
              <w:bottom w:val="single" w:sz="4" w:space="0" w:color="auto"/>
              <w:right w:val="single" w:sz="4" w:space="0" w:color="auto"/>
            </w:tcBorders>
            <w:shd w:val="clear" w:color="000000" w:fill="C0CF3A"/>
            <w:noWrap/>
            <w:vAlign w:val="center"/>
            <w:hideMark/>
          </w:tcPr>
          <w:p w14:paraId="08A2D8D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60,89</w:t>
            </w:r>
          </w:p>
        </w:tc>
      </w:tr>
      <w:tr w:rsidR="0050758C" w:rsidRPr="0050758C" w14:paraId="47E2D839" w14:textId="77777777" w:rsidTr="006D79E9">
        <w:trPr>
          <w:gridAfter w:val="2"/>
          <w:wAfter w:w="14" w:type="dxa"/>
          <w:trHeight w:val="705"/>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399F4F2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COUTS DIRECTS DU PROJET SECTEUR (COMPOSANTE 1 + COMPOSANTE 2 + COMPOSANTE 3 + COMPOSANTE 4 + COMPOSANTE 5 + COMPOSANTE 6 + COMPOSANTE 7)</w:t>
            </w:r>
          </w:p>
        </w:tc>
        <w:tc>
          <w:tcPr>
            <w:tcW w:w="710" w:type="dxa"/>
            <w:tcBorders>
              <w:top w:val="nil"/>
              <w:left w:val="nil"/>
              <w:bottom w:val="single" w:sz="4" w:space="0" w:color="auto"/>
              <w:right w:val="single" w:sz="4" w:space="0" w:color="auto"/>
            </w:tcBorders>
            <w:shd w:val="clear" w:color="000000" w:fill="C0CF3A"/>
            <w:noWrap/>
            <w:vAlign w:val="center"/>
            <w:hideMark/>
          </w:tcPr>
          <w:p w14:paraId="2FAC96C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0B20798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77E2FCD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6 728 751,59</w:t>
            </w:r>
          </w:p>
        </w:tc>
        <w:tc>
          <w:tcPr>
            <w:tcW w:w="992" w:type="dxa"/>
            <w:tcBorders>
              <w:top w:val="nil"/>
              <w:left w:val="nil"/>
              <w:bottom w:val="single" w:sz="4" w:space="0" w:color="auto"/>
              <w:right w:val="single" w:sz="4" w:space="0" w:color="auto"/>
            </w:tcBorders>
            <w:shd w:val="clear" w:color="000000" w:fill="C0CF3A"/>
            <w:noWrap/>
            <w:vAlign w:val="center"/>
            <w:hideMark/>
          </w:tcPr>
          <w:p w14:paraId="5A0ACB46"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3 364 375,80</w:t>
            </w:r>
          </w:p>
        </w:tc>
        <w:tc>
          <w:tcPr>
            <w:tcW w:w="992" w:type="dxa"/>
            <w:tcBorders>
              <w:top w:val="nil"/>
              <w:left w:val="nil"/>
              <w:bottom w:val="single" w:sz="4" w:space="0" w:color="auto"/>
              <w:right w:val="single" w:sz="4" w:space="0" w:color="auto"/>
            </w:tcBorders>
            <w:shd w:val="clear" w:color="000000" w:fill="C0CF3A"/>
            <w:noWrap/>
            <w:vAlign w:val="center"/>
            <w:hideMark/>
          </w:tcPr>
          <w:p w14:paraId="6B25305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2 037 179,79</w:t>
            </w:r>
          </w:p>
        </w:tc>
        <w:tc>
          <w:tcPr>
            <w:tcW w:w="1001" w:type="dxa"/>
            <w:tcBorders>
              <w:top w:val="nil"/>
              <w:left w:val="nil"/>
              <w:bottom w:val="single" w:sz="4" w:space="0" w:color="auto"/>
              <w:right w:val="single" w:sz="4" w:space="0" w:color="auto"/>
            </w:tcBorders>
            <w:shd w:val="clear" w:color="000000" w:fill="C0CF3A"/>
            <w:noWrap/>
            <w:vAlign w:val="center"/>
            <w:hideMark/>
          </w:tcPr>
          <w:p w14:paraId="0CBC79B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2 037 179,79</w:t>
            </w:r>
          </w:p>
        </w:tc>
        <w:tc>
          <w:tcPr>
            <w:tcW w:w="709" w:type="dxa"/>
            <w:tcBorders>
              <w:top w:val="nil"/>
              <w:left w:val="nil"/>
              <w:bottom w:val="single" w:sz="4" w:space="0" w:color="auto"/>
              <w:right w:val="single" w:sz="4" w:space="0" w:color="auto"/>
            </w:tcBorders>
            <w:shd w:val="clear" w:color="000000" w:fill="C0CF3A"/>
            <w:noWrap/>
            <w:vAlign w:val="center"/>
            <w:hideMark/>
          </w:tcPr>
          <w:p w14:paraId="3596EC2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1 327 196,01</w:t>
            </w:r>
          </w:p>
        </w:tc>
        <w:tc>
          <w:tcPr>
            <w:tcW w:w="855" w:type="dxa"/>
            <w:tcBorders>
              <w:top w:val="nil"/>
              <w:left w:val="nil"/>
              <w:bottom w:val="single" w:sz="4" w:space="0" w:color="auto"/>
              <w:right w:val="single" w:sz="4" w:space="0" w:color="auto"/>
            </w:tcBorders>
            <w:shd w:val="clear" w:color="000000" w:fill="C0CF3A"/>
            <w:noWrap/>
            <w:vAlign w:val="center"/>
            <w:hideMark/>
          </w:tcPr>
          <w:p w14:paraId="79EE5940"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60,55</w:t>
            </w:r>
          </w:p>
        </w:tc>
      </w:tr>
      <w:tr w:rsidR="0050758C" w:rsidRPr="0050758C" w14:paraId="2FDD0958" w14:textId="77777777" w:rsidTr="0050758C">
        <w:trPr>
          <w:trHeight w:val="292"/>
        </w:trPr>
        <w:tc>
          <w:tcPr>
            <w:tcW w:w="11501" w:type="dxa"/>
            <w:gridSpan w:val="11"/>
            <w:tcBorders>
              <w:top w:val="single" w:sz="4" w:space="0" w:color="auto"/>
              <w:left w:val="single" w:sz="4" w:space="0" w:color="auto"/>
              <w:bottom w:val="single" w:sz="4" w:space="0" w:color="auto"/>
              <w:right w:val="single" w:sz="4" w:space="0" w:color="auto"/>
            </w:tcBorders>
            <w:shd w:val="clear" w:color="000000" w:fill="FFC000"/>
            <w:vAlign w:val="center"/>
            <w:hideMark/>
          </w:tcPr>
          <w:p w14:paraId="648DD2CE"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COMPOSANTE 8 : GESTION DU PROJET</w:t>
            </w:r>
          </w:p>
        </w:tc>
      </w:tr>
      <w:tr w:rsidR="0050758C" w:rsidRPr="0050758C" w14:paraId="18ABF63C"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4DBC4D02"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Personnel d'appui logisique, de coordination technique et gestion du projet.</w:t>
            </w:r>
          </w:p>
        </w:tc>
        <w:tc>
          <w:tcPr>
            <w:tcW w:w="710" w:type="dxa"/>
            <w:tcBorders>
              <w:top w:val="nil"/>
              <w:left w:val="nil"/>
              <w:bottom w:val="single" w:sz="4" w:space="0" w:color="auto"/>
              <w:right w:val="single" w:sz="4" w:space="0" w:color="auto"/>
            </w:tcBorders>
            <w:shd w:val="clear" w:color="000000" w:fill="FFFFFF"/>
            <w:vAlign w:val="center"/>
            <w:hideMark/>
          </w:tcPr>
          <w:p w14:paraId="4BE32FF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CTR</w:t>
            </w:r>
          </w:p>
        </w:tc>
        <w:tc>
          <w:tcPr>
            <w:tcW w:w="841" w:type="dxa"/>
            <w:tcBorders>
              <w:top w:val="nil"/>
              <w:left w:val="nil"/>
              <w:bottom w:val="single" w:sz="4" w:space="0" w:color="auto"/>
              <w:right w:val="single" w:sz="4" w:space="0" w:color="auto"/>
            </w:tcBorders>
            <w:shd w:val="clear" w:color="000000" w:fill="FFFFFF"/>
            <w:vAlign w:val="center"/>
            <w:hideMark/>
          </w:tcPr>
          <w:p w14:paraId="65B4530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CTR</w:t>
            </w:r>
          </w:p>
        </w:tc>
        <w:tc>
          <w:tcPr>
            <w:tcW w:w="1134" w:type="dxa"/>
            <w:tcBorders>
              <w:top w:val="nil"/>
              <w:left w:val="nil"/>
              <w:bottom w:val="single" w:sz="4" w:space="0" w:color="auto"/>
              <w:right w:val="single" w:sz="4" w:space="0" w:color="auto"/>
            </w:tcBorders>
            <w:shd w:val="clear" w:color="000000" w:fill="FFFFFF"/>
            <w:noWrap/>
            <w:vAlign w:val="center"/>
            <w:hideMark/>
          </w:tcPr>
          <w:p w14:paraId="51E1F8C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622 884,00</w:t>
            </w:r>
          </w:p>
        </w:tc>
        <w:tc>
          <w:tcPr>
            <w:tcW w:w="992" w:type="dxa"/>
            <w:tcBorders>
              <w:top w:val="nil"/>
              <w:left w:val="nil"/>
              <w:bottom w:val="single" w:sz="4" w:space="0" w:color="auto"/>
              <w:right w:val="single" w:sz="4" w:space="0" w:color="auto"/>
            </w:tcBorders>
            <w:shd w:val="clear" w:color="000000" w:fill="FFFFFF"/>
            <w:noWrap/>
            <w:vAlign w:val="center"/>
            <w:hideMark/>
          </w:tcPr>
          <w:p w14:paraId="6511BDD6"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311 441,96</w:t>
            </w:r>
          </w:p>
        </w:tc>
        <w:tc>
          <w:tcPr>
            <w:tcW w:w="992" w:type="dxa"/>
            <w:tcBorders>
              <w:top w:val="nil"/>
              <w:left w:val="nil"/>
              <w:bottom w:val="single" w:sz="4" w:space="0" w:color="auto"/>
              <w:right w:val="single" w:sz="4" w:space="0" w:color="auto"/>
            </w:tcBorders>
            <w:noWrap/>
            <w:vAlign w:val="center"/>
            <w:hideMark/>
          </w:tcPr>
          <w:p w14:paraId="74ACA8E2"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145 211,00</w:t>
            </w:r>
          </w:p>
        </w:tc>
        <w:tc>
          <w:tcPr>
            <w:tcW w:w="1001" w:type="dxa"/>
            <w:tcBorders>
              <w:top w:val="nil"/>
              <w:left w:val="nil"/>
              <w:bottom w:val="single" w:sz="4" w:space="0" w:color="auto"/>
              <w:right w:val="single" w:sz="4" w:space="0" w:color="auto"/>
            </w:tcBorders>
            <w:noWrap/>
            <w:vAlign w:val="center"/>
            <w:hideMark/>
          </w:tcPr>
          <w:p w14:paraId="1ED7E6C1"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145 211,00</w:t>
            </w:r>
          </w:p>
        </w:tc>
        <w:tc>
          <w:tcPr>
            <w:tcW w:w="709" w:type="dxa"/>
            <w:tcBorders>
              <w:top w:val="nil"/>
              <w:left w:val="nil"/>
              <w:bottom w:val="single" w:sz="4" w:space="0" w:color="auto"/>
              <w:right w:val="single" w:sz="4" w:space="0" w:color="auto"/>
            </w:tcBorders>
            <w:noWrap/>
            <w:vAlign w:val="center"/>
            <w:hideMark/>
          </w:tcPr>
          <w:p w14:paraId="5BBC4F4E"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477 673,00</w:t>
            </w:r>
          </w:p>
        </w:tc>
        <w:tc>
          <w:tcPr>
            <w:tcW w:w="855" w:type="dxa"/>
            <w:tcBorders>
              <w:top w:val="nil"/>
              <w:left w:val="nil"/>
              <w:bottom w:val="single" w:sz="4" w:space="0" w:color="auto"/>
              <w:right w:val="single" w:sz="4" w:space="0" w:color="auto"/>
            </w:tcBorders>
            <w:noWrap/>
            <w:vAlign w:val="center"/>
            <w:hideMark/>
          </w:tcPr>
          <w:p w14:paraId="623B515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23,31</w:t>
            </w:r>
          </w:p>
        </w:tc>
      </w:tr>
      <w:tr w:rsidR="0050758C" w:rsidRPr="0050758C" w14:paraId="6FDDFB31"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181212CC"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Coûts de gestion de l'Agence Porteur du projet (PNUD).</w:t>
            </w:r>
          </w:p>
        </w:tc>
        <w:tc>
          <w:tcPr>
            <w:tcW w:w="710" w:type="dxa"/>
            <w:tcBorders>
              <w:top w:val="nil"/>
              <w:left w:val="nil"/>
              <w:bottom w:val="single" w:sz="4" w:space="0" w:color="auto"/>
              <w:right w:val="single" w:sz="4" w:space="0" w:color="auto"/>
            </w:tcBorders>
            <w:shd w:val="clear" w:color="000000" w:fill="FFFFFF"/>
            <w:vAlign w:val="center"/>
            <w:hideMark/>
          </w:tcPr>
          <w:p w14:paraId="0867DC0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1370A9B3"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1134" w:type="dxa"/>
            <w:tcBorders>
              <w:top w:val="nil"/>
              <w:left w:val="nil"/>
              <w:bottom w:val="single" w:sz="4" w:space="0" w:color="auto"/>
              <w:right w:val="single" w:sz="4" w:space="0" w:color="auto"/>
            </w:tcBorders>
            <w:shd w:val="clear" w:color="000000" w:fill="FFFFFF"/>
            <w:noWrap/>
            <w:vAlign w:val="center"/>
            <w:hideMark/>
          </w:tcPr>
          <w:p w14:paraId="642AF17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125 000,00</w:t>
            </w:r>
          </w:p>
        </w:tc>
        <w:tc>
          <w:tcPr>
            <w:tcW w:w="992" w:type="dxa"/>
            <w:tcBorders>
              <w:top w:val="nil"/>
              <w:left w:val="nil"/>
              <w:bottom w:val="single" w:sz="4" w:space="0" w:color="auto"/>
              <w:right w:val="single" w:sz="4" w:space="0" w:color="auto"/>
            </w:tcBorders>
            <w:shd w:val="clear" w:color="000000" w:fill="FFFFFF"/>
            <w:noWrap/>
            <w:vAlign w:val="center"/>
            <w:hideMark/>
          </w:tcPr>
          <w:p w14:paraId="5E7F7B30"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62 500,00</w:t>
            </w:r>
          </w:p>
        </w:tc>
        <w:tc>
          <w:tcPr>
            <w:tcW w:w="992" w:type="dxa"/>
            <w:tcBorders>
              <w:top w:val="nil"/>
              <w:left w:val="nil"/>
              <w:bottom w:val="single" w:sz="4" w:space="0" w:color="auto"/>
              <w:right w:val="single" w:sz="4" w:space="0" w:color="auto"/>
            </w:tcBorders>
            <w:noWrap/>
            <w:vAlign w:val="center"/>
            <w:hideMark/>
          </w:tcPr>
          <w:p w14:paraId="5BA5C969"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31 730,72</w:t>
            </w:r>
          </w:p>
        </w:tc>
        <w:tc>
          <w:tcPr>
            <w:tcW w:w="1001" w:type="dxa"/>
            <w:tcBorders>
              <w:top w:val="nil"/>
              <w:left w:val="nil"/>
              <w:bottom w:val="single" w:sz="4" w:space="0" w:color="auto"/>
              <w:right w:val="single" w:sz="4" w:space="0" w:color="auto"/>
            </w:tcBorders>
            <w:noWrap/>
            <w:vAlign w:val="center"/>
            <w:hideMark/>
          </w:tcPr>
          <w:p w14:paraId="022CAD58"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31 730,72</w:t>
            </w:r>
          </w:p>
        </w:tc>
        <w:tc>
          <w:tcPr>
            <w:tcW w:w="709" w:type="dxa"/>
            <w:tcBorders>
              <w:top w:val="nil"/>
              <w:left w:val="nil"/>
              <w:bottom w:val="single" w:sz="4" w:space="0" w:color="auto"/>
              <w:right w:val="single" w:sz="4" w:space="0" w:color="auto"/>
            </w:tcBorders>
            <w:noWrap/>
            <w:vAlign w:val="center"/>
            <w:hideMark/>
          </w:tcPr>
          <w:p w14:paraId="0702C78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93 269,28</w:t>
            </w:r>
          </w:p>
        </w:tc>
        <w:tc>
          <w:tcPr>
            <w:tcW w:w="855" w:type="dxa"/>
            <w:tcBorders>
              <w:top w:val="nil"/>
              <w:left w:val="nil"/>
              <w:bottom w:val="single" w:sz="4" w:space="0" w:color="auto"/>
              <w:right w:val="single" w:sz="4" w:space="0" w:color="auto"/>
            </w:tcBorders>
            <w:noWrap/>
            <w:vAlign w:val="center"/>
            <w:hideMark/>
          </w:tcPr>
          <w:p w14:paraId="10AD9FF4"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25,38</w:t>
            </w:r>
          </w:p>
        </w:tc>
      </w:tr>
      <w:tr w:rsidR="0050758C" w:rsidRPr="0050758C" w14:paraId="7D23CCCE"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C0CF3A"/>
            <w:vAlign w:val="center"/>
            <w:hideMark/>
          </w:tcPr>
          <w:p w14:paraId="31FA742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COMPOSANTE 8 (GESTION DU PROJET)</w:t>
            </w:r>
          </w:p>
        </w:tc>
        <w:tc>
          <w:tcPr>
            <w:tcW w:w="710" w:type="dxa"/>
            <w:tcBorders>
              <w:top w:val="nil"/>
              <w:left w:val="nil"/>
              <w:bottom w:val="single" w:sz="4" w:space="0" w:color="auto"/>
              <w:right w:val="single" w:sz="4" w:space="0" w:color="auto"/>
            </w:tcBorders>
            <w:shd w:val="clear" w:color="000000" w:fill="C0CF3A"/>
            <w:noWrap/>
            <w:vAlign w:val="center"/>
            <w:hideMark/>
          </w:tcPr>
          <w:p w14:paraId="70471398"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C0CF3A"/>
            <w:noWrap/>
            <w:vAlign w:val="center"/>
            <w:hideMark/>
          </w:tcPr>
          <w:p w14:paraId="71C7B217"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C0CF3A"/>
            <w:noWrap/>
            <w:vAlign w:val="center"/>
            <w:hideMark/>
          </w:tcPr>
          <w:p w14:paraId="15081092"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747 884,41</w:t>
            </w:r>
          </w:p>
        </w:tc>
        <w:tc>
          <w:tcPr>
            <w:tcW w:w="992" w:type="dxa"/>
            <w:tcBorders>
              <w:top w:val="nil"/>
              <w:left w:val="nil"/>
              <w:bottom w:val="single" w:sz="4" w:space="0" w:color="auto"/>
              <w:right w:val="single" w:sz="4" w:space="0" w:color="auto"/>
            </w:tcBorders>
            <w:shd w:val="clear" w:color="000000" w:fill="C0CF3A"/>
            <w:noWrap/>
            <w:vAlign w:val="center"/>
            <w:hideMark/>
          </w:tcPr>
          <w:p w14:paraId="7170806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373 941,96</w:t>
            </w:r>
          </w:p>
        </w:tc>
        <w:tc>
          <w:tcPr>
            <w:tcW w:w="992" w:type="dxa"/>
            <w:tcBorders>
              <w:top w:val="nil"/>
              <w:left w:val="nil"/>
              <w:bottom w:val="single" w:sz="4" w:space="0" w:color="auto"/>
              <w:right w:val="single" w:sz="4" w:space="0" w:color="auto"/>
            </w:tcBorders>
            <w:shd w:val="clear" w:color="000000" w:fill="C0CF3A"/>
            <w:noWrap/>
            <w:vAlign w:val="center"/>
            <w:hideMark/>
          </w:tcPr>
          <w:p w14:paraId="03FA3D85"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176 941,72</w:t>
            </w:r>
          </w:p>
        </w:tc>
        <w:tc>
          <w:tcPr>
            <w:tcW w:w="1001" w:type="dxa"/>
            <w:tcBorders>
              <w:top w:val="nil"/>
              <w:left w:val="nil"/>
              <w:bottom w:val="single" w:sz="4" w:space="0" w:color="auto"/>
              <w:right w:val="single" w:sz="4" w:space="0" w:color="auto"/>
            </w:tcBorders>
            <w:shd w:val="clear" w:color="000000" w:fill="C0CF3A"/>
            <w:noWrap/>
            <w:vAlign w:val="center"/>
            <w:hideMark/>
          </w:tcPr>
          <w:p w14:paraId="3216CBFE"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176 941,72</w:t>
            </w:r>
          </w:p>
        </w:tc>
        <w:tc>
          <w:tcPr>
            <w:tcW w:w="709" w:type="dxa"/>
            <w:tcBorders>
              <w:top w:val="nil"/>
              <w:left w:val="nil"/>
              <w:bottom w:val="single" w:sz="4" w:space="0" w:color="auto"/>
              <w:right w:val="single" w:sz="4" w:space="0" w:color="auto"/>
            </w:tcBorders>
            <w:shd w:val="clear" w:color="000000" w:fill="C0CF3A"/>
            <w:noWrap/>
            <w:vAlign w:val="center"/>
            <w:hideMark/>
          </w:tcPr>
          <w:p w14:paraId="2F9C9D5A"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197 000,24</w:t>
            </w:r>
          </w:p>
        </w:tc>
        <w:tc>
          <w:tcPr>
            <w:tcW w:w="855" w:type="dxa"/>
            <w:tcBorders>
              <w:top w:val="nil"/>
              <w:left w:val="nil"/>
              <w:bottom w:val="single" w:sz="4" w:space="0" w:color="auto"/>
              <w:right w:val="single" w:sz="4" w:space="0" w:color="auto"/>
            </w:tcBorders>
            <w:shd w:val="clear" w:color="000000" w:fill="C0CF3A"/>
            <w:noWrap/>
            <w:vAlign w:val="center"/>
            <w:hideMark/>
          </w:tcPr>
          <w:p w14:paraId="264D438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47,32</w:t>
            </w:r>
          </w:p>
        </w:tc>
      </w:tr>
      <w:tr w:rsidR="0050758C" w:rsidRPr="0050758C" w14:paraId="3D41AA13"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FF"/>
            <w:vAlign w:val="center"/>
            <w:hideMark/>
          </w:tcPr>
          <w:p w14:paraId="61750155"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Couts indirects Agent de gestion (PNUD)</w:t>
            </w:r>
          </w:p>
        </w:tc>
        <w:tc>
          <w:tcPr>
            <w:tcW w:w="710" w:type="dxa"/>
            <w:tcBorders>
              <w:top w:val="nil"/>
              <w:left w:val="nil"/>
              <w:bottom w:val="single" w:sz="4" w:space="0" w:color="auto"/>
              <w:right w:val="single" w:sz="4" w:space="0" w:color="auto"/>
            </w:tcBorders>
            <w:shd w:val="clear" w:color="000000" w:fill="FFFFFF"/>
            <w:vAlign w:val="center"/>
            <w:hideMark/>
          </w:tcPr>
          <w:p w14:paraId="60C0F584"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841" w:type="dxa"/>
            <w:tcBorders>
              <w:top w:val="nil"/>
              <w:left w:val="nil"/>
              <w:bottom w:val="single" w:sz="4" w:space="0" w:color="auto"/>
              <w:right w:val="single" w:sz="4" w:space="0" w:color="auto"/>
            </w:tcBorders>
            <w:shd w:val="clear" w:color="000000" w:fill="FFFFFF"/>
            <w:vAlign w:val="center"/>
            <w:hideMark/>
          </w:tcPr>
          <w:p w14:paraId="6597A869"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PNUD</w:t>
            </w:r>
          </w:p>
        </w:tc>
        <w:tc>
          <w:tcPr>
            <w:tcW w:w="1134" w:type="dxa"/>
            <w:tcBorders>
              <w:top w:val="nil"/>
              <w:left w:val="nil"/>
              <w:bottom w:val="single" w:sz="4" w:space="0" w:color="auto"/>
              <w:right w:val="single" w:sz="4" w:space="0" w:color="auto"/>
            </w:tcBorders>
            <w:shd w:val="clear" w:color="000000" w:fill="FFFFFF"/>
            <w:vAlign w:val="center"/>
            <w:hideMark/>
          </w:tcPr>
          <w:p w14:paraId="0624ADB9"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523 364,00</w:t>
            </w:r>
          </w:p>
        </w:tc>
        <w:tc>
          <w:tcPr>
            <w:tcW w:w="992" w:type="dxa"/>
            <w:tcBorders>
              <w:top w:val="nil"/>
              <w:left w:val="nil"/>
              <w:bottom w:val="single" w:sz="4" w:space="0" w:color="auto"/>
              <w:right w:val="single" w:sz="4" w:space="0" w:color="auto"/>
            </w:tcBorders>
            <w:shd w:val="clear" w:color="000000" w:fill="FFFFFF"/>
            <w:vAlign w:val="center"/>
            <w:hideMark/>
          </w:tcPr>
          <w:p w14:paraId="4829430F"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261 682,24</w:t>
            </w:r>
          </w:p>
        </w:tc>
        <w:tc>
          <w:tcPr>
            <w:tcW w:w="992" w:type="dxa"/>
            <w:tcBorders>
              <w:top w:val="nil"/>
              <w:left w:val="nil"/>
              <w:bottom w:val="single" w:sz="4" w:space="0" w:color="auto"/>
              <w:right w:val="single" w:sz="4" w:space="0" w:color="auto"/>
            </w:tcBorders>
            <w:noWrap/>
            <w:vAlign w:val="center"/>
            <w:hideMark/>
          </w:tcPr>
          <w:p w14:paraId="71FE80C5"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154 925,44</w:t>
            </w:r>
          </w:p>
        </w:tc>
        <w:tc>
          <w:tcPr>
            <w:tcW w:w="1001" w:type="dxa"/>
            <w:tcBorders>
              <w:top w:val="nil"/>
              <w:left w:val="nil"/>
              <w:bottom w:val="single" w:sz="4" w:space="0" w:color="auto"/>
              <w:right w:val="single" w:sz="4" w:space="0" w:color="auto"/>
            </w:tcBorders>
            <w:noWrap/>
            <w:vAlign w:val="center"/>
            <w:hideMark/>
          </w:tcPr>
          <w:p w14:paraId="4B9EFC1A"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154 925,44</w:t>
            </w:r>
          </w:p>
        </w:tc>
        <w:tc>
          <w:tcPr>
            <w:tcW w:w="709" w:type="dxa"/>
            <w:tcBorders>
              <w:top w:val="nil"/>
              <w:left w:val="nil"/>
              <w:bottom w:val="single" w:sz="4" w:space="0" w:color="auto"/>
              <w:right w:val="single" w:sz="4" w:space="0" w:color="auto"/>
            </w:tcBorders>
            <w:noWrap/>
            <w:vAlign w:val="center"/>
            <w:hideMark/>
          </w:tcPr>
          <w:p w14:paraId="2D3A5913"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368 438,56</w:t>
            </w:r>
          </w:p>
        </w:tc>
        <w:tc>
          <w:tcPr>
            <w:tcW w:w="855" w:type="dxa"/>
            <w:tcBorders>
              <w:top w:val="nil"/>
              <w:left w:val="nil"/>
              <w:bottom w:val="single" w:sz="4" w:space="0" w:color="auto"/>
              <w:right w:val="single" w:sz="4" w:space="0" w:color="auto"/>
            </w:tcBorders>
            <w:noWrap/>
            <w:vAlign w:val="center"/>
            <w:hideMark/>
          </w:tcPr>
          <w:p w14:paraId="3277E966" w14:textId="77777777" w:rsidR="0050758C" w:rsidRPr="0050758C" w:rsidRDefault="0050758C">
            <w:pPr>
              <w:jc w:val="right"/>
              <w:rPr>
                <w:rFonts w:ascii="Aptos Narrow" w:hAnsi="Aptos Narrow"/>
                <w:color w:val="000000"/>
                <w:sz w:val="16"/>
                <w:szCs w:val="16"/>
              </w:rPr>
            </w:pPr>
            <w:r w:rsidRPr="0050758C">
              <w:rPr>
                <w:rFonts w:ascii="Aptos Narrow" w:hAnsi="Aptos Narrow"/>
                <w:color w:val="000000"/>
                <w:sz w:val="16"/>
                <w:szCs w:val="16"/>
              </w:rPr>
              <w:t>29,60</w:t>
            </w:r>
          </w:p>
        </w:tc>
      </w:tr>
      <w:tr w:rsidR="0050758C" w:rsidRPr="0050758C" w14:paraId="5E804651" w14:textId="77777777" w:rsidTr="006D79E9">
        <w:trPr>
          <w:gridAfter w:val="2"/>
          <w:wAfter w:w="14" w:type="dxa"/>
          <w:trHeight w:val="292"/>
        </w:trPr>
        <w:tc>
          <w:tcPr>
            <w:tcW w:w="4253" w:type="dxa"/>
            <w:tcBorders>
              <w:top w:val="nil"/>
              <w:left w:val="single" w:sz="4" w:space="0" w:color="auto"/>
              <w:bottom w:val="single" w:sz="4" w:space="0" w:color="auto"/>
              <w:right w:val="single" w:sz="4" w:space="0" w:color="auto"/>
            </w:tcBorders>
            <w:shd w:val="clear" w:color="000000" w:fill="FFFF00"/>
            <w:vAlign w:val="center"/>
            <w:hideMark/>
          </w:tcPr>
          <w:p w14:paraId="1B266156"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TOTAL (COUTS DIRECTS + COUTS DE GESTION DU PROJET + COUT INDIRECT)</w:t>
            </w:r>
          </w:p>
        </w:tc>
        <w:tc>
          <w:tcPr>
            <w:tcW w:w="710" w:type="dxa"/>
            <w:tcBorders>
              <w:top w:val="nil"/>
              <w:left w:val="nil"/>
              <w:bottom w:val="single" w:sz="4" w:space="0" w:color="auto"/>
              <w:right w:val="single" w:sz="4" w:space="0" w:color="auto"/>
            </w:tcBorders>
            <w:shd w:val="clear" w:color="000000" w:fill="FFFF00"/>
            <w:noWrap/>
            <w:vAlign w:val="center"/>
            <w:hideMark/>
          </w:tcPr>
          <w:p w14:paraId="2A70F031"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841" w:type="dxa"/>
            <w:tcBorders>
              <w:top w:val="nil"/>
              <w:left w:val="nil"/>
              <w:bottom w:val="single" w:sz="4" w:space="0" w:color="auto"/>
              <w:right w:val="single" w:sz="4" w:space="0" w:color="auto"/>
            </w:tcBorders>
            <w:shd w:val="clear" w:color="000000" w:fill="FFFF00"/>
            <w:noWrap/>
            <w:vAlign w:val="center"/>
            <w:hideMark/>
          </w:tcPr>
          <w:p w14:paraId="49BB5A5F" w14:textId="77777777" w:rsidR="0050758C" w:rsidRPr="0050758C" w:rsidRDefault="0050758C">
            <w:pPr>
              <w:rPr>
                <w:rFonts w:ascii="Aptos Narrow" w:hAnsi="Aptos Narrow"/>
                <w:color w:val="000000"/>
                <w:sz w:val="16"/>
                <w:szCs w:val="16"/>
              </w:rPr>
            </w:pPr>
            <w:r w:rsidRPr="0050758C">
              <w:rPr>
                <w:rFonts w:ascii="Aptos Narrow" w:hAnsi="Aptos Narrow"/>
                <w:color w:val="000000"/>
                <w:sz w:val="16"/>
                <w:szCs w:val="16"/>
              </w:rPr>
              <w:t> </w:t>
            </w:r>
          </w:p>
        </w:tc>
        <w:tc>
          <w:tcPr>
            <w:tcW w:w="1134" w:type="dxa"/>
            <w:tcBorders>
              <w:top w:val="nil"/>
              <w:left w:val="nil"/>
              <w:bottom w:val="single" w:sz="4" w:space="0" w:color="auto"/>
              <w:right w:val="single" w:sz="4" w:space="0" w:color="auto"/>
            </w:tcBorders>
            <w:shd w:val="clear" w:color="000000" w:fill="FFFF00"/>
            <w:noWrap/>
            <w:vAlign w:val="center"/>
            <w:hideMark/>
          </w:tcPr>
          <w:p w14:paraId="3386CEC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8 000 000,00</w:t>
            </w:r>
          </w:p>
        </w:tc>
        <w:tc>
          <w:tcPr>
            <w:tcW w:w="992" w:type="dxa"/>
            <w:tcBorders>
              <w:top w:val="nil"/>
              <w:left w:val="nil"/>
              <w:bottom w:val="single" w:sz="4" w:space="0" w:color="auto"/>
              <w:right w:val="single" w:sz="4" w:space="0" w:color="auto"/>
            </w:tcBorders>
            <w:shd w:val="clear" w:color="000000" w:fill="FFFF00"/>
            <w:noWrap/>
            <w:vAlign w:val="center"/>
            <w:hideMark/>
          </w:tcPr>
          <w:p w14:paraId="55B82B3E"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4 000 000,00</w:t>
            </w:r>
          </w:p>
        </w:tc>
        <w:tc>
          <w:tcPr>
            <w:tcW w:w="992" w:type="dxa"/>
            <w:tcBorders>
              <w:top w:val="nil"/>
              <w:left w:val="nil"/>
              <w:bottom w:val="single" w:sz="4" w:space="0" w:color="auto"/>
              <w:right w:val="single" w:sz="4" w:space="0" w:color="auto"/>
            </w:tcBorders>
            <w:shd w:val="clear" w:color="000000" w:fill="FFFF00"/>
            <w:noWrap/>
            <w:vAlign w:val="center"/>
            <w:hideMark/>
          </w:tcPr>
          <w:p w14:paraId="155FE023"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2 369 046,95</w:t>
            </w:r>
          </w:p>
        </w:tc>
        <w:tc>
          <w:tcPr>
            <w:tcW w:w="1001" w:type="dxa"/>
            <w:tcBorders>
              <w:top w:val="nil"/>
              <w:left w:val="nil"/>
              <w:bottom w:val="single" w:sz="4" w:space="0" w:color="auto"/>
              <w:right w:val="single" w:sz="4" w:space="0" w:color="auto"/>
            </w:tcBorders>
            <w:shd w:val="clear" w:color="000000" w:fill="FFFF00"/>
            <w:noWrap/>
            <w:vAlign w:val="center"/>
            <w:hideMark/>
          </w:tcPr>
          <w:p w14:paraId="1A2666CC"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2 369 046,95</w:t>
            </w:r>
          </w:p>
        </w:tc>
        <w:tc>
          <w:tcPr>
            <w:tcW w:w="709" w:type="dxa"/>
            <w:tcBorders>
              <w:top w:val="nil"/>
              <w:left w:val="nil"/>
              <w:bottom w:val="single" w:sz="4" w:space="0" w:color="auto"/>
              <w:right w:val="single" w:sz="4" w:space="0" w:color="auto"/>
            </w:tcBorders>
            <w:shd w:val="clear" w:color="000000" w:fill="FFFF00"/>
            <w:noWrap/>
            <w:vAlign w:val="center"/>
            <w:hideMark/>
          </w:tcPr>
          <w:p w14:paraId="4E426FE8"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1 630 953,05</w:t>
            </w:r>
          </w:p>
        </w:tc>
        <w:tc>
          <w:tcPr>
            <w:tcW w:w="855" w:type="dxa"/>
            <w:tcBorders>
              <w:top w:val="nil"/>
              <w:left w:val="nil"/>
              <w:bottom w:val="single" w:sz="4" w:space="0" w:color="auto"/>
              <w:right w:val="single" w:sz="4" w:space="0" w:color="auto"/>
            </w:tcBorders>
            <w:shd w:val="clear" w:color="000000" w:fill="FFFF00"/>
            <w:noWrap/>
            <w:vAlign w:val="center"/>
            <w:hideMark/>
          </w:tcPr>
          <w:p w14:paraId="65CC0247" w14:textId="77777777" w:rsidR="0050758C" w:rsidRPr="0050758C" w:rsidRDefault="0050758C">
            <w:pPr>
              <w:jc w:val="center"/>
              <w:rPr>
                <w:rFonts w:ascii="Aptos Narrow" w:hAnsi="Aptos Narrow"/>
                <w:color w:val="000000"/>
                <w:sz w:val="16"/>
                <w:szCs w:val="16"/>
              </w:rPr>
            </w:pPr>
            <w:r w:rsidRPr="0050758C">
              <w:rPr>
                <w:rFonts w:ascii="Aptos Narrow" w:hAnsi="Aptos Narrow"/>
                <w:color w:val="000000"/>
                <w:sz w:val="16"/>
                <w:szCs w:val="16"/>
              </w:rPr>
              <w:t>59,23</w:t>
            </w:r>
          </w:p>
        </w:tc>
      </w:tr>
    </w:tbl>
    <w:p w14:paraId="7716CF8B" w14:textId="77777777" w:rsidR="00E015D9" w:rsidRDefault="00E015D9">
      <w:pPr>
        <w:spacing w:after="8"/>
        <w:ind w:left="20" w:hanging="10"/>
        <w:rPr>
          <w:rFonts w:ascii="Avenir" w:eastAsia="Avenir" w:hAnsi="Avenir" w:cs="Avenir"/>
          <w:color w:val="000000"/>
          <w:sz w:val="20"/>
          <w:szCs w:val="20"/>
        </w:rPr>
      </w:pPr>
    </w:p>
    <w:p w14:paraId="5EA6B456" w14:textId="77777777" w:rsidR="0050758C" w:rsidRDefault="0050758C">
      <w:pPr>
        <w:spacing w:after="8"/>
        <w:ind w:left="20" w:hanging="10"/>
        <w:rPr>
          <w:rFonts w:ascii="Avenir" w:eastAsia="Avenir" w:hAnsi="Avenir" w:cs="Avenir"/>
          <w:color w:val="000000"/>
          <w:sz w:val="20"/>
          <w:szCs w:val="20"/>
        </w:rPr>
      </w:pPr>
    </w:p>
    <w:p w14:paraId="792A272A" w14:textId="77777777" w:rsidR="0050758C" w:rsidRDefault="0050758C">
      <w:pPr>
        <w:spacing w:after="8"/>
        <w:ind w:left="20" w:hanging="10"/>
        <w:rPr>
          <w:rFonts w:ascii="Avenir" w:eastAsia="Avenir" w:hAnsi="Avenir" w:cs="Avenir"/>
          <w:color w:val="000000"/>
          <w:sz w:val="20"/>
          <w:szCs w:val="20"/>
        </w:rPr>
      </w:pPr>
    </w:p>
    <w:p w14:paraId="41778DAC" w14:textId="410713DF" w:rsidR="00D53541" w:rsidRPr="00E11FFB" w:rsidRDefault="00D53541">
      <w:pPr>
        <w:spacing w:after="8"/>
        <w:ind w:left="20" w:hanging="10"/>
        <w:rPr>
          <w:rFonts w:ascii="Avenir" w:eastAsia="Avenir" w:hAnsi="Avenir" w:cs="Avenir"/>
          <w:color w:val="000000"/>
          <w:sz w:val="20"/>
          <w:szCs w:val="20"/>
        </w:rPr>
      </w:pPr>
    </w:p>
    <w:p w14:paraId="439F5217" w14:textId="411CC12E" w:rsidR="0024617D" w:rsidRDefault="00C83F85">
      <w:pPr>
        <w:numPr>
          <w:ilvl w:val="0"/>
          <w:numId w:val="5"/>
        </w:numPr>
        <w:pBdr>
          <w:top w:val="nil"/>
          <w:left w:val="nil"/>
          <w:bottom w:val="nil"/>
          <w:right w:val="nil"/>
          <w:between w:val="nil"/>
        </w:pBdr>
        <w:spacing w:after="8" w:line="271" w:lineRule="auto"/>
        <w:ind w:right="28"/>
        <w:jc w:val="both"/>
        <w:rPr>
          <w:rFonts w:ascii="Avenir" w:eastAsia="Avenir" w:hAnsi="Avenir" w:cs="Avenir"/>
          <w:color w:val="000000"/>
          <w:sz w:val="20"/>
          <w:szCs w:val="20"/>
        </w:rPr>
      </w:pPr>
      <w:hyperlink r:id="rId69" w:history="1">
        <w:r w:rsidRPr="00860106">
          <w:rPr>
            <w:rStyle w:val="Lienhypertexte"/>
            <w:rFonts w:ascii="Avenir" w:eastAsia="Avenir" w:hAnsi="Avenir" w:cs="Avenir"/>
            <w:sz w:val="20"/>
            <w:szCs w:val="20"/>
          </w:rPr>
          <w:t>Annexe 3 - Tableau 8.2</w:t>
        </w:r>
      </w:hyperlink>
      <w:r w:rsidRPr="00E11FFB">
        <w:rPr>
          <w:rFonts w:ascii="Avenir" w:eastAsia="Avenir" w:hAnsi="Avenir" w:cs="Avenir"/>
          <w:color w:val="000000"/>
          <w:sz w:val="20"/>
          <w:szCs w:val="20"/>
        </w:rPr>
        <w:t xml:space="preserve"> </w:t>
      </w:r>
    </w:p>
    <w:p w14:paraId="41481487" w14:textId="77777777" w:rsidR="00493996" w:rsidRDefault="00493996" w:rsidP="00493996">
      <w:pPr>
        <w:pBdr>
          <w:top w:val="nil"/>
          <w:left w:val="nil"/>
          <w:bottom w:val="nil"/>
          <w:right w:val="nil"/>
          <w:between w:val="nil"/>
        </w:pBdr>
        <w:spacing w:after="8" w:line="271" w:lineRule="auto"/>
        <w:ind w:left="10" w:right="28"/>
        <w:jc w:val="both"/>
        <w:rPr>
          <w:rFonts w:ascii="Avenir" w:eastAsia="Avenir" w:hAnsi="Avenir" w:cs="Avenir"/>
          <w:color w:val="000000"/>
          <w:sz w:val="20"/>
          <w:szCs w:val="20"/>
        </w:rPr>
      </w:pPr>
    </w:p>
    <w:tbl>
      <w:tblPr>
        <w:tblW w:w="5881" w:type="pct"/>
        <w:tblInd w:w="-714" w:type="dxa"/>
        <w:tblCellMar>
          <w:left w:w="70" w:type="dxa"/>
          <w:right w:w="70" w:type="dxa"/>
        </w:tblCellMar>
        <w:tblLook w:val="04A0" w:firstRow="1" w:lastRow="0" w:firstColumn="1" w:lastColumn="0" w:noHBand="0" w:noVBand="1"/>
      </w:tblPr>
      <w:tblGrid>
        <w:gridCol w:w="1865"/>
        <w:gridCol w:w="1108"/>
        <w:gridCol w:w="1139"/>
        <w:gridCol w:w="671"/>
        <w:gridCol w:w="1161"/>
        <w:gridCol w:w="923"/>
        <w:gridCol w:w="360"/>
        <w:gridCol w:w="1139"/>
        <w:gridCol w:w="1201"/>
        <w:gridCol w:w="729"/>
      </w:tblGrid>
      <w:tr w:rsidR="00493996" w:rsidRPr="00493996" w14:paraId="27ED682C" w14:textId="77777777" w:rsidTr="002142A2">
        <w:trPr>
          <w:trHeight w:val="600"/>
        </w:trPr>
        <w:tc>
          <w:tcPr>
            <w:tcW w:w="906" w:type="pct"/>
            <w:vMerge w:val="restart"/>
            <w:tcBorders>
              <w:top w:val="single" w:sz="4" w:space="0" w:color="B4C6E7"/>
              <w:left w:val="single" w:sz="4" w:space="0" w:color="B4C6E7"/>
              <w:bottom w:val="single" w:sz="4" w:space="0" w:color="B4C6E7"/>
              <w:right w:val="single" w:sz="4" w:space="0" w:color="B4C6E7"/>
            </w:tcBorders>
            <w:shd w:val="clear" w:color="2F5496" w:fill="2F5496"/>
            <w:vAlign w:val="center"/>
            <w:hideMark/>
          </w:tcPr>
          <w:p w14:paraId="4C1D8309" w14:textId="77777777" w:rsidR="00493996" w:rsidRPr="002142A2" w:rsidRDefault="00493996" w:rsidP="00493996">
            <w:pPr>
              <w:rPr>
                <w:rFonts w:ascii="Calibri" w:hAnsi="Calibri" w:cs="Calibri"/>
                <w:b/>
                <w:bCs/>
                <w:color w:val="FFFFFF"/>
                <w:sz w:val="18"/>
                <w:szCs w:val="18"/>
                <w:lang w:eastAsia="fr-CD"/>
              </w:rPr>
            </w:pPr>
            <w:r w:rsidRPr="002142A2">
              <w:rPr>
                <w:rFonts w:ascii="Calibri" w:hAnsi="Calibri" w:cs="Calibri"/>
                <w:b/>
                <w:bCs/>
                <w:color w:val="FFFFFF"/>
                <w:sz w:val="18"/>
                <w:szCs w:val="18"/>
              </w:rPr>
              <w:t xml:space="preserve">CATEGORIES DE BUDGET UNDG  </w:t>
            </w:r>
          </w:p>
        </w:tc>
        <w:tc>
          <w:tcPr>
            <w:tcW w:w="538" w:type="pct"/>
            <w:vMerge w:val="restart"/>
            <w:tcBorders>
              <w:top w:val="single" w:sz="4" w:space="0" w:color="B4C6E7"/>
              <w:left w:val="single" w:sz="4" w:space="0" w:color="B4C6E7"/>
              <w:bottom w:val="single" w:sz="4" w:space="0" w:color="B4C6E7"/>
              <w:right w:val="single" w:sz="4" w:space="0" w:color="B4C6E7"/>
            </w:tcBorders>
            <w:shd w:val="clear" w:color="2F5496" w:fill="2F5496"/>
            <w:vAlign w:val="center"/>
            <w:hideMark/>
          </w:tcPr>
          <w:p w14:paraId="2338DB32"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 xml:space="preserve">Budget 1er Tranche </w:t>
            </w:r>
          </w:p>
        </w:tc>
        <w:tc>
          <w:tcPr>
            <w:tcW w:w="553" w:type="pct"/>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573DC85B"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 xml:space="preserve">Dépenses </w:t>
            </w:r>
          </w:p>
        </w:tc>
        <w:tc>
          <w:tcPr>
            <w:tcW w:w="326" w:type="pct"/>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783C37ED"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w:t>
            </w:r>
          </w:p>
        </w:tc>
        <w:tc>
          <w:tcPr>
            <w:tcW w:w="564" w:type="pct"/>
            <w:vMerge w:val="restart"/>
            <w:tcBorders>
              <w:top w:val="single" w:sz="4" w:space="0" w:color="B4C6E7"/>
              <w:left w:val="single" w:sz="4" w:space="0" w:color="B4C6E7"/>
              <w:bottom w:val="single" w:sz="4" w:space="0" w:color="B4C6E7"/>
              <w:right w:val="single" w:sz="4" w:space="0" w:color="B4C6E7"/>
            </w:tcBorders>
            <w:shd w:val="clear" w:color="2F5496" w:fill="2F5496"/>
            <w:vAlign w:val="center"/>
            <w:hideMark/>
          </w:tcPr>
          <w:p w14:paraId="393A7C61"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 xml:space="preserve">Budget deuxième tranche </w:t>
            </w:r>
          </w:p>
        </w:tc>
        <w:tc>
          <w:tcPr>
            <w:tcW w:w="448" w:type="pct"/>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13C263B1"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 xml:space="preserve">Dépenses </w:t>
            </w:r>
          </w:p>
        </w:tc>
        <w:tc>
          <w:tcPr>
            <w:tcW w:w="175" w:type="pct"/>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23773799"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w:t>
            </w:r>
          </w:p>
        </w:tc>
        <w:tc>
          <w:tcPr>
            <w:tcW w:w="1490" w:type="pct"/>
            <w:gridSpan w:val="3"/>
            <w:tcBorders>
              <w:top w:val="single" w:sz="4" w:space="0" w:color="B4C6E7"/>
              <w:left w:val="nil"/>
              <w:bottom w:val="single" w:sz="4" w:space="0" w:color="B4C6E7"/>
              <w:right w:val="single" w:sz="4" w:space="0" w:color="B4C6E7"/>
            </w:tcBorders>
            <w:shd w:val="clear" w:color="2F5496" w:fill="2F5496"/>
            <w:vAlign w:val="center"/>
            <w:hideMark/>
          </w:tcPr>
          <w:p w14:paraId="2F9CA833" w14:textId="77777777" w:rsidR="00493996" w:rsidRPr="002142A2" w:rsidRDefault="00493996" w:rsidP="00493996">
            <w:pPr>
              <w:jc w:val="center"/>
              <w:rPr>
                <w:rFonts w:ascii="Calibri" w:hAnsi="Calibri" w:cs="Calibri"/>
                <w:b/>
                <w:bCs/>
                <w:color w:val="FFFFFF"/>
                <w:sz w:val="18"/>
                <w:szCs w:val="18"/>
              </w:rPr>
            </w:pPr>
            <w:r w:rsidRPr="002142A2">
              <w:rPr>
                <w:rFonts w:ascii="Calibri" w:hAnsi="Calibri" w:cs="Calibri"/>
                <w:b/>
                <w:bCs/>
                <w:color w:val="FFFFFF"/>
                <w:sz w:val="18"/>
                <w:szCs w:val="18"/>
              </w:rPr>
              <w:t>TOTAL USD</w:t>
            </w:r>
          </w:p>
        </w:tc>
      </w:tr>
      <w:tr w:rsidR="00493996" w:rsidRPr="00493996" w14:paraId="4D5C2BFC" w14:textId="77777777" w:rsidTr="002142A2">
        <w:trPr>
          <w:trHeight w:val="645"/>
        </w:trPr>
        <w:tc>
          <w:tcPr>
            <w:tcW w:w="906" w:type="pct"/>
            <w:vMerge/>
            <w:tcBorders>
              <w:top w:val="single" w:sz="4" w:space="0" w:color="B4C6E7"/>
              <w:left w:val="single" w:sz="4" w:space="0" w:color="B4C6E7"/>
              <w:bottom w:val="single" w:sz="4" w:space="0" w:color="B4C6E7"/>
              <w:right w:val="single" w:sz="4" w:space="0" w:color="B4C6E7"/>
            </w:tcBorders>
            <w:vAlign w:val="center"/>
            <w:hideMark/>
          </w:tcPr>
          <w:p w14:paraId="59C229F0" w14:textId="77777777" w:rsidR="00493996" w:rsidRPr="002142A2" w:rsidRDefault="00493996" w:rsidP="00493996">
            <w:pPr>
              <w:rPr>
                <w:rFonts w:ascii="Calibri" w:hAnsi="Calibri" w:cs="Calibri"/>
                <w:b/>
                <w:bCs/>
                <w:color w:val="FFFFFF"/>
                <w:sz w:val="18"/>
                <w:szCs w:val="18"/>
              </w:rPr>
            </w:pPr>
          </w:p>
        </w:tc>
        <w:tc>
          <w:tcPr>
            <w:tcW w:w="538" w:type="pct"/>
            <w:vMerge/>
            <w:tcBorders>
              <w:top w:val="single" w:sz="4" w:space="0" w:color="B4C6E7"/>
              <w:left w:val="single" w:sz="4" w:space="0" w:color="B4C6E7"/>
              <w:bottom w:val="single" w:sz="4" w:space="0" w:color="B4C6E7"/>
              <w:right w:val="single" w:sz="4" w:space="0" w:color="B4C6E7"/>
            </w:tcBorders>
            <w:vAlign w:val="center"/>
            <w:hideMark/>
          </w:tcPr>
          <w:p w14:paraId="08CFC0BF" w14:textId="77777777" w:rsidR="00493996" w:rsidRPr="002142A2" w:rsidRDefault="00493996" w:rsidP="00493996">
            <w:pPr>
              <w:rPr>
                <w:rFonts w:ascii="Calibri" w:hAnsi="Calibri" w:cs="Calibri"/>
                <w:b/>
                <w:bCs/>
                <w:color w:val="FFFFFF"/>
                <w:sz w:val="18"/>
                <w:szCs w:val="18"/>
              </w:rPr>
            </w:pPr>
          </w:p>
        </w:tc>
        <w:tc>
          <w:tcPr>
            <w:tcW w:w="553" w:type="pct"/>
            <w:vMerge/>
            <w:tcBorders>
              <w:top w:val="single" w:sz="4" w:space="0" w:color="B4C6E7"/>
              <w:left w:val="single" w:sz="4" w:space="0" w:color="B4C6E7"/>
              <w:bottom w:val="single" w:sz="4" w:space="0" w:color="B4C6E7"/>
              <w:right w:val="single" w:sz="4" w:space="0" w:color="B4C6E7"/>
            </w:tcBorders>
            <w:vAlign w:val="center"/>
            <w:hideMark/>
          </w:tcPr>
          <w:p w14:paraId="252209B9" w14:textId="77777777" w:rsidR="00493996" w:rsidRPr="002142A2" w:rsidRDefault="00493996" w:rsidP="00493996">
            <w:pPr>
              <w:rPr>
                <w:rFonts w:ascii="Calibri" w:hAnsi="Calibri" w:cs="Calibri"/>
                <w:b/>
                <w:bCs/>
                <w:color w:val="FFFFFF"/>
                <w:sz w:val="18"/>
                <w:szCs w:val="18"/>
              </w:rPr>
            </w:pPr>
          </w:p>
        </w:tc>
        <w:tc>
          <w:tcPr>
            <w:tcW w:w="326" w:type="pct"/>
            <w:vMerge/>
            <w:tcBorders>
              <w:top w:val="single" w:sz="4" w:space="0" w:color="B4C6E7"/>
              <w:left w:val="single" w:sz="4" w:space="0" w:color="B4C6E7"/>
              <w:bottom w:val="single" w:sz="4" w:space="0" w:color="B4C6E7"/>
              <w:right w:val="single" w:sz="4" w:space="0" w:color="B4C6E7"/>
            </w:tcBorders>
            <w:vAlign w:val="center"/>
            <w:hideMark/>
          </w:tcPr>
          <w:p w14:paraId="25DBC9BD" w14:textId="77777777" w:rsidR="00493996" w:rsidRPr="002142A2" w:rsidRDefault="00493996" w:rsidP="00493996">
            <w:pPr>
              <w:rPr>
                <w:rFonts w:ascii="Calibri" w:hAnsi="Calibri" w:cs="Calibri"/>
                <w:b/>
                <w:bCs/>
                <w:color w:val="FFFFFF"/>
                <w:sz w:val="18"/>
                <w:szCs w:val="18"/>
              </w:rPr>
            </w:pPr>
          </w:p>
        </w:tc>
        <w:tc>
          <w:tcPr>
            <w:tcW w:w="564" w:type="pct"/>
            <w:vMerge/>
            <w:tcBorders>
              <w:top w:val="single" w:sz="4" w:space="0" w:color="B4C6E7"/>
              <w:left w:val="single" w:sz="4" w:space="0" w:color="B4C6E7"/>
              <w:bottom w:val="single" w:sz="4" w:space="0" w:color="B4C6E7"/>
              <w:right w:val="single" w:sz="4" w:space="0" w:color="B4C6E7"/>
            </w:tcBorders>
            <w:vAlign w:val="center"/>
            <w:hideMark/>
          </w:tcPr>
          <w:p w14:paraId="7BD70EBB" w14:textId="77777777" w:rsidR="00493996" w:rsidRPr="002142A2" w:rsidRDefault="00493996" w:rsidP="00493996">
            <w:pPr>
              <w:rPr>
                <w:rFonts w:ascii="Calibri" w:hAnsi="Calibri" w:cs="Calibri"/>
                <w:b/>
                <w:bCs/>
                <w:color w:val="FFFFFF"/>
                <w:sz w:val="18"/>
                <w:szCs w:val="18"/>
              </w:rPr>
            </w:pPr>
          </w:p>
        </w:tc>
        <w:tc>
          <w:tcPr>
            <w:tcW w:w="448" w:type="pct"/>
            <w:vMerge/>
            <w:tcBorders>
              <w:top w:val="single" w:sz="4" w:space="0" w:color="B4C6E7"/>
              <w:left w:val="single" w:sz="4" w:space="0" w:color="B4C6E7"/>
              <w:bottom w:val="single" w:sz="4" w:space="0" w:color="B4C6E7"/>
              <w:right w:val="single" w:sz="4" w:space="0" w:color="B4C6E7"/>
            </w:tcBorders>
            <w:vAlign w:val="center"/>
            <w:hideMark/>
          </w:tcPr>
          <w:p w14:paraId="045D092F" w14:textId="77777777" w:rsidR="00493996" w:rsidRPr="002142A2" w:rsidRDefault="00493996" w:rsidP="00493996">
            <w:pPr>
              <w:rPr>
                <w:rFonts w:ascii="Calibri" w:hAnsi="Calibri" w:cs="Calibri"/>
                <w:b/>
                <w:bCs/>
                <w:color w:val="FFFFFF"/>
                <w:sz w:val="18"/>
                <w:szCs w:val="18"/>
              </w:rPr>
            </w:pPr>
          </w:p>
        </w:tc>
        <w:tc>
          <w:tcPr>
            <w:tcW w:w="175" w:type="pct"/>
            <w:vMerge/>
            <w:tcBorders>
              <w:top w:val="single" w:sz="4" w:space="0" w:color="B4C6E7"/>
              <w:left w:val="single" w:sz="4" w:space="0" w:color="B4C6E7"/>
              <w:bottom w:val="single" w:sz="4" w:space="0" w:color="B4C6E7"/>
              <w:right w:val="single" w:sz="4" w:space="0" w:color="B4C6E7"/>
            </w:tcBorders>
            <w:vAlign w:val="center"/>
            <w:hideMark/>
          </w:tcPr>
          <w:p w14:paraId="0035FD43" w14:textId="77777777" w:rsidR="00493996" w:rsidRPr="002142A2" w:rsidRDefault="00493996" w:rsidP="00493996">
            <w:pPr>
              <w:rPr>
                <w:rFonts w:ascii="Calibri" w:hAnsi="Calibri" w:cs="Calibri"/>
                <w:b/>
                <w:bCs/>
                <w:color w:val="FFFFFF"/>
                <w:sz w:val="18"/>
                <w:szCs w:val="18"/>
              </w:rPr>
            </w:pPr>
          </w:p>
        </w:tc>
        <w:tc>
          <w:tcPr>
            <w:tcW w:w="553" w:type="pct"/>
            <w:tcBorders>
              <w:top w:val="nil"/>
              <w:left w:val="nil"/>
              <w:bottom w:val="single" w:sz="4" w:space="0" w:color="B4C6E7"/>
              <w:right w:val="single" w:sz="4" w:space="0" w:color="B4C6E7"/>
            </w:tcBorders>
            <w:shd w:val="clear" w:color="2F5496" w:fill="2F5496"/>
            <w:noWrap/>
            <w:vAlign w:val="center"/>
            <w:hideMark/>
          </w:tcPr>
          <w:p w14:paraId="324194C2" w14:textId="77777777" w:rsidR="00493996" w:rsidRPr="002142A2" w:rsidRDefault="00493996" w:rsidP="00493996">
            <w:pPr>
              <w:rPr>
                <w:rFonts w:ascii="Calibri" w:hAnsi="Calibri" w:cs="Calibri"/>
                <w:b/>
                <w:bCs/>
                <w:color w:val="FFFFFF"/>
                <w:sz w:val="18"/>
                <w:szCs w:val="18"/>
              </w:rPr>
            </w:pPr>
            <w:r w:rsidRPr="002142A2">
              <w:rPr>
                <w:rFonts w:ascii="Calibri" w:hAnsi="Calibri" w:cs="Calibri"/>
                <w:b/>
                <w:bCs/>
                <w:color w:val="FFFFFF"/>
                <w:sz w:val="18"/>
                <w:szCs w:val="18"/>
              </w:rPr>
              <w:t xml:space="preserve">Budget </w:t>
            </w:r>
          </w:p>
        </w:tc>
        <w:tc>
          <w:tcPr>
            <w:tcW w:w="583" w:type="pct"/>
            <w:tcBorders>
              <w:top w:val="nil"/>
              <w:left w:val="nil"/>
              <w:bottom w:val="single" w:sz="4" w:space="0" w:color="B4C6E7"/>
              <w:right w:val="single" w:sz="4" w:space="0" w:color="B4C6E7"/>
            </w:tcBorders>
            <w:shd w:val="clear" w:color="2F5496" w:fill="2F5496"/>
            <w:noWrap/>
            <w:vAlign w:val="center"/>
            <w:hideMark/>
          </w:tcPr>
          <w:p w14:paraId="18F4B0C5" w14:textId="77777777" w:rsidR="00493996" w:rsidRPr="002142A2" w:rsidRDefault="00493996" w:rsidP="00493996">
            <w:pPr>
              <w:rPr>
                <w:rFonts w:ascii="Calibri" w:hAnsi="Calibri" w:cs="Calibri"/>
                <w:b/>
                <w:bCs/>
                <w:color w:val="FFFFFF"/>
                <w:sz w:val="18"/>
                <w:szCs w:val="18"/>
              </w:rPr>
            </w:pPr>
            <w:r w:rsidRPr="002142A2">
              <w:rPr>
                <w:rFonts w:ascii="Calibri" w:hAnsi="Calibri" w:cs="Calibri"/>
                <w:b/>
                <w:bCs/>
                <w:color w:val="FFFFFF"/>
                <w:sz w:val="18"/>
                <w:szCs w:val="18"/>
              </w:rPr>
              <w:t xml:space="preserve">Dépenses </w:t>
            </w:r>
          </w:p>
        </w:tc>
        <w:tc>
          <w:tcPr>
            <w:tcW w:w="354" w:type="pct"/>
            <w:tcBorders>
              <w:top w:val="nil"/>
              <w:left w:val="nil"/>
              <w:bottom w:val="single" w:sz="4" w:space="0" w:color="B4C6E7"/>
              <w:right w:val="single" w:sz="4" w:space="0" w:color="B4C6E7"/>
            </w:tcBorders>
            <w:shd w:val="clear" w:color="2F5496" w:fill="2F5496"/>
            <w:noWrap/>
            <w:vAlign w:val="center"/>
            <w:hideMark/>
          </w:tcPr>
          <w:p w14:paraId="7E2E32B4" w14:textId="77777777" w:rsidR="00493996" w:rsidRPr="002142A2" w:rsidRDefault="00493996" w:rsidP="00493996">
            <w:pPr>
              <w:rPr>
                <w:rFonts w:ascii="Calibri" w:hAnsi="Calibri" w:cs="Calibri"/>
                <w:b/>
                <w:bCs/>
                <w:color w:val="FFFFFF"/>
                <w:sz w:val="18"/>
                <w:szCs w:val="18"/>
              </w:rPr>
            </w:pPr>
            <w:r w:rsidRPr="002142A2">
              <w:rPr>
                <w:rFonts w:ascii="Calibri" w:hAnsi="Calibri" w:cs="Calibri"/>
                <w:b/>
                <w:bCs/>
                <w:color w:val="FFFFFF"/>
                <w:sz w:val="18"/>
                <w:szCs w:val="18"/>
              </w:rPr>
              <w:t xml:space="preserve">% </w:t>
            </w:r>
          </w:p>
        </w:tc>
      </w:tr>
      <w:tr w:rsidR="00860106" w:rsidRPr="00493996" w14:paraId="5A09ACDC"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6410417B"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1. Personnels</w:t>
            </w:r>
          </w:p>
        </w:tc>
        <w:tc>
          <w:tcPr>
            <w:tcW w:w="538" w:type="pct"/>
            <w:tcBorders>
              <w:top w:val="nil"/>
              <w:left w:val="nil"/>
              <w:bottom w:val="single" w:sz="4" w:space="0" w:color="B4C6E7"/>
              <w:right w:val="single" w:sz="4" w:space="0" w:color="B4C6E7"/>
            </w:tcBorders>
            <w:vAlign w:val="center"/>
            <w:hideMark/>
          </w:tcPr>
          <w:p w14:paraId="5EACEAD7" w14:textId="59E09546"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914 763,40</w:t>
            </w:r>
          </w:p>
        </w:tc>
        <w:tc>
          <w:tcPr>
            <w:tcW w:w="553" w:type="pct"/>
            <w:tcBorders>
              <w:top w:val="nil"/>
              <w:left w:val="nil"/>
              <w:bottom w:val="single" w:sz="4" w:space="0" w:color="B4C6E7"/>
              <w:right w:val="single" w:sz="4" w:space="0" w:color="B4C6E7"/>
            </w:tcBorders>
            <w:vAlign w:val="center"/>
            <w:hideMark/>
          </w:tcPr>
          <w:p w14:paraId="2ABA2E2C" w14:textId="7381445B"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497 759,00</w:t>
            </w:r>
          </w:p>
        </w:tc>
        <w:tc>
          <w:tcPr>
            <w:tcW w:w="326" w:type="pct"/>
            <w:tcBorders>
              <w:top w:val="nil"/>
              <w:left w:val="nil"/>
              <w:bottom w:val="single" w:sz="4" w:space="0" w:color="B4C6E7"/>
              <w:right w:val="single" w:sz="4" w:space="0" w:color="B4C6E7"/>
            </w:tcBorders>
            <w:vAlign w:val="center"/>
            <w:hideMark/>
          </w:tcPr>
          <w:p w14:paraId="438A0F52" w14:textId="43A2B758"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54,41</w:t>
            </w:r>
          </w:p>
        </w:tc>
        <w:tc>
          <w:tcPr>
            <w:tcW w:w="564" w:type="pct"/>
            <w:tcBorders>
              <w:top w:val="nil"/>
              <w:left w:val="nil"/>
              <w:bottom w:val="single" w:sz="4" w:space="0" w:color="B4C6E7"/>
              <w:right w:val="single" w:sz="4" w:space="0" w:color="B4C6E7"/>
            </w:tcBorders>
            <w:vAlign w:val="center"/>
            <w:hideMark/>
          </w:tcPr>
          <w:p w14:paraId="227AA59E" w14:textId="34E58DC4"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914 763,40</w:t>
            </w:r>
          </w:p>
        </w:tc>
        <w:tc>
          <w:tcPr>
            <w:tcW w:w="448" w:type="pct"/>
            <w:tcBorders>
              <w:top w:val="nil"/>
              <w:left w:val="nil"/>
              <w:bottom w:val="single" w:sz="4" w:space="0" w:color="B4C6E7"/>
              <w:right w:val="single" w:sz="4" w:space="0" w:color="B4C6E7"/>
            </w:tcBorders>
            <w:vAlign w:val="center"/>
            <w:hideMark/>
          </w:tcPr>
          <w:p w14:paraId="5630564B" w14:textId="554A22DC"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176B686B" w14:textId="5BB5C062"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0E919D4D" w14:textId="7FAB0EE3"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1 829 526,79</w:t>
            </w:r>
          </w:p>
        </w:tc>
        <w:tc>
          <w:tcPr>
            <w:tcW w:w="583" w:type="pct"/>
            <w:tcBorders>
              <w:top w:val="nil"/>
              <w:left w:val="nil"/>
              <w:bottom w:val="single" w:sz="4" w:space="0" w:color="B4C6E7"/>
              <w:right w:val="single" w:sz="4" w:space="0" w:color="B4C6E7"/>
            </w:tcBorders>
            <w:vAlign w:val="center"/>
            <w:hideMark/>
          </w:tcPr>
          <w:p w14:paraId="034C50F1" w14:textId="6B40C8D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497 759,00</w:t>
            </w:r>
          </w:p>
        </w:tc>
        <w:tc>
          <w:tcPr>
            <w:tcW w:w="354" w:type="pct"/>
            <w:tcBorders>
              <w:top w:val="nil"/>
              <w:left w:val="nil"/>
              <w:bottom w:val="single" w:sz="4" w:space="0" w:color="B4C6E7"/>
              <w:right w:val="single" w:sz="4" w:space="0" w:color="B4C6E7"/>
            </w:tcBorders>
            <w:noWrap/>
            <w:vAlign w:val="center"/>
            <w:hideMark/>
          </w:tcPr>
          <w:p w14:paraId="21C9E959" w14:textId="02FC28D8"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27,21</w:t>
            </w:r>
          </w:p>
        </w:tc>
      </w:tr>
      <w:tr w:rsidR="00860106" w:rsidRPr="00493996" w14:paraId="04FE2BE8"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4039673D"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2. Fournitures, produits de base, matériaux</w:t>
            </w:r>
          </w:p>
        </w:tc>
        <w:tc>
          <w:tcPr>
            <w:tcW w:w="538" w:type="pct"/>
            <w:tcBorders>
              <w:top w:val="nil"/>
              <w:left w:val="nil"/>
              <w:bottom w:val="single" w:sz="4" w:space="0" w:color="B4C6E7"/>
              <w:right w:val="single" w:sz="4" w:space="0" w:color="B4C6E7"/>
            </w:tcBorders>
            <w:vAlign w:val="center"/>
            <w:hideMark/>
          </w:tcPr>
          <w:p w14:paraId="753A578A" w14:textId="04015172"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104 844,00</w:t>
            </w:r>
          </w:p>
        </w:tc>
        <w:tc>
          <w:tcPr>
            <w:tcW w:w="553" w:type="pct"/>
            <w:tcBorders>
              <w:top w:val="nil"/>
              <w:left w:val="nil"/>
              <w:bottom w:val="single" w:sz="4" w:space="0" w:color="B4C6E7"/>
              <w:right w:val="single" w:sz="4" w:space="0" w:color="B4C6E7"/>
            </w:tcBorders>
            <w:vAlign w:val="center"/>
            <w:hideMark/>
          </w:tcPr>
          <w:p w14:paraId="5A3D34CE" w14:textId="6F242AE0"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84 275,00</w:t>
            </w:r>
          </w:p>
        </w:tc>
        <w:tc>
          <w:tcPr>
            <w:tcW w:w="326" w:type="pct"/>
            <w:tcBorders>
              <w:top w:val="nil"/>
              <w:left w:val="nil"/>
              <w:bottom w:val="single" w:sz="4" w:space="0" w:color="B4C6E7"/>
              <w:right w:val="single" w:sz="4" w:space="0" w:color="B4C6E7"/>
            </w:tcBorders>
            <w:vAlign w:val="center"/>
            <w:hideMark/>
          </w:tcPr>
          <w:p w14:paraId="791F9D6C" w14:textId="2E378654"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80,38</w:t>
            </w:r>
          </w:p>
        </w:tc>
        <w:tc>
          <w:tcPr>
            <w:tcW w:w="564" w:type="pct"/>
            <w:tcBorders>
              <w:top w:val="nil"/>
              <w:left w:val="nil"/>
              <w:bottom w:val="single" w:sz="4" w:space="0" w:color="B4C6E7"/>
              <w:right w:val="single" w:sz="4" w:space="0" w:color="B4C6E7"/>
            </w:tcBorders>
            <w:vAlign w:val="center"/>
            <w:hideMark/>
          </w:tcPr>
          <w:p w14:paraId="4CE7293A" w14:textId="7301B839"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104 844,00</w:t>
            </w:r>
          </w:p>
        </w:tc>
        <w:tc>
          <w:tcPr>
            <w:tcW w:w="448" w:type="pct"/>
            <w:tcBorders>
              <w:top w:val="nil"/>
              <w:left w:val="nil"/>
              <w:bottom w:val="single" w:sz="4" w:space="0" w:color="B4C6E7"/>
              <w:right w:val="single" w:sz="4" w:space="0" w:color="B4C6E7"/>
            </w:tcBorders>
            <w:vAlign w:val="center"/>
            <w:hideMark/>
          </w:tcPr>
          <w:p w14:paraId="5B256C9C" w14:textId="0E7BF1F6"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45C49502" w14:textId="04F44E5B"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21953CA1" w14:textId="4D992F9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209 688,00</w:t>
            </w:r>
          </w:p>
        </w:tc>
        <w:tc>
          <w:tcPr>
            <w:tcW w:w="583" w:type="pct"/>
            <w:tcBorders>
              <w:top w:val="nil"/>
              <w:left w:val="nil"/>
              <w:bottom w:val="single" w:sz="4" w:space="0" w:color="B4C6E7"/>
              <w:right w:val="single" w:sz="4" w:space="0" w:color="B4C6E7"/>
            </w:tcBorders>
            <w:vAlign w:val="center"/>
            <w:hideMark/>
          </w:tcPr>
          <w:p w14:paraId="7543AA3A" w14:textId="2CD55952"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84 275,00</w:t>
            </w:r>
          </w:p>
        </w:tc>
        <w:tc>
          <w:tcPr>
            <w:tcW w:w="354" w:type="pct"/>
            <w:tcBorders>
              <w:top w:val="nil"/>
              <w:left w:val="nil"/>
              <w:bottom w:val="single" w:sz="4" w:space="0" w:color="B4C6E7"/>
              <w:right w:val="single" w:sz="4" w:space="0" w:color="B4C6E7"/>
            </w:tcBorders>
            <w:noWrap/>
            <w:vAlign w:val="center"/>
            <w:hideMark/>
          </w:tcPr>
          <w:p w14:paraId="3FE666AF" w14:textId="46F380BC"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40,19</w:t>
            </w:r>
          </w:p>
        </w:tc>
      </w:tr>
      <w:tr w:rsidR="00860106" w:rsidRPr="00493996" w14:paraId="73795E16"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25E71F13"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3. Equipements, véhicules et mobilier (y compris l'amortissement)</w:t>
            </w:r>
          </w:p>
        </w:tc>
        <w:tc>
          <w:tcPr>
            <w:tcW w:w="538" w:type="pct"/>
            <w:tcBorders>
              <w:top w:val="nil"/>
              <w:left w:val="nil"/>
              <w:bottom w:val="single" w:sz="4" w:space="0" w:color="B4C6E7"/>
              <w:right w:val="single" w:sz="4" w:space="0" w:color="B4C6E7"/>
            </w:tcBorders>
            <w:vAlign w:val="center"/>
            <w:hideMark/>
          </w:tcPr>
          <w:p w14:paraId="2E9FF3CB" w14:textId="0C64292E"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335 200,00</w:t>
            </w:r>
          </w:p>
        </w:tc>
        <w:tc>
          <w:tcPr>
            <w:tcW w:w="553" w:type="pct"/>
            <w:tcBorders>
              <w:top w:val="nil"/>
              <w:left w:val="nil"/>
              <w:bottom w:val="single" w:sz="4" w:space="0" w:color="B4C6E7"/>
              <w:right w:val="single" w:sz="4" w:space="0" w:color="B4C6E7"/>
            </w:tcBorders>
            <w:vAlign w:val="center"/>
            <w:hideMark/>
          </w:tcPr>
          <w:p w14:paraId="49588F0F" w14:textId="1FCD938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315 950,00</w:t>
            </w:r>
          </w:p>
        </w:tc>
        <w:tc>
          <w:tcPr>
            <w:tcW w:w="326" w:type="pct"/>
            <w:tcBorders>
              <w:top w:val="nil"/>
              <w:left w:val="nil"/>
              <w:bottom w:val="single" w:sz="4" w:space="0" w:color="B4C6E7"/>
              <w:right w:val="single" w:sz="4" w:space="0" w:color="B4C6E7"/>
            </w:tcBorders>
            <w:vAlign w:val="center"/>
            <w:hideMark/>
          </w:tcPr>
          <w:p w14:paraId="657503E5" w14:textId="58ECB410"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94,26</w:t>
            </w:r>
          </w:p>
        </w:tc>
        <w:tc>
          <w:tcPr>
            <w:tcW w:w="564" w:type="pct"/>
            <w:tcBorders>
              <w:top w:val="nil"/>
              <w:left w:val="nil"/>
              <w:bottom w:val="single" w:sz="4" w:space="0" w:color="B4C6E7"/>
              <w:right w:val="single" w:sz="4" w:space="0" w:color="B4C6E7"/>
            </w:tcBorders>
            <w:vAlign w:val="center"/>
            <w:hideMark/>
          </w:tcPr>
          <w:p w14:paraId="5523530A" w14:textId="7E87ECC3"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335 200,00</w:t>
            </w:r>
          </w:p>
        </w:tc>
        <w:tc>
          <w:tcPr>
            <w:tcW w:w="448" w:type="pct"/>
            <w:tcBorders>
              <w:top w:val="nil"/>
              <w:left w:val="nil"/>
              <w:bottom w:val="single" w:sz="4" w:space="0" w:color="B4C6E7"/>
              <w:right w:val="single" w:sz="4" w:space="0" w:color="B4C6E7"/>
            </w:tcBorders>
            <w:vAlign w:val="center"/>
            <w:hideMark/>
          </w:tcPr>
          <w:p w14:paraId="47358139" w14:textId="5398DF47"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6AAB3255" w14:textId="53A88D33"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44B6E3C9" w14:textId="4EB342B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670 400,00</w:t>
            </w:r>
          </w:p>
        </w:tc>
        <w:tc>
          <w:tcPr>
            <w:tcW w:w="583" w:type="pct"/>
            <w:tcBorders>
              <w:top w:val="nil"/>
              <w:left w:val="nil"/>
              <w:bottom w:val="single" w:sz="4" w:space="0" w:color="B4C6E7"/>
              <w:right w:val="single" w:sz="4" w:space="0" w:color="B4C6E7"/>
            </w:tcBorders>
            <w:vAlign w:val="center"/>
            <w:hideMark/>
          </w:tcPr>
          <w:p w14:paraId="374D67FE" w14:textId="306990A4"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315 950,00</w:t>
            </w:r>
          </w:p>
        </w:tc>
        <w:tc>
          <w:tcPr>
            <w:tcW w:w="354" w:type="pct"/>
            <w:tcBorders>
              <w:top w:val="nil"/>
              <w:left w:val="nil"/>
              <w:bottom w:val="single" w:sz="4" w:space="0" w:color="B4C6E7"/>
              <w:right w:val="single" w:sz="4" w:space="0" w:color="B4C6E7"/>
            </w:tcBorders>
            <w:noWrap/>
            <w:vAlign w:val="center"/>
            <w:hideMark/>
          </w:tcPr>
          <w:p w14:paraId="2F9B4A2D" w14:textId="657201EF"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47,13</w:t>
            </w:r>
          </w:p>
        </w:tc>
      </w:tr>
      <w:tr w:rsidR="00860106" w:rsidRPr="00493996" w14:paraId="3B6A64AE"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121B659C"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4. Services contractuels</w:t>
            </w:r>
          </w:p>
        </w:tc>
        <w:tc>
          <w:tcPr>
            <w:tcW w:w="538" w:type="pct"/>
            <w:tcBorders>
              <w:top w:val="nil"/>
              <w:left w:val="nil"/>
              <w:bottom w:val="single" w:sz="4" w:space="0" w:color="B4C6E7"/>
              <w:right w:val="single" w:sz="4" w:space="0" w:color="B4C6E7"/>
            </w:tcBorders>
            <w:vAlign w:val="center"/>
            <w:hideMark/>
          </w:tcPr>
          <w:p w14:paraId="4015CFA3" w14:textId="46A5E70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1 481 427,76</w:t>
            </w:r>
          </w:p>
        </w:tc>
        <w:tc>
          <w:tcPr>
            <w:tcW w:w="553" w:type="pct"/>
            <w:tcBorders>
              <w:top w:val="nil"/>
              <w:left w:val="nil"/>
              <w:bottom w:val="single" w:sz="4" w:space="0" w:color="B4C6E7"/>
              <w:right w:val="single" w:sz="4" w:space="0" w:color="B4C6E7"/>
            </w:tcBorders>
            <w:vAlign w:val="center"/>
            <w:hideMark/>
          </w:tcPr>
          <w:p w14:paraId="1FCB8260" w14:textId="5E867A0C"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828 224,53</w:t>
            </w:r>
          </w:p>
        </w:tc>
        <w:tc>
          <w:tcPr>
            <w:tcW w:w="326" w:type="pct"/>
            <w:tcBorders>
              <w:top w:val="nil"/>
              <w:left w:val="nil"/>
              <w:bottom w:val="single" w:sz="4" w:space="0" w:color="B4C6E7"/>
              <w:right w:val="single" w:sz="4" w:space="0" w:color="B4C6E7"/>
            </w:tcBorders>
            <w:vAlign w:val="center"/>
            <w:hideMark/>
          </w:tcPr>
          <w:p w14:paraId="5D554E67" w14:textId="25C5FF4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55,91</w:t>
            </w:r>
          </w:p>
        </w:tc>
        <w:tc>
          <w:tcPr>
            <w:tcW w:w="564" w:type="pct"/>
            <w:tcBorders>
              <w:top w:val="nil"/>
              <w:left w:val="nil"/>
              <w:bottom w:val="single" w:sz="4" w:space="0" w:color="B4C6E7"/>
              <w:right w:val="single" w:sz="4" w:space="0" w:color="B4C6E7"/>
            </w:tcBorders>
            <w:vAlign w:val="center"/>
            <w:hideMark/>
          </w:tcPr>
          <w:p w14:paraId="2CADA1BB" w14:textId="0581854B"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1 481 427,76</w:t>
            </w:r>
          </w:p>
        </w:tc>
        <w:tc>
          <w:tcPr>
            <w:tcW w:w="448" w:type="pct"/>
            <w:tcBorders>
              <w:top w:val="nil"/>
              <w:left w:val="nil"/>
              <w:bottom w:val="single" w:sz="4" w:space="0" w:color="B4C6E7"/>
              <w:right w:val="single" w:sz="4" w:space="0" w:color="B4C6E7"/>
            </w:tcBorders>
            <w:vAlign w:val="center"/>
            <w:hideMark/>
          </w:tcPr>
          <w:p w14:paraId="1C225462" w14:textId="5A30D847"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6C0BF815" w14:textId="7AE42D4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22393E95" w14:textId="0D0ABD30"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2 962 855,51</w:t>
            </w:r>
          </w:p>
        </w:tc>
        <w:tc>
          <w:tcPr>
            <w:tcW w:w="583" w:type="pct"/>
            <w:tcBorders>
              <w:top w:val="nil"/>
              <w:left w:val="nil"/>
              <w:bottom w:val="single" w:sz="4" w:space="0" w:color="B4C6E7"/>
              <w:right w:val="single" w:sz="4" w:space="0" w:color="B4C6E7"/>
            </w:tcBorders>
            <w:vAlign w:val="center"/>
            <w:hideMark/>
          </w:tcPr>
          <w:p w14:paraId="0922A4D6" w14:textId="15A31FE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828 224,53</w:t>
            </w:r>
          </w:p>
        </w:tc>
        <w:tc>
          <w:tcPr>
            <w:tcW w:w="354" w:type="pct"/>
            <w:tcBorders>
              <w:top w:val="nil"/>
              <w:left w:val="nil"/>
              <w:bottom w:val="single" w:sz="4" w:space="0" w:color="B4C6E7"/>
              <w:right w:val="single" w:sz="4" w:space="0" w:color="B4C6E7"/>
            </w:tcBorders>
            <w:noWrap/>
            <w:vAlign w:val="center"/>
            <w:hideMark/>
          </w:tcPr>
          <w:p w14:paraId="111A5CE5" w14:textId="6A2F0CA2"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27,95</w:t>
            </w:r>
          </w:p>
        </w:tc>
      </w:tr>
      <w:tr w:rsidR="00860106" w:rsidRPr="00493996" w14:paraId="5BF73019"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7BA5367B"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 xml:space="preserve">5.Voyages </w:t>
            </w:r>
          </w:p>
        </w:tc>
        <w:tc>
          <w:tcPr>
            <w:tcW w:w="538" w:type="pct"/>
            <w:tcBorders>
              <w:top w:val="nil"/>
              <w:left w:val="nil"/>
              <w:bottom w:val="single" w:sz="4" w:space="0" w:color="B4C6E7"/>
              <w:right w:val="single" w:sz="4" w:space="0" w:color="B4C6E7"/>
            </w:tcBorders>
            <w:vAlign w:val="center"/>
            <w:hideMark/>
          </w:tcPr>
          <w:p w14:paraId="0C2813A2" w14:textId="0DB9AFB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724 029,04</w:t>
            </w:r>
          </w:p>
        </w:tc>
        <w:tc>
          <w:tcPr>
            <w:tcW w:w="553" w:type="pct"/>
            <w:tcBorders>
              <w:top w:val="nil"/>
              <w:left w:val="nil"/>
              <w:bottom w:val="single" w:sz="4" w:space="0" w:color="B4C6E7"/>
              <w:right w:val="single" w:sz="4" w:space="0" w:color="B4C6E7"/>
            </w:tcBorders>
            <w:vAlign w:val="center"/>
            <w:hideMark/>
          </w:tcPr>
          <w:p w14:paraId="7885E692" w14:textId="6FFF84F9"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430 250,00</w:t>
            </w:r>
          </w:p>
        </w:tc>
        <w:tc>
          <w:tcPr>
            <w:tcW w:w="326" w:type="pct"/>
            <w:tcBorders>
              <w:top w:val="nil"/>
              <w:left w:val="nil"/>
              <w:bottom w:val="single" w:sz="4" w:space="0" w:color="B4C6E7"/>
              <w:right w:val="single" w:sz="4" w:space="0" w:color="B4C6E7"/>
            </w:tcBorders>
            <w:vAlign w:val="center"/>
            <w:hideMark/>
          </w:tcPr>
          <w:p w14:paraId="43EB5C22" w14:textId="01C4F726"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59,42</w:t>
            </w:r>
          </w:p>
        </w:tc>
        <w:tc>
          <w:tcPr>
            <w:tcW w:w="564" w:type="pct"/>
            <w:tcBorders>
              <w:top w:val="nil"/>
              <w:left w:val="nil"/>
              <w:bottom w:val="single" w:sz="4" w:space="0" w:color="B4C6E7"/>
              <w:right w:val="single" w:sz="4" w:space="0" w:color="B4C6E7"/>
            </w:tcBorders>
            <w:vAlign w:val="center"/>
            <w:hideMark/>
          </w:tcPr>
          <w:p w14:paraId="373A702D" w14:textId="2E1DBF37"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724 029,04</w:t>
            </w:r>
          </w:p>
        </w:tc>
        <w:tc>
          <w:tcPr>
            <w:tcW w:w="448" w:type="pct"/>
            <w:tcBorders>
              <w:top w:val="nil"/>
              <w:left w:val="nil"/>
              <w:bottom w:val="single" w:sz="4" w:space="0" w:color="B4C6E7"/>
              <w:right w:val="single" w:sz="4" w:space="0" w:color="B4C6E7"/>
            </w:tcBorders>
            <w:vAlign w:val="center"/>
            <w:hideMark/>
          </w:tcPr>
          <w:p w14:paraId="57EE306F" w14:textId="62829544"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67C4F41B" w14:textId="4ECE284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09D58B3A" w14:textId="3A643CD2"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1 448 058,08</w:t>
            </w:r>
          </w:p>
        </w:tc>
        <w:tc>
          <w:tcPr>
            <w:tcW w:w="583" w:type="pct"/>
            <w:tcBorders>
              <w:top w:val="nil"/>
              <w:left w:val="nil"/>
              <w:bottom w:val="single" w:sz="4" w:space="0" w:color="B4C6E7"/>
              <w:right w:val="single" w:sz="4" w:space="0" w:color="B4C6E7"/>
            </w:tcBorders>
            <w:vAlign w:val="center"/>
            <w:hideMark/>
          </w:tcPr>
          <w:p w14:paraId="604AD442" w14:textId="27DE71A0"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430 250,00</w:t>
            </w:r>
          </w:p>
        </w:tc>
        <w:tc>
          <w:tcPr>
            <w:tcW w:w="354" w:type="pct"/>
            <w:tcBorders>
              <w:top w:val="nil"/>
              <w:left w:val="nil"/>
              <w:bottom w:val="single" w:sz="4" w:space="0" w:color="B4C6E7"/>
              <w:right w:val="single" w:sz="4" w:space="0" w:color="B4C6E7"/>
            </w:tcBorders>
            <w:noWrap/>
            <w:vAlign w:val="center"/>
            <w:hideMark/>
          </w:tcPr>
          <w:p w14:paraId="31BDDDEA" w14:textId="4043CB97"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29,71</w:t>
            </w:r>
          </w:p>
        </w:tc>
      </w:tr>
      <w:tr w:rsidR="00860106" w:rsidRPr="00493996" w14:paraId="25919471"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34FD23F9"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6. Transferts et subventions aux contreparties</w:t>
            </w:r>
          </w:p>
        </w:tc>
        <w:tc>
          <w:tcPr>
            <w:tcW w:w="538" w:type="pct"/>
            <w:tcBorders>
              <w:top w:val="nil"/>
              <w:left w:val="nil"/>
              <w:bottom w:val="single" w:sz="4" w:space="0" w:color="B4C6E7"/>
              <w:right w:val="single" w:sz="4" w:space="0" w:color="B4C6E7"/>
            </w:tcBorders>
            <w:vAlign w:val="center"/>
            <w:hideMark/>
          </w:tcPr>
          <w:p w14:paraId="6E59C8B8" w14:textId="323D5377"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0,00</w:t>
            </w:r>
          </w:p>
        </w:tc>
        <w:tc>
          <w:tcPr>
            <w:tcW w:w="553" w:type="pct"/>
            <w:tcBorders>
              <w:top w:val="nil"/>
              <w:left w:val="nil"/>
              <w:bottom w:val="single" w:sz="4" w:space="0" w:color="B4C6E7"/>
              <w:right w:val="single" w:sz="4" w:space="0" w:color="B4C6E7"/>
            </w:tcBorders>
            <w:vAlign w:val="center"/>
            <w:hideMark/>
          </w:tcPr>
          <w:p w14:paraId="05761CB4" w14:textId="75B7D9BD" w:rsidR="00860106" w:rsidRPr="00860106" w:rsidRDefault="00860106" w:rsidP="00860106">
            <w:pPr>
              <w:jc w:val="right"/>
              <w:rPr>
                <w:rFonts w:ascii="Calibri" w:hAnsi="Calibri" w:cs="Calibri"/>
                <w:color w:val="000000"/>
                <w:sz w:val="18"/>
                <w:szCs w:val="18"/>
              </w:rPr>
            </w:pPr>
          </w:p>
        </w:tc>
        <w:tc>
          <w:tcPr>
            <w:tcW w:w="326" w:type="pct"/>
            <w:tcBorders>
              <w:top w:val="nil"/>
              <w:left w:val="nil"/>
              <w:bottom w:val="single" w:sz="4" w:space="0" w:color="B4C6E7"/>
              <w:right w:val="single" w:sz="4" w:space="0" w:color="B4C6E7"/>
            </w:tcBorders>
            <w:vAlign w:val="center"/>
            <w:hideMark/>
          </w:tcPr>
          <w:p w14:paraId="1F37E18F" w14:textId="29291BE0" w:rsidR="00860106" w:rsidRPr="002142A2" w:rsidRDefault="00860106" w:rsidP="00860106">
            <w:pPr>
              <w:jc w:val="right"/>
              <w:rPr>
                <w:rFonts w:ascii="Calibri" w:hAnsi="Calibri" w:cs="Calibri"/>
                <w:color w:val="000000"/>
                <w:sz w:val="18"/>
                <w:szCs w:val="18"/>
              </w:rPr>
            </w:pPr>
          </w:p>
        </w:tc>
        <w:tc>
          <w:tcPr>
            <w:tcW w:w="564" w:type="pct"/>
            <w:tcBorders>
              <w:top w:val="nil"/>
              <w:left w:val="nil"/>
              <w:bottom w:val="single" w:sz="4" w:space="0" w:color="B4C6E7"/>
              <w:right w:val="single" w:sz="4" w:space="0" w:color="B4C6E7"/>
            </w:tcBorders>
            <w:vAlign w:val="center"/>
            <w:hideMark/>
          </w:tcPr>
          <w:p w14:paraId="3DD4FF52" w14:textId="3E6A09CD"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w:t>
            </w:r>
          </w:p>
        </w:tc>
        <w:tc>
          <w:tcPr>
            <w:tcW w:w="448" w:type="pct"/>
            <w:tcBorders>
              <w:top w:val="nil"/>
              <w:left w:val="nil"/>
              <w:bottom w:val="single" w:sz="4" w:space="0" w:color="B4C6E7"/>
              <w:right w:val="single" w:sz="4" w:space="0" w:color="B4C6E7"/>
            </w:tcBorders>
            <w:vAlign w:val="center"/>
            <w:hideMark/>
          </w:tcPr>
          <w:p w14:paraId="2F53B47F" w14:textId="60DAF45D"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39403F75" w14:textId="4ADD7A49" w:rsidR="00860106" w:rsidRPr="002142A2" w:rsidRDefault="00860106" w:rsidP="00860106">
            <w:pPr>
              <w:jc w:val="right"/>
              <w:rPr>
                <w:rFonts w:ascii="Calibri" w:hAnsi="Calibri" w:cs="Calibri"/>
                <w:color w:val="000000"/>
                <w:sz w:val="18"/>
                <w:szCs w:val="18"/>
              </w:rPr>
            </w:pPr>
          </w:p>
        </w:tc>
        <w:tc>
          <w:tcPr>
            <w:tcW w:w="553" w:type="pct"/>
            <w:tcBorders>
              <w:top w:val="nil"/>
              <w:left w:val="nil"/>
              <w:bottom w:val="single" w:sz="4" w:space="0" w:color="B4C6E7"/>
              <w:right w:val="single" w:sz="4" w:space="0" w:color="B4C6E7"/>
            </w:tcBorders>
            <w:vAlign w:val="center"/>
            <w:hideMark/>
          </w:tcPr>
          <w:p w14:paraId="70CF44BE" w14:textId="4E7AA705"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0,00</w:t>
            </w:r>
          </w:p>
        </w:tc>
        <w:tc>
          <w:tcPr>
            <w:tcW w:w="583" w:type="pct"/>
            <w:tcBorders>
              <w:top w:val="nil"/>
              <w:left w:val="nil"/>
              <w:bottom w:val="single" w:sz="4" w:space="0" w:color="B4C6E7"/>
              <w:right w:val="single" w:sz="4" w:space="0" w:color="B4C6E7"/>
            </w:tcBorders>
            <w:vAlign w:val="center"/>
            <w:hideMark/>
          </w:tcPr>
          <w:p w14:paraId="5A8D13AD" w14:textId="3A645BAF"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0,00</w:t>
            </w:r>
          </w:p>
        </w:tc>
        <w:tc>
          <w:tcPr>
            <w:tcW w:w="354" w:type="pct"/>
            <w:tcBorders>
              <w:top w:val="nil"/>
              <w:left w:val="nil"/>
              <w:bottom w:val="single" w:sz="4" w:space="0" w:color="B4C6E7"/>
              <w:right w:val="single" w:sz="4" w:space="0" w:color="B4C6E7"/>
            </w:tcBorders>
            <w:noWrap/>
            <w:vAlign w:val="center"/>
            <w:hideMark/>
          </w:tcPr>
          <w:p w14:paraId="7138A7FD" w14:textId="72337C3F" w:rsidR="00860106" w:rsidRPr="002142A2" w:rsidRDefault="00860106" w:rsidP="00860106">
            <w:pPr>
              <w:jc w:val="right"/>
              <w:rPr>
                <w:rFonts w:ascii="Calibri" w:hAnsi="Calibri" w:cs="Calibri"/>
                <w:color w:val="000000"/>
                <w:sz w:val="18"/>
                <w:szCs w:val="18"/>
              </w:rPr>
            </w:pPr>
          </w:p>
        </w:tc>
      </w:tr>
      <w:tr w:rsidR="00860106" w:rsidRPr="00493996" w14:paraId="6C579DE6" w14:textId="77777777" w:rsidTr="00860106">
        <w:trPr>
          <w:trHeight w:val="675"/>
        </w:trPr>
        <w:tc>
          <w:tcPr>
            <w:tcW w:w="906" w:type="pct"/>
            <w:tcBorders>
              <w:top w:val="nil"/>
              <w:left w:val="single" w:sz="4" w:space="0" w:color="B4C6E7"/>
              <w:bottom w:val="single" w:sz="4" w:space="0" w:color="B4C6E7"/>
              <w:right w:val="single" w:sz="4" w:space="0" w:color="B4C6E7"/>
            </w:tcBorders>
            <w:vAlign w:val="center"/>
            <w:hideMark/>
          </w:tcPr>
          <w:p w14:paraId="5CF86C85"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7. Coûts généraux de fonctionnement et autres coûts directs</w:t>
            </w:r>
          </w:p>
        </w:tc>
        <w:tc>
          <w:tcPr>
            <w:tcW w:w="538" w:type="pct"/>
            <w:tcBorders>
              <w:top w:val="nil"/>
              <w:left w:val="nil"/>
              <w:bottom w:val="single" w:sz="4" w:space="0" w:color="B4C6E7"/>
              <w:right w:val="single" w:sz="4" w:space="0" w:color="B4C6E7"/>
            </w:tcBorders>
            <w:vAlign w:val="center"/>
            <w:hideMark/>
          </w:tcPr>
          <w:p w14:paraId="4168105E" w14:textId="195796F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178 053,57</w:t>
            </w:r>
          </w:p>
        </w:tc>
        <w:tc>
          <w:tcPr>
            <w:tcW w:w="553" w:type="pct"/>
            <w:tcBorders>
              <w:top w:val="nil"/>
              <w:left w:val="nil"/>
              <w:bottom w:val="single" w:sz="4" w:space="0" w:color="B4C6E7"/>
              <w:right w:val="single" w:sz="4" w:space="0" w:color="B4C6E7"/>
            </w:tcBorders>
            <w:vAlign w:val="center"/>
            <w:hideMark/>
          </w:tcPr>
          <w:p w14:paraId="5048CF1F" w14:textId="69BF69E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41 895,49</w:t>
            </w:r>
          </w:p>
        </w:tc>
        <w:tc>
          <w:tcPr>
            <w:tcW w:w="326" w:type="pct"/>
            <w:tcBorders>
              <w:top w:val="nil"/>
              <w:left w:val="nil"/>
              <w:bottom w:val="single" w:sz="4" w:space="0" w:color="B4C6E7"/>
              <w:right w:val="single" w:sz="4" w:space="0" w:color="B4C6E7"/>
            </w:tcBorders>
            <w:vAlign w:val="center"/>
            <w:hideMark/>
          </w:tcPr>
          <w:p w14:paraId="143EC476" w14:textId="1869E38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23,53</w:t>
            </w:r>
          </w:p>
        </w:tc>
        <w:tc>
          <w:tcPr>
            <w:tcW w:w="564" w:type="pct"/>
            <w:tcBorders>
              <w:top w:val="nil"/>
              <w:left w:val="nil"/>
              <w:bottom w:val="single" w:sz="4" w:space="0" w:color="B4C6E7"/>
              <w:right w:val="single" w:sz="4" w:space="0" w:color="B4C6E7"/>
            </w:tcBorders>
            <w:vAlign w:val="center"/>
            <w:hideMark/>
          </w:tcPr>
          <w:p w14:paraId="4703A16F" w14:textId="6F852C01"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178 053,57</w:t>
            </w:r>
          </w:p>
        </w:tc>
        <w:tc>
          <w:tcPr>
            <w:tcW w:w="448" w:type="pct"/>
            <w:tcBorders>
              <w:top w:val="nil"/>
              <w:left w:val="nil"/>
              <w:bottom w:val="single" w:sz="4" w:space="0" w:color="B4C6E7"/>
              <w:right w:val="single" w:sz="4" w:space="0" w:color="B4C6E7"/>
            </w:tcBorders>
            <w:vAlign w:val="center"/>
            <w:hideMark/>
          </w:tcPr>
          <w:p w14:paraId="7154EC7F" w14:textId="35C1A29E"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vAlign w:val="center"/>
            <w:hideMark/>
          </w:tcPr>
          <w:p w14:paraId="6201C7C9" w14:textId="6B3AF080"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795A4966" w14:textId="01736D85"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356 107,14</w:t>
            </w:r>
          </w:p>
        </w:tc>
        <w:tc>
          <w:tcPr>
            <w:tcW w:w="583" w:type="pct"/>
            <w:tcBorders>
              <w:top w:val="nil"/>
              <w:left w:val="nil"/>
              <w:bottom w:val="single" w:sz="4" w:space="0" w:color="B4C6E7"/>
              <w:right w:val="single" w:sz="4" w:space="0" w:color="B4C6E7"/>
            </w:tcBorders>
            <w:vAlign w:val="center"/>
            <w:hideMark/>
          </w:tcPr>
          <w:p w14:paraId="17BED707" w14:textId="7CF3E4AF"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41 895,49</w:t>
            </w:r>
          </w:p>
        </w:tc>
        <w:tc>
          <w:tcPr>
            <w:tcW w:w="354" w:type="pct"/>
            <w:tcBorders>
              <w:top w:val="nil"/>
              <w:left w:val="nil"/>
              <w:bottom w:val="single" w:sz="4" w:space="0" w:color="B4C6E7"/>
              <w:right w:val="single" w:sz="4" w:space="0" w:color="B4C6E7"/>
            </w:tcBorders>
            <w:noWrap/>
            <w:vAlign w:val="center"/>
            <w:hideMark/>
          </w:tcPr>
          <w:p w14:paraId="0F4BDC85" w14:textId="0E14C6B0"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11,76</w:t>
            </w:r>
          </w:p>
        </w:tc>
      </w:tr>
      <w:tr w:rsidR="00860106" w:rsidRPr="00493996" w14:paraId="34E1AC74" w14:textId="77777777" w:rsidTr="00860106">
        <w:trPr>
          <w:trHeight w:val="292"/>
        </w:trPr>
        <w:tc>
          <w:tcPr>
            <w:tcW w:w="906" w:type="pct"/>
            <w:tcBorders>
              <w:top w:val="nil"/>
              <w:left w:val="single" w:sz="4" w:space="0" w:color="B4C6E7"/>
              <w:bottom w:val="single" w:sz="4" w:space="0" w:color="B4C6E7"/>
              <w:right w:val="single" w:sz="4" w:space="0" w:color="B4C6E7"/>
            </w:tcBorders>
            <w:shd w:val="clear" w:color="B4C6E7" w:fill="B4C6E7"/>
            <w:vAlign w:val="center"/>
            <w:hideMark/>
          </w:tcPr>
          <w:p w14:paraId="78517A9C"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Total des Coûts Directs</w:t>
            </w:r>
          </w:p>
        </w:tc>
        <w:tc>
          <w:tcPr>
            <w:tcW w:w="538" w:type="pct"/>
            <w:tcBorders>
              <w:top w:val="nil"/>
              <w:left w:val="nil"/>
              <w:bottom w:val="single" w:sz="4" w:space="0" w:color="B4C6E7"/>
              <w:right w:val="single" w:sz="4" w:space="0" w:color="B4C6E7"/>
            </w:tcBorders>
            <w:shd w:val="clear" w:color="B4C6E7" w:fill="B4C6E7"/>
            <w:vAlign w:val="center"/>
            <w:hideMark/>
          </w:tcPr>
          <w:p w14:paraId="68D9AED3" w14:textId="623C8116"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3 738 317,76</w:t>
            </w:r>
          </w:p>
        </w:tc>
        <w:tc>
          <w:tcPr>
            <w:tcW w:w="553" w:type="pct"/>
            <w:tcBorders>
              <w:top w:val="nil"/>
              <w:left w:val="nil"/>
              <w:bottom w:val="single" w:sz="4" w:space="0" w:color="B4C6E7"/>
              <w:right w:val="single" w:sz="4" w:space="0" w:color="B4C6E7"/>
            </w:tcBorders>
            <w:shd w:val="clear" w:color="B4C6E7" w:fill="B4C6E7"/>
            <w:vAlign w:val="center"/>
            <w:hideMark/>
          </w:tcPr>
          <w:p w14:paraId="0214D41C" w14:textId="626E89B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2 198 354,02</w:t>
            </w:r>
          </w:p>
        </w:tc>
        <w:tc>
          <w:tcPr>
            <w:tcW w:w="326" w:type="pct"/>
            <w:tcBorders>
              <w:top w:val="nil"/>
              <w:left w:val="nil"/>
              <w:bottom w:val="single" w:sz="4" w:space="0" w:color="B4C6E7"/>
              <w:right w:val="single" w:sz="4" w:space="0" w:color="B4C6E7"/>
            </w:tcBorders>
            <w:shd w:val="clear" w:color="B4C6E7" w:fill="B4C6E7"/>
            <w:vAlign w:val="center"/>
            <w:hideMark/>
          </w:tcPr>
          <w:p w14:paraId="7419E885" w14:textId="249BF6A6"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58,81</w:t>
            </w:r>
          </w:p>
        </w:tc>
        <w:tc>
          <w:tcPr>
            <w:tcW w:w="564" w:type="pct"/>
            <w:tcBorders>
              <w:top w:val="nil"/>
              <w:left w:val="nil"/>
              <w:bottom w:val="single" w:sz="4" w:space="0" w:color="B4C6E7"/>
              <w:right w:val="single" w:sz="4" w:space="0" w:color="B4C6E7"/>
            </w:tcBorders>
            <w:shd w:val="clear" w:color="B4C6E7" w:fill="B4C6E7"/>
            <w:vAlign w:val="center"/>
            <w:hideMark/>
          </w:tcPr>
          <w:p w14:paraId="20FA38EC" w14:textId="1476EA6F"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3 738 317,76</w:t>
            </w:r>
          </w:p>
        </w:tc>
        <w:tc>
          <w:tcPr>
            <w:tcW w:w="448" w:type="pct"/>
            <w:tcBorders>
              <w:top w:val="nil"/>
              <w:left w:val="nil"/>
              <w:bottom w:val="single" w:sz="4" w:space="0" w:color="B4C6E7"/>
              <w:right w:val="single" w:sz="4" w:space="0" w:color="B4C6E7"/>
            </w:tcBorders>
            <w:shd w:val="clear" w:color="B4C6E7" w:fill="B4C6E7"/>
            <w:vAlign w:val="center"/>
            <w:hideMark/>
          </w:tcPr>
          <w:p w14:paraId="3A6670DA" w14:textId="76A3B6F5"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175" w:type="pct"/>
            <w:tcBorders>
              <w:top w:val="nil"/>
              <w:left w:val="nil"/>
              <w:bottom w:val="single" w:sz="4" w:space="0" w:color="B4C6E7"/>
              <w:right w:val="single" w:sz="4" w:space="0" w:color="B4C6E7"/>
            </w:tcBorders>
            <w:shd w:val="clear" w:color="B4C6E7" w:fill="B4C6E7"/>
            <w:vAlign w:val="center"/>
            <w:hideMark/>
          </w:tcPr>
          <w:p w14:paraId="0704411A" w14:textId="271173CC"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shd w:val="clear" w:color="B4C6E7" w:fill="B4C6E7"/>
            <w:vAlign w:val="center"/>
            <w:hideMark/>
          </w:tcPr>
          <w:p w14:paraId="4942371F" w14:textId="47651D99"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7 476 635,52</w:t>
            </w:r>
          </w:p>
        </w:tc>
        <w:tc>
          <w:tcPr>
            <w:tcW w:w="583" w:type="pct"/>
            <w:tcBorders>
              <w:top w:val="nil"/>
              <w:left w:val="nil"/>
              <w:bottom w:val="single" w:sz="4" w:space="0" w:color="B4C6E7"/>
              <w:right w:val="single" w:sz="4" w:space="0" w:color="B4C6E7"/>
            </w:tcBorders>
            <w:shd w:val="clear" w:color="B4C6E7" w:fill="B4C6E7"/>
            <w:vAlign w:val="center"/>
            <w:hideMark/>
          </w:tcPr>
          <w:p w14:paraId="0C496E57" w14:textId="201C7DC5"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2 198 354,02</w:t>
            </w:r>
          </w:p>
        </w:tc>
        <w:tc>
          <w:tcPr>
            <w:tcW w:w="354" w:type="pct"/>
            <w:tcBorders>
              <w:top w:val="nil"/>
              <w:left w:val="nil"/>
              <w:bottom w:val="single" w:sz="4" w:space="0" w:color="B4C6E7"/>
              <w:right w:val="single" w:sz="4" w:space="0" w:color="B4C6E7"/>
            </w:tcBorders>
            <w:shd w:val="clear" w:color="B4C6E7" w:fill="B4C6E7"/>
            <w:vAlign w:val="center"/>
            <w:hideMark/>
          </w:tcPr>
          <w:p w14:paraId="781ABD6B" w14:textId="40068BB8"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29,40</w:t>
            </w:r>
          </w:p>
        </w:tc>
      </w:tr>
      <w:tr w:rsidR="00860106" w:rsidRPr="00493996" w14:paraId="777C3673" w14:textId="77777777" w:rsidTr="00860106">
        <w:trPr>
          <w:trHeight w:val="292"/>
        </w:trPr>
        <w:tc>
          <w:tcPr>
            <w:tcW w:w="906" w:type="pct"/>
            <w:tcBorders>
              <w:top w:val="nil"/>
              <w:left w:val="single" w:sz="4" w:space="0" w:color="B4C6E7"/>
              <w:bottom w:val="single" w:sz="4" w:space="0" w:color="B4C6E7"/>
              <w:right w:val="single" w:sz="4" w:space="0" w:color="B4C6E7"/>
            </w:tcBorders>
            <w:vAlign w:val="center"/>
            <w:hideMark/>
          </w:tcPr>
          <w:p w14:paraId="50A1BE46"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 xml:space="preserve">8. Coûts de soutien indirects (Max. 7 %)  </w:t>
            </w:r>
          </w:p>
        </w:tc>
        <w:tc>
          <w:tcPr>
            <w:tcW w:w="538" w:type="pct"/>
            <w:tcBorders>
              <w:top w:val="nil"/>
              <w:left w:val="nil"/>
              <w:bottom w:val="single" w:sz="4" w:space="0" w:color="B4C6E7"/>
              <w:right w:val="single" w:sz="4" w:space="0" w:color="B4C6E7"/>
            </w:tcBorders>
            <w:vAlign w:val="center"/>
            <w:hideMark/>
          </w:tcPr>
          <w:p w14:paraId="680D5EFD" w14:textId="47E574C7"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261 682,24</w:t>
            </w:r>
          </w:p>
        </w:tc>
        <w:tc>
          <w:tcPr>
            <w:tcW w:w="553" w:type="pct"/>
            <w:tcBorders>
              <w:top w:val="nil"/>
              <w:left w:val="nil"/>
              <w:bottom w:val="single" w:sz="4" w:space="0" w:color="B4C6E7"/>
              <w:right w:val="single" w:sz="4" w:space="0" w:color="B4C6E7"/>
            </w:tcBorders>
            <w:vAlign w:val="center"/>
            <w:hideMark/>
          </w:tcPr>
          <w:p w14:paraId="64020EC3" w14:textId="37985AFC"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170 692,93</w:t>
            </w:r>
          </w:p>
        </w:tc>
        <w:tc>
          <w:tcPr>
            <w:tcW w:w="326" w:type="pct"/>
            <w:tcBorders>
              <w:top w:val="nil"/>
              <w:left w:val="nil"/>
              <w:bottom w:val="single" w:sz="4" w:space="0" w:color="B4C6E7"/>
              <w:right w:val="single" w:sz="4" w:space="0" w:color="B4C6E7"/>
            </w:tcBorders>
            <w:vAlign w:val="center"/>
            <w:hideMark/>
          </w:tcPr>
          <w:p w14:paraId="3DFD3C89" w14:textId="480E0CEE"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65,23</w:t>
            </w:r>
          </w:p>
        </w:tc>
        <w:tc>
          <w:tcPr>
            <w:tcW w:w="564" w:type="pct"/>
            <w:tcBorders>
              <w:top w:val="nil"/>
              <w:left w:val="nil"/>
              <w:bottom w:val="single" w:sz="4" w:space="0" w:color="B4C6E7"/>
              <w:right w:val="single" w:sz="4" w:space="0" w:color="B4C6E7"/>
            </w:tcBorders>
            <w:vAlign w:val="center"/>
            <w:hideMark/>
          </w:tcPr>
          <w:p w14:paraId="37082A9D" w14:textId="4154C7DC"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261 682,24</w:t>
            </w:r>
          </w:p>
        </w:tc>
        <w:tc>
          <w:tcPr>
            <w:tcW w:w="448" w:type="pct"/>
            <w:tcBorders>
              <w:top w:val="nil"/>
              <w:left w:val="nil"/>
              <w:bottom w:val="single" w:sz="4" w:space="0" w:color="B4C6E7"/>
              <w:right w:val="single" w:sz="4" w:space="0" w:color="B4C6E7"/>
            </w:tcBorders>
            <w:vAlign w:val="center"/>
            <w:hideMark/>
          </w:tcPr>
          <w:p w14:paraId="4F579084" w14:textId="1C9620A3" w:rsidR="00860106" w:rsidRPr="002142A2" w:rsidRDefault="00860106" w:rsidP="00860106">
            <w:pPr>
              <w:jc w:val="right"/>
              <w:rPr>
                <w:rFonts w:ascii="Calibri" w:hAnsi="Calibri" w:cs="Calibri"/>
                <w:color w:val="000000"/>
                <w:sz w:val="18"/>
                <w:szCs w:val="18"/>
              </w:rPr>
            </w:pPr>
          </w:p>
        </w:tc>
        <w:tc>
          <w:tcPr>
            <w:tcW w:w="175" w:type="pct"/>
            <w:tcBorders>
              <w:top w:val="nil"/>
              <w:left w:val="nil"/>
              <w:bottom w:val="single" w:sz="4" w:space="0" w:color="B4C6E7"/>
              <w:right w:val="single" w:sz="4" w:space="0" w:color="B4C6E7"/>
            </w:tcBorders>
            <w:noWrap/>
            <w:vAlign w:val="center"/>
            <w:hideMark/>
          </w:tcPr>
          <w:p w14:paraId="6D4FFCBB" w14:textId="25F0C94A"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vAlign w:val="center"/>
            <w:hideMark/>
          </w:tcPr>
          <w:p w14:paraId="309F778A" w14:textId="01616043"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523 364,49</w:t>
            </w:r>
          </w:p>
        </w:tc>
        <w:tc>
          <w:tcPr>
            <w:tcW w:w="583" w:type="pct"/>
            <w:tcBorders>
              <w:top w:val="nil"/>
              <w:left w:val="nil"/>
              <w:bottom w:val="single" w:sz="4" w:space="0" w:color="B4C6E7"/>
              <w:right w:val="single" w:sz="4" w:space="0" w:color="B4C6E7"/>
            </w:tcBorders>
            <w:vAlign w:val="center"/>
            <w:hideMark/>
          </w:tcPr>
          <w:p w14:paraId="70B9A84B" w14:textId="68E8AE18"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170 692,93</w:t>
            </w:r>
          </w:p>
        </w:tc>
        <w:tc>
          <w:tcPr>
            <w:tcW w:w="354" w:type="pct"/>
            <w:tcBorders>
              <w:top w:val="nil"/>
              <w:left w:val="nil"/>
              <w:bottom w:val="single" w:sz="4" w:space="0" w:color="B4C6E7"/>
              <w:right w:val="single" w:sz="4" w:space="0" w:color="B4C6E7"/>
            </w:tcBorders>
            <w:noWrap/>
            <w:vAlign w:val="center"/>
            <w:hideMark/>
          </w:tcPr>
          <w:p w14:paraId="1D7A4A2C" w14:textId="5AD0B046"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32,61</w:t>
            </w:r>
          </w:p>
        </w:tc>
      </w:tr>
      <w:tr w:rsidR="00860106" w:rsidRPr="00493996" w14:paraId="40F2643A" w14:textId="77777777" w:rsidTr="00860106">
        <w:trPr>
          <w:trHeight w:val="270"/>
        </w:trPr>
        <w:tc>
          <w:tcPr>
            <w:tcW w:w="906" w:type="pct"/>
            <w:tcBorders>
              <w:top w:val="nil"/>
              <w:left w:val="single" w:sz="4" w:space="0" w:color="B4C6E7"/>
              <w:bottom w:val="single" w:sz="4" w:space="0" w:color="B4C6E7"/>
              <w:right w:val="single" w:sz="4" w:space="0" w:color="B4C6E7"/>
            </w:tcBorders>
            <w:shd w:val="clear" w:color="D9E2F3" w:fill="D9E2F3"/>
            <w:vAlign w:val="center"/>
            <w:hideMark/>
          </w:tcPr>
          <w:p w14:paraId="7341CA04" w14:textId="77777777" w:rsidR="00860106" w:rsidRPr="002142A2" w:rsidRDefault="00860106" w:rsidP="00860106">
            <w:pPr>
              <w:rPr>
                <w:rFonts w:ascii="Calibri" w:hAnsi="Calibri" w:cs="Calibri"/>
                <w:color w:val="000000"/>
                <w:sz w:val="18"/>
                <w:szCs w:val="18"/>
              </w:rPr>
            </w:pPr>
            <w:r w:rsidRPr="002142A2">
              <w:rPr>
                <w:rFonts w:ascii="Calibri" w:hAnsi="Calibri" w:cs="Calibri"/>
                <w:color w:val="000000"/>
                <w:sz w:val="18"/>
                <w:szCs w:val="18"/>
              </w:rPr>
              <w:t>TOTAL des Coûts</w:t>
            </w:r>
          </w:p>
        </w:tc>
        <w:tc>
          <w:tcPr>
            <w:tcW w:w="538" w:type="pct"/>
            <w:tcBorders>
              <w:top w:val="nil"/>
              <w:left w:val="nil"/>
              <w:bottom w:val="single" w:sz="4" w:space="0" w:color="B4C6E7"/>
              <w:right w:val="single" w:sz="4" w:space="0" w:color="B4C6E7"/>
            </w:tcBorders>
            <w:shd w:val="clear" w:color="D9E2F3" w:fill="D9E2F3"/>
            <w:vAlign w:val="center"/>
            <w:hideMark/>
          </w:tcPr>
          <w:p w14:paraId="3DEFFF8D" w14:textId="1E08BCE8"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4 000 000,00</w:t>
            </w:r>
          </w:p>
        </w:tc>
        <w:tc>
          <w:tcPr>
            <w:tcW w:w="553" w:type="pct"/>
            <w:tcBorders>
              <w:top w:val="nil"/>
              <w:left w:val="nil"/>
              <w:bottom w:val="single" w:sz="4" w:space="0" w:color="B4C6E7"/>
              <w:right w:val="single" w:sz="4" w:space="0" w:color="B4C6E7"/>
            </w:tcBorders>
            <w:shd w:val="clear" w:color="D9E2F3" w:fill="D9E2F3"/>
            <w:vAlign w:val="center"/>
            <w:hideMark/>
          </w:tcPr>
          <w:p w14:paraId="3B2BA70E" w14:textId="55435DEB"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2 369 046,95</w:t>
            </w:r>
          </w:p>
        </w:tc>
        <w:tc>
          <w:tcPr>
            <w:tcW w:w="326" w:type="pct"/>
            <w:tcBorders>
              <w:top w:val="nil"/>
              <w:left w:val="nil"/>
              <w:bottom w:val="single" w:sz="4" w:space="0" w:color="B4C6E7"/>
              <w:right w:val="single" w:sz="4" w:space="0" w:color="B4C6E7"/>
            </w:tcBorders>
            <w:shd w:val="clear" w:color="D9E2F3" w:fill="D9E2F3"/>
            <w:vAlign w:val="center"/>
            <w:hideMark/>
          </w:tcPr>
          <w:p w14:paraId="14B48DF8" w14:textId="32B46C37"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59,23</w:t>
            </w:r>
          </w:p>
        </w:tc>
        <w:tc>
          <w:tcPr>
            <w:tcW w:w="564" w:type="pct"/>
            <w:tcBorders>
              <w:top w:val="nil"/>
              <w:left w:val="nil"/>
              <w:bottom w:val="single" w:sz="4" w:space="0" w:color="B4C6E7"/>
              <w:right w:val="single" w:sz="4" w:space="0" w:color="B4C6E7"/>
            </w:tcBorders>
            <w:shd w:val="clear" w:color="D9E2F3" w:fill="D9E2F3"/>
            <w:vAlign w:val="center"/>
            <w:hideMark/>
          </w:tcPr>
          <w:p w14:paraId="6DB71A50" w14:textId="24B78659"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4 000 000,00</w:t>
            </w:r>
          </w:p>
        </w:tc>
        <w:tc>
          <w:tcPr>
            <w:tcW w:w="448" w:type="pct"/>
            <w:tcBorders>
              <w:top w:val="nil"/>
              <w:left w:val="nil"/>
              <w:bottom w:val="single" w:sz="4" w:space="0" w:color="B4C6E7"/>
              <w:right w:val="single" w:sz="4" w:space="0" w:color="B4C6E7"/>
            </w:tcBorders>
            <w:shd w:val="clear" w:color="D9E2F3" w:fill="D9E2F3"/>
            <w:vAlign w:val="center"/>
            <w:hideMark/>
          </w:tcPr>
          <w:p w14:paraId="24796A3F" w14:textId="0FBEC2F2"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175" w:type="pct"/>
            <w:tcBorders>
              <w:top w:val="nil"/>
              <w:left w:val="nil"/>
              <w:bottom w:val="single" w:sz="4" w:space="0" w:color="B4C6E7"/>
              <w:right w:val="single" w:sz="4" w:space="0" w:color="B4C6E7"/>
            </w:tcBorders>
            <w:shd w:val="clear" w:color="D9E2F3" w:fill="D9E2F3"/>
            <w:vAlign w:val="center"/>
            <w:hideMark/>
          </w:tcPr>
          <w:p w14:paraId="60EDBE0A" w14:textId="30509DD9"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0%</w:t>
            </w:r>
          </w:p>
        </w:tc>
        <w:tc>
          <w:tcPr>
            <w:tcW w:w="553" w:type="pct"/>
            <w:tcBorders>
              <w:top w:val="nil"/>
              <w:left w:val="nil"/>
              <w:bottom w:val="single" w:sz="4" w:space="0" w:color="B4C6E7"/>
              <w:right w:val="single" w:sz="4" w:space="0" w:color="B4C6E7"/>
            </w:tcBorders>
            <w:shd w:val="clear" w:color="D9E2F3" w:fill="D9E2F3"/>
            <w:vAlign w:val="center"/>
            <w:hideMark/>
          </w:tcPr>
          <w:p w14:paraId="1BA06698" w14:textId="490FAE18"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8 000 000,00</w:t>
            </w:r>
          </w:p>
        </w:tc>
        <w:tc>
          <w:tcPr>
            <w:tcW w:w="583" w:type="pct"/>
            <w:tcBorders>
              <w:top w:val="nil"/>
              <w:left w:val="nil"/>
              <w:bottom w:val="single" w:sz="4" w:space="0" w:color="B4C6E7"/>
              <w:right w:val="single" w:sz="4" w:space="0" w:color="B4C6E7"/>
            </w:tcBorders>
            <w:shd w:val="clear" w:color="D9E2F3" w:fill="D9E2F3"/>
            <w:vAlign w:val="center"/>
            <w:hideMark/>
          </w:tcPr>
          <w:p w14:paraId="738C8A57" w14:textId="21CD9EA5"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2 369 046,95</w:t>
            </w:r>
          </w:p>
        </w:tc>
        <w:tc>
          <w:tcPr>
            <w:tcW w:w="354" w:type="pct"/>
            <w:tcBorders>
              <w:top w:val="nil"/>
              <w:left w:val="nil"/>
              <w:bottom w:val="single" w:sz="4" w:space="0" w:color="B4C6E7"/>
              <w:right w:val="single" w:sz="4" w:space="0" w:color="B4C6E7"/>
            </w:tcBorders>
            <w:shd w:val="clear" w:color="D9E2F3" w:fill="D9E2F3"/>
            <w:vAlign w:val="center"/>
            <w:hideMark/>
          </w:tcPr>
          <w:p w14:paraId="71A4237D" w14:textId="409B7A4D" w:rsidR="00860106" w:rsidRPr="002142A2" w:rsidRDefault="00860106" w:rsidP="00860106">
            <w:pPr>
              <w:jc w:val="right"/>
              <w:rPr>
                <w:rFonts w:ascii="Calibri" w:hAnsi="Calibri" w:cs="Calibri"/>
                <w:color w:val="000000"/>
                <w:sz w:val="18"/>
                <w:szCs w:val="18"/>
              </w:rPr>
            </w:pPr>
            <w:r w:rsidRPr="00860106">
              <w:rPr>
                <w:rFonts w:ascii="Calibri" w:hAnsi="Calibri" w:cs="Calibri"/>
                <w:color w:val="000000"/>
                <w:sz w:val="18"/>
                <w:szCs w:val="18"/>
              </w:rPr>
              <w:t>29,61</w:t>
            </w:r>
          </w:p>
        </w:tc>
      </w:tr>
    </w:tbl>
    <w:p w14:paraId="0D5A1887" w14:textId="77777777" w:rsidR="00493996" w:rsidRPr="00E11FFB" w:rsidRDefault="00493996" w:rsidP="002142A2">
      <w:pPr>
        <w:pBdr>
          <w:top w:val="nil"/>
          <w:left w:val="nil"/>
          <w:bottom w:val="nil"/>
          <w:right w:val="nil"/>
          <w:between w:val="nil"/>
        </w:pBdr>
        <w:spacing w:after="8" w:line="271" w:lineRule="auto"/>
        <w:ind w:left="10" w:right="28"/>
        <w:jc w:val="both"/>
        <w:rPr>
          <w:rFonts w:ascii="Avenir" w:eastAsia="Avenir" w:hAnsi="Avenir" w:cs="Avenir"/>
          <w:color w:val="000000"/>
          <w:sz w:val="20"/>
          <w:szCs w:val="20"/>
        </w:rPr>
      </w:pPr>
    </w:p>
    <w:p w14:paraId="3768A767" w14:textId="77777777" w:rsidR="0024617D" w:rsidRPr="00E11FFB" w:rsidRDefault="00C83F85">
      <w:pPr>
        <w:keepNext/>
        <w:keepLines/>
        <w:numPr>
          <w:ilvl w:val="0"/>
          <w:numId w:val="5"/>
        </w:numPr>
        <w:pBdr>
          <w:top w:val="nil"/>
          <w:left w:val="nil"/>
          <w:bottom w:val="nil"/>
          <w:right w:val="nil"/>
          <w:between w:val="nil"/>
        </w:pBdr>
        <w:spacing w:line="250" w:lineRule="auto"/>
        <w:ind w:right="28"/>
        <w:jc w:val="both"/>
        <w:rPr>
          <w:rFonts w:ascii="Avenir" w:eastAsia="Avenir" w:hAnsi="Avenir" w:cs="Avenir"/>
          <w:color w:val="000000"/>
          <w:sz w:val="20"/>
          <w:szCs w:val="20"/>
        </w:rPr>
      </w:pPr>
      <w:r w:rsidRPr="00E11FFB">
        <w:rPr>
          <w:rFonts w:ascii="Avenir" w:eastAsia="Avenir" w:hAnsi="Avenir" w:cs="Avenir"/>
          <w:color w:val="000000"/>
          <w:sz w:val="20"/>
          <w:szCs w:val="20"/>
        </w:rPr>
        <w:t>Cout efficacité : Tableau des progrès et décaissements par effets et par produits</w:t>
      </w:r>
    </w:p>
    <w:p w14:paraId="44EAEBCA" w14:textId="77777777" w:rsidR="0024617D" w:rsidRPr="00E11FFB" w:rsidRDefault="0024617D">
      <w:pPr>
        <w:keepNext/>
        <w:keepLines/>
        <w:pBdr>
          <w:top w:val="nil"/>
          <w:left w:val="nil"/>
          <w:bottom w:val="nil"/>
          <w:right w:val="nil"/>
          <w:between w:val="nil"/>
        </w:pBdr>
        <w:spacing w:line="250" w:lineRule="auto"/>
        <w:ind w:right="28"/>
        <w:jc w:val="both"/>
        <w:rPr>
          <w:rFonts w:ascii="Avenir" w:eastAsia="Avenir" w:hAnsi="Avenir" w:cs="Avenir"/>
          <w:color w:val="000000"/>
          <w:sz w:val="20"/>
          <w:szCs w:val="20"/>
        </w:rPr>
      </w:pPr>
    </w:p>
    <w:p w14:paraId="61CA26EF" w14:textId="77777777" w:rsidR="00FE3684" w:rsidRPr="00E11FFB" w:rsidRDefault="00FE3684" w:rsidP="00FE3684">
      <w:pPr>
        <w:rPr>
          <w:b/>
          <w:bCs/>
        </w:rPr>
      </w:pPr>
      <w:r w:rsidRPr="00E11FFB">
        <w:rPr>
          <w:b/>
          <w:bCs/>
        </w:rPr>
        <w:t>Aménagement du territoire</w:t>
      </w:r>
    </w:p>
    <w:p w14:paraId="234482B5" w14:textId="77777777" w:rsidR="00FE3684" w:rsidRPr="00E11FFB" w:rsidRDefault="00FE3684" w:rsidP="00FE3684"/>
    <w:tbl>
      <w:tblPr>
        <w:tblW w:w="98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6"/>
        <w:gridCol w:w="1795"/>
        <w:gridCol w:w="1387"/>
        <w:gridCol w:w="2264"/>
      </w:tblGrid>
      <w:tr w:rsidR="00FE3684" w:rsidRPr="00E11FFB" w14:paraId="5F6F87D9" w14:textId="77777777" w:rsidTr="00FE3684">
        <w:trPr>
          <w:trHeight w:val="336"/>
          <w:tblHeader/>
        </w:trPr>
        <w:tc>
          <w:tcPr>
            <w:tcW w:w="4406" w:type="dxa"/>
            <w:shd w:val="clear" w:color="auto" w:fill="DDEBF7"/>
            <w:vAlign w:val="center"/>
          </w:tcPr>
          <w:p w14:paraId="1657121A" w14:textId="77777777" w:rsidR="00FE3684" w:rsidRPr="00E11FFB" w:rsidRDefault="00FE3684" w:rsidP="003A6DE1">
            <w:pPr>
              <w:keepNext/>
              <w:keepLines/>
              <w:rPr>
                <w:rFonts w:ascii="Avenir" w:eastAsia="Avenir" w:hAnsi="Avenir" w:cs="Avenir"/>
                <w:color w:val="000000"/>
                <w:sz w:val="16"/>
                <w:szCs w:val="16"/>
              </w:rPr>
            </w:pPr>
            <w:bookmarkStart w:id="28" w:name="_Hlk218503852"/>
            <w:r w:rsidRPr="00E11FFB">
              <w:rPr>
                <w:rFonts w:ascii="Avenir" w:eastAsia="Avenir" w:hAnsi="Avenir" w:cs="Avenir"/>
                <w:color w:val="000000"/>
                <w:sz w:val="16"/>
                <w:szCs w:val="16"/>
              </w:rPr>
              <w:t xml:space="preserve">Résultats </w:t>
            </w:r>
          </w:p>
        </w:tc>
        <w:tc>
          <w:tcPr>
            <w:tcW w:w="1795" w:type="dxa"/>
            <w:vMerge w:val="restart"/>
            <w:shd w:val="clear" w:color="auto" w:fill="F4B084"/>
            <w:vAlign w:val="center"/>
          </w:tcPr>
          <w:p w14:paraId="255E39B4"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39"/>
            </w:r>
          </w:p>
        </w:tc>
        <w:tc>
          <w:tcPr>
            <w:tcW w:w="1387" w:type="dxa"/>
            <w:vMerge w:val="restart"/>
            <w:shd w:val="clear" w:color="auto" w:fill="DDEBF7"/>
            <w:vAlign w:val="center"/>
          </w:tcPr>
          <w:p w14:paraId="2AD86218"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40"/>
            </w:r>
          </w:p>
        </w:tc>
        <w:tc>
          <w:tcPr>
            <w:tcW w:w="2264" w:type="dxa"/>
            <w:vMerge w:val="restart"/>
            <w:shd w:val="clear" w:color="auto" w:fill="DDEBF7"/>
          </w:tcPr>
          <w:p w14:paraId="4A37F2EF"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FE3684" w:rsidRPr="00E11FFB" w14:paraId="0212BD64" w14:textId="77777777" w:rsidTr="00FE3684">
        <w:trPr>
          <w:trHeight w:val="353"/>
          <w:tblHeader/>
        </w:trPr>
        <w:tc>
          <w:tcPr>
            <w:tcW w:w="4406" w:type="dxa"/>
            <w:shd w:val="clear" w:color="auto" w:fill="DDEBF7"/>
            <w:vAlign w:val="center"/>
          </w:tcPr>
          <w:p w14:paraId="54BB858B"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1795" w:type="dxa"/>
            <w:vMerge/>
            <w:shd w:val="clear" w:color="auto" w:fill="F4B084"/>
            <w:vAlign w:val="center"/>
          </w:tcPr>
          <w:p w14:paraId="38FF0D0C"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1387" w:type="dxa"/>
            <w:vMerge/>
            <w:shd w:val="clear" w:color="auto" w:fill="DDEBF7"/>
            <w:vAlign w:val="center"/>
          </w:tcPr>
          <w:p w14:paraId="2BA46040"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2264" w:type="dxa"/>
            <w:vMerge/>
            <w:shd w:val="clear" w:color="auto" w:fill="DDEBF7"/>
          </w:tcPr>
          <w:p w14:paraId="5C0D3763"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r>
      <w:tr w:rsidR="00FE3684" w:rsidRPr="00E11FFB" w14:paraId="45992AF2" w14:textId="77777777" w:rsidTr="00FE3684">
        <w:trPr>
          <w:trHeight w:val="353"/>
        </w:trPr>
        <w:tc>
          <w:tcPr>
            <w:tcW w:w="4406" w:type="dxa"/>
            <w:vAlign w:val="center"/>
          </w:tcPr>
          <w:p w14:paraId="23F85270"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1 : Les décisions en matière d’aménagement du territoire assurent une représentation équilibrée des intérêts sectoriels et maintiennent les forêts debout, et une meilleure sécurité foncière n’encourage pas la conversion par les individus ou les communautés.</w:t>
            </w:r>
          </w:p>
        </w:tc>
        <w:tc>
          <w:tcPr>
            <w:tcW w:w="1795" w:type="dxa"/>
            <w:vAlign w:val="center"/>
          </w:tcPr>
          <w:p w14:paraId="087F5382" w14:textId="77777777" w:rsidR="00FE3684" w:rsidRPr="00E11FFB" w:rsidRDefault="00FE3684" w:rsidP="003A6DE1">
            <w:pPr>
              <w:rPr>
                <w:rFonts w:ascii="Avenir" w:eastAsia="Avenir" w:hAnsi="Avenir" w:cs="Avenir"/>
                <w:color w:val="000000"/>
                <w:sz w:val="16"/>
                <w:szCs w:val="16"/>
              </w:rPr>
            </w:pPr>
          </w:p>
        </w:tc>
        <w:tc>
          <w:tcPr>
            <w:tcW w:w="1387" w:type="dxa"/>
            <w:vAlign w:val="center"/>
          </w:tcPr>
          <w:p w14:paraId="17B34AEA" w14:textId="5F89CFEE" w:rsidR="00FE3684" w:rsidRPr="00E11FFB" w:rsidRDefault="005C2203" w:rsidP="003A6DE1">
            <w:pPr>
              <w:rPr>
                <w:rFonts w:ascii="Avenir" w:eastAsia="Avenir" w:hAnsi="Avenir" w:cs="Avenir"/>
                <w:color w:val="000000"/>
                <w:sz w:val="16"/>
                <w:szCs w:val="16"/>
              </w:rPr>
            </w:pPr>
            <w:r w:rsidRPr="005C2203">
              <w:rPr>
                <w:rFonts w:ascii="Avenir" w:eastAsia="Avenir" w:hAnsi="Avenir" w:cs="Avenir"/>
                <w:color w:val="000000"/>
                <w:sz w:val="16"/>
                <w:szCs w:val="16"/>
              </w:rPr>
              <w:t>272 315,00</w:t>
            </w:r>
          </w:p>
        </w:tc>
        <w:tc>
          <w:tcPr>
            <w:tcW w:w="2264" w:type="dxa"/>
          </w:tcPr>
          <w:p w14:paraId="544DBEAF" w14:textId="77777777" w:rsidR="00FE3684" w:rsidRPr="00E11FFB" w:rsidRDefault="00FE3684" w:rsidP="003A6DE1">
            <w:pPr>
              <w:rPr>
                <w:rFonts w:ascii="Avenir" w:eastAsia="Avenir" w:hAnsi="Avenir" w:cs="Avenir"/>
                <w:color w:val="000000"/>
                <w:sz w:val="16"/>
                <w:szCs w:val="16"/>
              </w:rPr>
            </w:pPr>
          </w:p>
        </w:tc>
      </w:tr>
      <w:tr w:rsidR="0000443E" w:rsidRPr="00E11FFB" w14:paraId="18477C3F" w14:textId="77777777" w:rsidTr="002142A2">
        <w:trPr>
          <w:trHeight w:val="353"/>
        </w:trPr>
        <w:tc>
          <w:tcPr>
            <w:tcW w:w="4406" w:type="dxa"/>
            <w:vAlign w:val="center"/>
          </w:tcPr>
          <w:p w14:paraId="20116AEB"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1.1 : Loi AT promulguée ; Conseil National AT (CNAT) est mis en place et opérationnel ; Conseils Provinciaux et locaux AT (CPAT et CLAT) mis en place dans au moins deux Provinces-pilotes et dans tous les autres PIREDD.</w:t>
            </w:r>
          </w:p>
        </w:tc>
        <w:tc>
          <w:tcPr>
            <w:tcW w:w="1795" w:type="dxa"/>
            <w:vAlign w:val="center"/>
          </w:tcPr>
          <w:p w14:paraId="40B84F17"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 xml:space="preserve">Désignation d’équipe d’élaboration des mesures d’accompagnement </w:t>
            </w:r>
          </w:p>
          <w:p w14:paraId="573F8D84" w14:textId="79BF019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Organisation des ateliers d’information sur les reformes. 1 décret CNAT et 1 arrêté CPAT</w:t>
            </w:r>
          </w:p>
        </w:tc>
        <w:tc>
          <w:tcPr>
            <w:tcW w:w="1387" w:type="dxa"/>
            <w:vAlign w:val="center"/>
          </w:tcPr>
          <w:p w14:paraId="3C24DA1E" w14:textId="00580CE5"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17 500,00</w:t>
            </w:r>
          </w:p>
        </w:tc>
        <w:tc>
          <w:tcPr>
            <w:tcW w:w="2264" w:type="dxa"/>
          </w:tcPr>
          <w:p w14:paraId="6CD09094" w14:textId="77777777" w:rsidR="0000443E" w:rsidRPr="00E11FFB" w:rsidRDefault="0000443E" w:rsidP="0000443E">
            <w:pPr>
              <w:rPr>
                <w:rFonts w:ascii="Avenir" w:eastAsia="Avenir" w:hAnsi="Avenir" w:cs="Avenir"/>
                <w:color w:val="000000"/>
                <w:sz w:val="16"/>
                <w:szCs w:val="16"/>
              </w:rPr>
            </w:pPr>
          </w:p>
        </w:tc>
      </w:tr>
      <w:tr w:rsidR="0000443E" w:rsidRPr="00E11FFB" w14:paraId="741390A2" w14:textId="77777777" w:rsidTr="002142A2">
        <w:trPr>
          <w:trHeight w:val="353"/>
        </w:trPr>
        <w:tc>
          <w:tcPr>
            <w:tcW w:w="4406" w:type="dxa"/>
            <w:vAlign w:val="center"/>
          </w:tcPr>
          <w:p w14:paraId="5D4481AB"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1.2 Annuaire de ressources naturelles du sol et sous-sol, en termes inventaires des ressources naturelles, renouvelables et non renouvelables, est réalisé d’ici fin 2023 et permet d’élaborer une ébauche préliminaire de l’Atlas d’Aménagement du territoire rassemblant la représentation cartographique des données de l’Annuaire ainsi que les affectations sectorielles existantes et celles projetées</w:t>
            </w:r>
          </w:p>
        </w:tc>
        <w:tc>
          <w:tcPr>
            <w:tcW w:w="1795" w:type="dxa"/>
            <w:vAlign w:val="center"/>
          </w:tcPr>
          <w:p w14:paraId="282F57C9" w14:textId="334789A4"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Mis en place de groupes thématiques, draft de l’annuaire</w:t>
            </w:r>
          </w:p>
        </w:tc>
        <w:tc>
          <w:tcPr>
            <w:tcW w:w="1387" w:type="dxa"/>
            <w:vAlign w:val="center"/>
          </w:tcPr>
          <w:p w14:paraId="3B478B9E" w14:textId="7CFCDB2A"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21 750,00</w:t>
            </w:r>
          </w:p>
        </w:tc>
        <w:tc>
          <w:tcPr>
            <w:tcW w:w="2264" w:type="dxa"/>
          </w:tcPr>
          <w:p w14:paraId="42C3FED2" w14:textId="77777777" w:rsidR="0000443E" w:rsidRPr="00E11FFB" w:rsidRDefault="0000443E" w:rsidP="0000443E">
            <w:pPr>
              <w:rPr>
                <w:rFonts w:ascii="Avenir" w:eastAsia="Avenir" w:hAnsi="Avenir" w:cs="Avenir"/>
                <w:color w:val="000000"/>
                <w:sz w:val="16"/>
                <w:szCs w:val="16"/>
              </w:rPr>
            </w:pPr>
          </w:p>
        </w:tc>
      </w:tr>
      <w:tr w:rsidR="0000443E" w:rsidRPr="00E11FFB" w14:paraId="5A93BC5E" w14:textId="77777777" w:rsidTr="002142A2">
        <w:trPr>
          <w:trHeight w:val="180"/>
        </w:trPr>
        <w:tc>
          <w:tcPr>
            <w:tcW w:w="4406" w:type="dxa"/>
          </w:tcPr>
          <w:p w14:paraId="091777C5"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1.3 : Dans le cadre des conflits d’affectation des terres existants, un processus d’arbitrage est impulsé, conformément à la loi, par l’Autorité compétente concernée (Premier Ministre, Gouverneur de Province, Autorité locale) sur base des directives proposées par le Conseil d’Aménagement du Territoire de l’échelon concerné (national, provincial ou local) pour au moins (2-5) conflits d’affectation dans les aires protégées prioritaires.</w:t>
            </w:r>
          </w:p>
        </w:tc>
        <w:tc>
          <w:tcPr>
            <w:tcW w:w="1795" w:type="dxa"/>
            <w:vAlign w:val="center"/>
          </w:tcPr>
          <w:p w14:paraId="30979AF4" w14:textId="77777777" w:rsidR="0000443E" w:rsidRPr="0000443E"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2 missions d’identifications réalisées (Equateur et Tshopo)</w:t>
            </w:r>
          </w:p>
          <w:p w14:paraId="43204374" w14:textId="77777777" w:rsidR="0000443E" w:rsidRPr="0000443E"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 xml:space="preserve">Cartographie des zones de conflits (Tshopo, Haut Lomami et Equateur). </w:t>
            </w:r>
          </w:p>
          <w:p w14:paraId="645A63EE" w14:textId="47C8978D" w:rsidR="0000443E" w:rsidRPr="00E11FFB"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3 cartographes mobilisés pour la production des cartes de conflits d’usage.</w:t>
            </w:r>
          </w:p>
        </w:tc>
        <w:tc>
          <w:tcPr>
            <w:tcW w:w="1387" w:type="dxa"/>
            <w:vAlign w:val="center"/>
          </w:tcPr>
          <w:p w14:paraId="7AB89778" w14:textId="4C6A1392"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21 310,00</w:t>
            </w:r>
          </w:p>
        </w:tc>
        <w:tc>
          <w:tcPr>
            <w:tcW w:w="2264" w:type="dxa"/>
          </w:tcPr>
          <w:p w14:paraId="1697DA05" w14:textId="2D0F83EF"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Arbitrage va commencer avec les membres de CNAT : cartographes ont travaillé sur l’activité 1.3.1 également</w:t>
            </w:r>
          </w:p>
        </w:tc>
      </w:tr>
      <w:tr w:rsidR="0000443E" w:rsidRPr="00E11FFB" w14:paraId="62DC6593" w14:textId="77777777" w:rsidTr="002142A2">
        <w:trPr>
          <w:trHeight w:val="180"/>
        </w:trPr>
        <w:tc>
          <w:tcPr>
            <w:tcW w:w="4406" w:type="dxa"/>
            <w:vAlign w:val="center"/>
          </w:tcPr>
          <w:p w14:paraId="1C10062B"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1.4 : Tous les contrats d'affectation des terres (agriculture, forêts, mines et hydrocarbures) sont centralisés et publiés de manière transparente et mis à jour au minimum une fois par an sur une plateforme internet accessible à tous en collaboration avec les ministères sectoriels concernés</w:t>
            </w:r>
          </w:p>
        </w:tc>
        <w:tc>
          <w:tcPr>
            <w:tcW w:w="1795" w:type="dxa"/>
          </w:tcPr>
          <w:p w14:paraId="439FA555" w14:textId="77777777" w:rsidR="0000443E" w:rsidRPr="00E11FFB" w:rsidRDefault="0000443E" w:rsidP="0000443E">
            <w:pPr>
              <w:rPr>
                <w:rFonts w:ascii="Avenir" w:eastAsia="Avenir" w:hAnsi="Avenir" w:cs="Avenir"/>
                <w:bCs/>
                <w:color w:val="000000"/>
                <w:sz w:val="16"/>
                <w:szCs w:val="16"/>
              </w:rPr>
            </w:pPr>
            <w:r w:rsidRPr="00E11FFB">
              <w:rPr>
                <w:rFonts w:ascii="Avenir" w:eastAsia="Avenir" w:hAnsi="Avenir" w:cs="Avenir"/>
                <w:bCs/>
                <w:color w:val="000000"/>
                <w:sz w:val="16"/>
                <w:szCs w:val="16"/>
              </w:rPr>
              <w:t>5 sessions de collecte de données</w:t>
            </w:r>
          </w:p>
          <w:p w14:paraId="2DC965C1" w14:textId="5E968206" w:rsidR="0000443E" w:rsidRPr="00E11FFB" w:rsidRDefault="0000443E" w:rsidP="0000443E">
            <w:pPr>
              <w:rPr>
                <w:rFonts w:ascii="Avenir" w:eastAsia="Avenir" w:hAnsi="Avenir" w:cs="Avenir"/>
                <w:color w:val="000000"/>
                <w:sz w:val="16"/>
                <w:szCs w:val="16"/>
              </w:rPr>
            </w:pPr>
            <w:r w:rsidRPr="00E11FFB">
              <w:rPr>
                <w:rFonts w:ascii="Avenir" w:eastAsia="Avenir" w:hAnsi="Avenir" w:cs="Avenir"/>
                <w:bCs/>
                <w:color w:val="000000"/>
                <w:sz w:val="16"/>
                <w:szCs w:val="16"/>
              </w:rPr>
              <w:t>Contrat de consultance sur le traitement et publication données</w:t>
            </w:r>
          </w:p>
        </w:tc>
        <w:tc>
          <w:tcPr>
            <w:tcW w:w="1387" w:type="dxa"/>
            <w:vAlign w:val="center"/>
          </w:tcPr>
          <w:p w14:paraId="2251778E" w14:textId="568F552B"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26 000,00</w:t>
            </w:r>
          </w:p>
        </w:tc>
        <w:tc>
          <w:tcPr>
            <w:tcW w:w="2264" w:type="dxa"/>
          </w:tcPr>
          <w:p w14:paraId="2A643F48" w14:textId="77777777" w:rsidR="0000443E" w:rsidRPr="00E11FFB" w:rsidRDefault="0000443E" w:rsidP="0000443E">
            <w:pPr>
              <w:rPr>
                <w:rFonts w:ascii="Avenir" w:eastAsia="Avenir" w:hAnsi="Avenir" w:cs="Avenir"/>
                <w:color w:val="000000"/>
                <w:sz w:val="16"/>
                <w:szCs w:val="16"/>
              </w:rPr>
            </w:pPr>
          </w:p>
        </w:tc>
      </w:tr>
      <w:tr w:rsidR="0000443E" w:rsidRPr="00E11FFB" w14:paraId="0C3A27B5" w14:textId="77777777" w:rsidTr="002142A2">
        <w:trPr>
          <w:trHeight w:val="180"/>
        </w:trPr>
        <w:tc>
          <w:tcPr>
            <w:tcW w:w="4406" w:type="dxa"/>
            <w:vAlign w:val="center"/>
          </w:tcPr>
          <w:p w14:paraId="14E0AD9F"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1.5 : Finaliser de manière participative et inclusive le Schéma national d’aménagement du territoire et les plans d’aménagement du territoire aux niveaux provincial et local dans les zones clés, et s’assurer que ces outils soient prêts à être mis en œuvre d’ici 2025 et qu’ils intègrent les forêts de grande valeur et les tourbières, préalablement identifiées, en vue de leur préservation.</w:t>
            </w:r>
          </w:p>
        </w:tc>
        <w:tc>
          <w:tcPr>
            <w:tcW w:w="1795" w:type="dxa"/>
            <w:vAlign w:val="center"/>
          </w:tcPr>
          <w:p w14:paraId="18CFF658" w14:textId="77777777" w:rsidR="0000443E" w:rsidRPr="00024C96" w:rsidRDefault="0000443E" w:rsidP="0000443E">
            <w:pPr>
              <w:rPr>
                <w:rFonts w:ascii="Avenir" w:eastAsia="Avenir" w:hAnsi="Avenir" w:cs="Avenir"/>
                <w:color w:val="000000"/>
                <w:sz w:val="16"/>
                <w:szCs w:val="16"/>
              </w:rPr>
            </w:pPr>
            <w:r w:rsidRPr="00024C96">
              <w:rPr>
                <w:rFonts w:ascii="Avenir" w:eastAsia="Avenir" w:hAnsi="Avenir" w:cs="Avenir"/>
                <w:color w:val="000000"/>
                <w:sz w:val="16"/>
                <w:szCs w:val="16"/>
              </w:rPr>
              <w:t xml:space="preserve">1 contrat signé </w:t>
            </w:r>
          </w:p>
          <w:p w14:paraId="0A7178F8" w14:textId="7D2A4004" w:rsidR="0000443E" w:rsidRPr="00E11FFB" w:rsidRDefault="0000443E" w:rsidP="0000443E">
            <w:pPr>
              <w:rPr>
                <w:rFonts w:ascii="Avenir" w:eastAsia="Avenir" w:hAnsi="Avenir" w:cs="Avenir"/>
                <w:color w:val="000000"/>
                <w:sz w:val="16"/>
                <w:szCs w:val="16"/>
              </w:rPr>
            </w:pPr>
            <w:r w:rsidRPr="00024C96">
              <w:rPr>
                <w:rFonts w:ascii="Avenir" w:eastAsia="Avenir" w:hAnsi="Avenir" w:cs="Avenir"/>
                <w:color w:val="000000"/>
                <w:sz w:val="16"/>
                <w:szCs w:val="16"/>
              </w:rPr>
              <w:t>Draft Schéma National AT</w:t>
            </w:r>
          </w:p>
        </w:tc>
        <w:tc>
          <w:tcPr>
            <w:tcW w:w="1387" w:type="dxa"/>
            <w:vAlign w:val="center"/>
          </w:tcPr>
          <w:p w14:paraId="3E3A6B28" w14:textId="773B4228"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31 150,00</w:t>
            </w:r>
          </w:p>
        </w:tc>
        <w:tc>
          <w:tcPr>
            <w:tcW w:w="2264" w:type="dxa"/>
          </w:tcPr>
          <w:p w14:paraId="622DA5AF" w14:textId="5936CBE1"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2 ateliers organisés (définition des options et validation des étapes d’élaboration)</w:t>
            </w:r>
          </w:p>
        </w:tc>
      </w:tr>
      <w:tr w:rsidR="0000443E" w:rsidRPr="00E11FFB" w14:paraId="1B45111B" w14:textId="77777777" w:rsidTr="002142A2">
        <w:trPr>
          <w:trHeight w:val="180"/>
        </w:trPr>
        <w:tc>
          <w:tcPr>
            <w:tcW w:w="4406" w:type="dxa"/>
            <w:vAlign w:val="center"/>
          </w:tcPr>
          <w:p w14:paraId="0AE666E3"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Produit-1. 6 : Renforcer les capacités humaines et techniques du ministère d’Aménagement du Territoire dans la mise en œuvre de la réforme de l’Aménagement du Territoire (Appuyer les PIREDD à élaboration des outils de planification spatiale (PPAT, PLAT, PSAT).</w:t>
            </w:r>
          </w:p>
        </w:tc>
        <w:tc>
          <w:tcPr>
            <w:tcW w:w="1795" w:type="dxa"/>
            <w:vAlign w:val="center"/>
          </w:tcPr>
          <w:p w14:paraId="07957C37" w14:textId="77777777" w:rsidR="0000443E" w:rsidRPr="0000443E"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Les membres de la task-force ont produit mensuellement les rapports d’activité détaillant les tâches réalisées pour le compte du projet.</w:t>
            </w:r>
          </w:p>
          <w:p w14:paraId="0CCB0E3E" w14:textId="77777777" w:rsidR="0000443E" w:rsidRPr="0000443E"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Les fournitures ont été fournies ; les réunions organisées</w:t>
            </w:r>
          </w:p>
          <w:p w14:paraId="4405C5DE" w14:textId="64EE2634" w:rsidR="0000443E" w:rsidRPr="00E11FFB"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1 site mis en ligne.</w:t>
            </w:r>
          </w:p>
        </w:tc>
        <w:tc>
          <w:tcPr>
            <w:tcW w:w="1387" w:type="dxa"/>
            <w:vAlign w:val="center"/>
          </w:tcPr>
          <w:p w14:paraId="2C84A05A" w14:textId="774921F1"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154 605,00</w:t>
            </w:r>
          </w:p>
        </w:tc>
        <w:tc>
          <w:tcPr>
            <w:tcW w:w="2264" w:type="dxa"/>
          </w:tcPr>
          <w:p w14:paraId="77087A34" w14:textId="77777777" w:rsidR="0000443E" w:rsidRPr="00E11FFB" w:rsidRDefault="0000443E" w:rsidP="0000443E">
            <w:pPr>
              <w:rPr>
                <w:rFonts w:ascii="Avenir" w:eastAsia="Avenir" w:hAnsi="Avenir" w:cs="Avenir"/>
                <w:color w:val="000000"/>
                <w:sz w:val="16"/>
                <w:szCs w:val="16"/>
              </w:rPr>
            </w:pPr>
          </w:p>
        </w:tc>
      </w:tr>
      <w:bookmarkEnd w:id="28"/>
    </w:tbl>
    <w:p w14:paraId="6BEE76AB" w14:textId="77777777" w:rsidR="00FE3684" w:rsidRPr="00E11FFB" w:rsidRDefault="00FE3684" w:rsidP="00FE3684"/>
    <w:p w14:paraId="364B5EB4" w14:textId="77777777" w:rsidR="00FE3684" w:rsidRPr="00E11FFB" w:rsidRDefault="00FE3684" w:rsidP="00FE3684">
      <w:pPr>
        <w:rPr>
          <w:b/>
          <w:bCs/>
        </w:rPr>
      </w:pPr>
      <w:r w:rsidRPr="00E11FFB">
        <w:rPr>
          <w:b/>
          <w:bCs/>
        </w:rPr>
        <w:t>Agriculture</w:t>
      </w:r>
    </w:p>
    <w:p w14:paraId="047CFE7B" w14:textId="77777777" w:rsidR="00FE3684" w:rsidRPr="00E11FFB" w:rsidRDefault="00FE3684" w:rsidP="00FE3684"/>
    <w:tbl>
      <w:tblPr>
        <w:tblW w:w="9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7"/>
        <w:gridCol w:w="1815"/>
        <w:gridCol w:w="1403"/>
        <w:gridCol w:w="2290"/>
      </w:tblGrid>
      <w:tr w:rsidR="00FE3684" w:rsidRPr="00E11FFB" w14:paraId="79265013" w14:textId="77777777" w:rsidTr="00A9582B">
        <w:trPr>
          <w:trHeight w:val="334"/>
        </w:trPr>
        <w:tc>
          <w:tcPr>
            <w:tcW w:w="4457" w:type="dxa"/>
            <w:shd w:val="clear" w:color="auto" w:fill="DDEBF7"/>
            <w:vAlign w:val="center"/>
          </w:tcPr>
          <w:p w14:paraId="4A3B550D" w14:textId="77777777" w:rsidR="00FE3684" w:rsidRPr="00E11FFB" w:rsidRDefault="00FE3684" w:rsidP="003A6DE1">
            <w:pPr>
              <w:keepNext/>
              <w:keepLines/>
              <w:rPr>
                <w:rFonts w:ascii="Avenir" w:eastAsia="Avenir" w:hAnsi="Avenir" w:cs="Avenir"/>
                <w:color w:val="000000"/>
                <w:sz w:val="16"/>
                <w:szCs w:val="16"/>
              </w:rPr>
            </w:pPr>
            <w:r w:rsidRPr="00E11FFB">
              <w:rPr>
                <w:rFonts w:ascii="Avenir" w:eastAsia="Avenir" w:hAnsi="Avenir" w:cs="Avenir"/>
                <w:color w:val="000000"/>
                <w:sz w:val="16"/>
                <w:szCs w:val="16"/>
              </w:rPr>
              <w:t xml:space="preserve">Résultats </w:t>
            </w:r>
          </w:p>
        </w:tc>
        <w:tc>
          <w:tcPr>
            <w:tcW w:w="1815" w:type="dxa"/>
            <w:vMerge w:val="restart"/>
            <w:shd w:val="clear" w:color="auto" w:fill="F4B084"/>
            <w:vAlign w:val="center"/>
          </w:tcPr>
          <w:p w14:paraId="613ABF8B"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41"/>
            </w:r>
          </w:p>
        </w:tc>
        <w:tc>
          <w:tcPr>
            <w:tcW w:w="1403" w:type="dxa"/>
            <w:vMerge w:val="restart"/>
            <w:shd w:val="clear" w:color="auto" w:fill="DDEBF7"/>
            <w:vAlign w:val="center"/>
          </w:tcPr>
          <w:p w14:paraId="25D31FF3"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42"/>
            </w:r>
          </w:p>
        </w:tc>
        <w:tc>
          <w:tcPr>
            <w:tcW w:w="2290" w:type="dxa"/>
            <w:vMerge w:val="restart"/>
            <w:shd w:val="clear" w:color="auto" w:fill="DDEBF7"/>
          </w:tcPr>
          <w:p w14:paraId="2F7D68B2"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FE3684" w:rsidRPr="00E11FFB" w14:paraId="37D72BAB" w14:textId="77777777" w:rsidTr="00A9582B">
        <w:trPr>
          <w:trHeight w:val="350"/>
        </w:trPr>
        <w:tc>
          <w:tcPr>
            <w:tcW w:w="4457" w:type="dxa"/>
            <w:shd w:val="clear" w:color="auto" w:fill="DDEBF7"/>
            <w:vAlign w:val="center"/>
          </w:tcPr>
          <w:p w14:paraId="4DDAD9D2"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1815" w:type="dxa"/>
            <w:vMerge/>
            <w:shd w:val="clear" w:color="auto" w:fill="F4B084"/>
            <w:vAlign w:val="center"/>
          </w:tcPr>
          <w:p w14:paraId="5FE31CF0"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1403" w:type="dxa"/>
            <w:vMerge/>
            <w:shd w:val="clear" w:color="auto" w:fill="DDEBF7"/>
            <w:vAlign w:val="center"/>
          </w:tcPr>
          <w:p w14:paraId="26DA0040"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2290" w:type="dxa"/>
            <w:vMerge/>
            <w:shd w:val="clear" w:color="auto" w:fill="DDEBF7"/>
          </w:tcPr>
          <w:p w14:paraId="144861A8"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r>
      <w:tr w:rsidR="00FE3684" w:rsidRPr="00E11FFB" w14:paraId="0D0C038C" w14:textId="77777777" w:rsidTr="00A9582B">
        <w:trPr>
          <w:trHeight w:val="350"/>
        </w:trPr>
        <w:tc>
          <w:tcPr>
            <w:tcW w:w="4457" w:type="dxa"/>
            <w:vAlign w:val="center"/>
          </w:tcPr>
          <w:p w14:paraId="54B31D74"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2 : La politique de Développement agricole durable est mise en pratique (dont préservation des forêts HV et tourbières)</w:t>
            </w:r>
          </w:p>
        </w:tc>
        <w:tc>
          <w:tcPr>
            <w:tcW w:w="1815" w:type="dxa"/>
            <w:vAlign w:val="center"/>
          </w:tcPr>
          <w:p w14:paraId="767DDF47" w14:textId="77777777" w:rsidR="00FE3684" w:rsidRPr="00E11FFB" w:rsidRDefault="00FE3684" w:rsidP="003A6DE1">
            <w:pPr>
              <w:rPr>
                <w:rFonts w:ascii="Avenir" w:eastAsia="Avenir" w:hAnsi="Avenir" w:cs="Avenir"/>
                <w:color w:val="000000"/>
                <w:sz w:val="16"/>
                <w:szCs w:val="16"/>
              </w:rPr>
            </w:pPr>
          </w:p>
        </w:tc>
        <w:tc>
          <w:tcPr>
            <w:tcW w:w="1403" w:type="dxa"/>
            <w:vAlign w:val="center"/>
          </w:tcPr>
          <w:p w14:paraId="55EB9576" w14:textId="0BC67C6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r w:rsidR="005C2203" w:rsidRPr="005C2203">
              <w:rPr>
                <w:rFonts w:ascii="Avenir" w:eastAsia="Avenir" w:hAnsi="Avenir" w:cs="Avenir"/>
                <w:color w:val="000000"/>
                <w:sz w:val="16"/>
                <w:szCs w:val="16"/>
              </w:rPr>
              <w:t>288 600,00</w:t>
            </w:r>
          </w:p>
        </w:tc>
        <w:tc>
          <w:tcPr>
            <w:tcW w:w="2290" w:type="dxa"/>
          </w:tcPr>
          <w:p w14:paraId="49D1B4A5" w14:textId="77777777" w:rsidR="00FE3684" w:rsidRPr="00E11FFB" w:rsidRDefault="00FE3684" w:rsidP="003A6DE1">
            <w:pPr>
              <w:rPr>
                <w:rFonts w:ascii="Avenir" w:eastAsia="Avenir" w:hAnsi="Avenir" w:cs="Avenir"/>
                <w:color w:val="000000"/>
                <w:sz w:val="16"/>
                <w:szCs w:val="16"/>
              </w:rPr>
            </w:pPr>
          </w:p>
        </w:tc>
      </w:tr>
      <w:tr w:rsidR="0000443E" w:rsidRPr="00E11FFB" w14:paraId="540E4179" w14:textId="77777777" w:rsidTr="002142A2">
        <w:trPr>
          <w:trHeight w:val="350"/>
        </w:trPr>
        <w:tc>
          <w:tcPr>
            <w:tcW w:w="4457" w:type="dxa"/>
            <w:vAlign w:val="center"/>
          </w:tcPr>
          <w:p w14:paraId="20F0D107"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2.1 :  La Politique agricole est adoptée [en Conseil des Ministres] d’ici [fin 2022], intégrant les principes d’Aménagement du Territoire et la préservation des forêts et des tourbières (cf. Pilier Forêt), et faisant la promotion du développement de l’agriculture commerciale durable dans les zones savanicoles.</w:t>
            </w:r>
          </w:p>
        </w:tc>
        <w:tc>
          <w:tcPr>
            <w:tcW w:w="1815" w:type="dxa"/>
            <w:vAlign w:val="center"/>
          </w:tcPr>
          <w:p w14:paraId="0C615975" w14:textId="77777777" w:rsidR="0000443E" w:rsidRPr="0000443E"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Vulgarisation de la politique dans 7 provinces en 2025</w:t>
            </w:r>
          </w:p>
          <w:p w14:paraId="518FB1BD" w14:textId="0DB1873E" w:rsidR="0000443E" w:rsidRPr="00E11FFB"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Le draft de la loi agricole révisée a été préparée et soumise au gouvernement. Un atelier de validation du contenu organisé avec la société civile.</w:t>
            </w:r>
          </w:p>
        </w:tc>
        <w:tc>
          <w:tcPr>
            <w:tcW w:w="1403" w:type="dxa"/>
            <w:vAlign w:val="center"/>
          </w:tcPr>
          <w:p w14:paraId="10A28258" w14:textId="6B412EBE"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78 850,00</w:t>
            </w:r>
          </w:p>
        </w:tc>
        <w:tc>
          <w:tcPr>
            <w:tcW w:w="2290" w:type="dxa"/>
          </w:tcPr>
          <w:p w14:paraId="456F25E9" w14:textId="15F5D238"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D’autres vulgarisations ont été faites avec l’appui financier de ENABEL </w:t>
            </w:r>
          </w:p>
        </w:tc>
      </w:tr>
      <w:tr w:rsidR="0000443E" w:rsidRPr="00E11FFB" w14:paraId="3D0912E8" w14:textId="77777777" w:rsidTr="002142A2">
        <w:trPr>
          <w:trHeight w:val="350"/>
        </w:trPr>
        <w:tc>
          <w:tcPr>
            <w:tcW w:w="4457" w:type="dxa"/>
            <w:vAlign w:val="center"/>
          </w:tcPr>
          <w:p w14:paraId="72DBD508"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2.2 :  Les contrats de concessions agricoles sont publiés au moins annuellement sur le site web du Ministère sectoriel, accessible au public.</w:t>
            </w:r>
          </w:p>
        </w:tc>
        <w:tc>
          <w:tcPr>
            <w:tcW w:w="1815" w:type="dxa"/>
            <w:vAlign w:val="center"/>
          </w:tcPr>
          <w:p w14:paraId="161A5A49" w14:textId="77777777" w:rsidR="0000443E" w:rsidRPr="0000443E"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 xml:space="preserve">Harmonisation avec les autres ministères pour la mise en place de cadastre agricole. Le draft du rapport de faisabilité du cadastre agricole, projet d’arrêté de création du cadastre agricole.  </w:t>
            </w:r>
          </w:p>
          <w:p w14:paraId="76889767" w14:textId="0C065300" w:rsidR="0000443E" w:rsidRPr="00E11FFB" w:rsidRDefault="0000443E" w:rsidP="0000443E">
            <w:pPr>
              <w:rPr>
                <w:rFonts w:ascii="Avenir" w:eastAsia="Avenir" w:hAnsi="Avenir" w:cs="Avenir"/>
                <w:color w:val="000000"/>
                <w:sz w:val="16"/>
                <w:szCs w:val="16"/>
              </w:rPr>
            </w:pPr>
            <w:r w:rsidRPr="0000443E">
              <w:rPr>
                <w:rFonts w:ascii="Avenir" w:eastAsia="Avenir" w:hAnsi="Avenir" w:cs="Avenir"/>
                <w:color w:val="000000"/>
                <w:sz w:val="16"/>
                <w:szCs w:val="16"/>
              </w:rPr>
              <w:t>Acquisition d’équipement, Listes provisoires des concessions agricoles, Début de collecte de données dans deux provinces.</w:t>
            </w:r>
          </w:p>
        </w:tc>
        <w:tc>
          <w:tcPr>
            <w:tcW w:w="1403" w:type="dxa"/>
            <w:vAlign w:val="center"/>
          </w:tcPr>
          <w:p w14:paraId="7125423A" w14:textId="0F4B6D2F"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52 250,00</w:t>
            </w:r>
          </w:p>
        </w:tc>
        <w:tc>
          <w:tcPr>
            <w:tcW w:w="2290" w:type="dxa"/>
          </w:tcPr>
          <w:p w14:paraId="3D6A95FE" w14:textId="0C5E109F"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 xml:space="preserve">15 000 Usd pour acquisition en matériels. Les autres taches ont été exécuté avec 20 000 $ de la ligne Activité 2.7.2 après </w:t>
            </w:r>
            <w:hyperlink r:id="rId70" w:history="1">
              <w:r w:rsidRPr="00E11FFB">
                <w:rPr>
                  <w:rStyle w:val="Lienhypertexte"/>
                  <w:rFonts w:ascii="Avenir" w:eastAsia="Avenir" w:hAnsi="Avenir" w:cs="Avenir"/>
                  <w:sz w:val="16"/>
                  <w:szCs w:val="16"/>
                </w:rPr>
                <w:t>autorisation</w:t>
              </w:r>
            </w:hyperlink>
            <w:r w:rsidRPr="00E11FFB">
              <w:rPr>
                <w:rFonts w:ascii="Avenir" w:eastAsia="Avenir" w:hAnsi="Avenir" w:cs="Avenir"/>
                <w:color w:val="000000"/>
                <w:sz w:val="16"/>
                <w:szCs w:val="16"/>
              </w:rPr>
              <w:t xml:space="preserve"> </w:t>
            </w:r>
          </w:p>
        </w:tc>
      </w:tr>
      <w:tr w:rsidR="0000443E" w:rsidRPr="00E11FFB" w14:paraId="1BEBC799" w14:textId="77777777" w:rsidTr="002142A2">
        <w:trPr>
          <w:trHeight w:val="350"/>
        </w:trPr>
        <w:tc>
          <w:tcPr>
            <w:tcW w:w="4457" w:type="dxa"/>
            <w:vAlign w:val="center"/>
          </w:tcPr>
          <w:p w14:paraId="547658A5"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2.3 :  Le CCNA est en place et fonctionnel [d'ici 2022].</w:t>
            </w:r>
          </w:p>
        </w:tc>
        <w:tc>
          <w:tcPr>
            <w:tcW w:w="1815" w:type="dxa"/>
            <w:vAlign w:val="center"/>
          </w:tcPr>
          <w:p w14:paraId="5B33A3D5" w14:textId="77777777" w:rsidR="0000443E" w:rsidRPr="00E11FFB" w:rsidRDefault="0000443E" w:rsidP="0000443E">
            <w:pPr>
              <w:rPr>
                <w:rFonts w:ascii="Avenir" w:eastAsia="Avenir" w:hAnsi="Avenir" w:cs="Avenir"/>
                <w:color w:val="000000"/>
                <w:sz w:val="16"/>
                <w:szCs w:val="16"/>
              </w:rPr>
            </w:pPr>
          </w:p>
        </w:tc>
        <w:tc>
          <w:tcPr>
            <w:tcW w:w="1403" w:type="dxa"/>
            <w:vAlign w:val="center"/>
          </w:tcPr>
          <w:p w14:paraId="6720FFD0"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0,00 $</w:t>
            </w:r>
          </w:p>
        </w:tc>
        <w:tc>
          <w:tcPr>
            <w:tcW w:w="2290" w:type="dxa"/>
          </w:tcPr>
          <w:p w14:paraId="7802BBCE" w14:textId="77777777" w:rsidR="0000443E" w:rsidRPr="00E11FFB" w:rsidRDefault="0000443E" w:rsidP="0000443E">
            <w:pPr>
              <w:rPr>
                <w:rFonts w:ascii="Avenir" w:eastAsia="Avenir" w:hAnsi="Avenir" w:cs="Avenir"/>
                <w:color w:val="000000"/>
                <w:sz w:val="16"/>
                <w:szCs w:val="16"/>
              </w:rPr>
            </w:pPr>
          </w:p>
        </w:tc>
      </w:tr>
      <w:tr w:rsidR="0000443E" w:rsidRPr="00E11FFB" w14:paraId="07C09AC8" w14:textId="77777777" w:rsidTr="002142A2">
        <w:trPr>
          <w:trHeight w:val="350"/>
        </w:trPr>
        <w:tc>
          <w:tcPr>
            <w:tcW w:w="4457" w:type="dxa"/>
            <w:vAlign w:val="center"/>
          </w:tcPr>
          <w:p w14:paraId="6FE1FCD8"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2.4 : Un processus participatif de réflexion et de définition sur l’agriculture de taille intermédiaire, ses besoins spécifiques, et comment l’accompagner pour permettre d’en réduire l’impact sur les forêts tout en répondant aux besoins du pays, en ligne avec les objectifs de la présente lettre d’attention, sur base du contexte spécifique de la RDC et informé par les bonnes pratiques nationales et internationales dans des pays similaires.</w:t>
            </w:r>
          </w:p>
        </w:tc>
        <w:tc>
          <w:tcPr>
            <w:tcW w:w="1815" w:type="dxa"/>
            <w:vAlign w:val="center"/>
          </w:tcPr>
          <w:p w14:paraId="4E9F75E2" w14:textId="77777777" w:rsidR="0000443E" w:rsidRPr="00B23420" w:rsidRDefault="0000443E" w:rsidP="0000443E">
            <w:pPr>
              <w:rPr>
                <w:rFonts w:ascii="Avenir" w:eastAsia="Avenir" w:hAnsi="Avenir" w:cs="Avenir"/>
                <w:color w:val="000000"/>
                <w:sz w:val="16"/>
                <w:szCs w:val="16"/>
              </w:rPr>
            </w:pPr>
            <w:r w:rsidRPr="00B23420">
              <w:rPr>
                <w:rFonts w:ascii="Avenir" w:eastAsia="Avenir" w:hAnsi="Avenir" w:cs="Avenir"/>
                <w:color w:val="000000"/>
                <w:sz w:val="16"/>
                <w:szCs w:val="16"/>
              </w:rPr>
              <w:t xml:space="preserve">Etude réalisées dans trois provinces (Tshopo, Kasai Orientale et Kongo central) pour une définition nationale. </w:t>
            </w:r>
          </w:p>
          <w:p w14:paraId="4BADD2FE" w14:textId="567A37D1" w:rsidR="0000443E" w:rsidRPr="00E11FFB" w:rsidRDefault="0000443E" w:rsidP="0000443E">
            <w:pPr>
              <w:rPr>
                <w:rFonts w:ascii="Avenir" w:eastAsia="Avenir" w:hAnsi="Avenir" w:cs="Avenir"/>
                <w:color w:val="000000"/>
                <w:sz w:val="16"/>
                <w:szCs w:val="16"/>
              </w:rPr>
            </w:pPr>
            <w:r w:rsidRPr="00B23420">
              <w:rPr>
                <w:rFonts w:ascii="Avenir" w:eastAsia="Avenir" w:hAnsi="Avenir" w:cs="Avenir"/>
                <w:color w:val="000000"/>
                <w:sz w:val="16"/>
                <w:szCs w:val="16"/>
              </w:rPr>
              <w:t>Etude réalisée dans quatre provinces</w:t>
            </w:r>
          </w:p>
        </w:tc>
        <w:tc>
          <w:tcPr>
            <w:tcW w:w="1403" w:type="dxa"/>
            <w:vAlign w:val="center"/>
          </w:tcPr>
          <w:p w14:paraId="66844319" w14:textId="597CD569"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38 000,00</w:t>
            </w:r>
          </w:p>
        </w:tc>
        <w:tc>
          <w:tcPr>
            <w:tcW w:w="2290" w:type="dxa"/>
          </w:tcPr>
          <w:p w14:paraId="7B0EF457" w14:textId="77777777" w:rsidR="0000443E" w:rsidRPr="00E11FFB" w:rsidRDefault="0000443E" w:rsidP="0000443E">
            <w:pPr>
              <w:rPr>
                <w:rFonts w:ascii="Avenir" w:eastAsia="Avenir" w:hAnsi="Avenir" w:cs="Avenir"/>
                <w:color w:val="000000"/>
                <w:sz w:val="16"/>
                <w:szCs w:val="16"/>
              </w:rPr>
            </w:pPr>
          </w:p>
        </w:tc>
      </w:tr>
      <w:tr w:rsidR="0000443E" w:rsidRPr="00E11FFB" w14:paraId="75DD491C" w14:textId="77777777" w:rsidTr="002142A2">
        <w:trPr>
          <w:trHeight w:val="350"/>
        </w:trPr>
        <w:tc>
          <w:tcPr>
            <w:tcW w:w="4457" w:type="dxa"/>
            <w:vAlign w:val="center"/>
          </w:tcPr>
          <w:p w14:paraId="1EA5741B"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2.5 : Le Ministère sectoriel notifie formellement les partenaires au développement et les Gouverneurs de Province d’assurer la cohérence entre, d’une part, les programmes d’aide publique au développement et les programmes provinciaux incluant les investissements publics et privés et, d’autre part, les orientations de la Politique agricole nationale ainsi que les prescriptions des Schémas/Plans d’AT [notamment ceux développés dans le cadre des PIREDD], d’ici [fin 2023].</w:t>
            </w:r>
          </w:p>
        </w:tc>
        <w:tc>
          <w:tcPr>
            <w:tcW w:w="1815" w:type="dxa"/>
          </w:tcPr>
          <w:p w14:paraId="4C63EB14" w14:textId="5790B0E7" w:rsidR="0000443E" w:rsidRPr="00E11FFB" w:rsidRDefault="0000443E" w:rsidP="0000443E">
            <w:pPr>
              <w:rPr>
                <w:rFonts w:ascii="Avenir" w:eastAsia="Avenir" w:hAnsi="Avenir" w:cs="Avenir"/>
                <w:color w:val="000000"/>
                <w:sz w:val="16"/>
                <w:szCs w:val="16"/>
              </w:rPr>
            </w:pPr>
            <w:r w:rsidRPr="00E11FFB">
              <w:rPr>
                <w:rFonts w:ascii="Avenir" w:eastAsia="Avenir" w:hAnsi="Avenir" w:cs="Avenir"/>
                <w:bCs/>
                <w:color w:val="000000"/>
                <w:sz w:val="16"/>
                <w:szCs w:val="16"/>
              </w:rPr>
              <w:t>Draft de la lettre au gouverneur préparé</w:t>
            </w:r>
          </w:p>
        </w:tc>
        <w:tc>
          <w:tcPr>
            <w:tcW w:w="1403" w:type="dxa"/>
            <w:vAlign w:val="center"/>
          </w:tcPr>
          <w:p w14:paraId="303E2BBE"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0,00 $</w:t>
            </w:r>
          </w:p>
        </w:tc>
        <w:tc>
          <w:tcPr>
            <w:tcW w:w="2290" w:type="dxa"/>
          </w:tcPr>
          <w:p w14:paraId="5C20EAD1" w14:textId="77777777" w:rsidR="0000443E" w:rsidRPr="00E11FFB" w:rsidRDefault="0000443E" w:rsidP="0000443E">
            <w:pPr>
              <w:rPr>
                <w:rFonts w:ascii="Avenir" w:eastAsia="Avenir" w:hAnsi="Avenir" w:cs="Avenir"/>
                <w:color w:val="000000"/>
                <w:sz w:val="16"/>
                <w:szCs w:val="16"/>
              </w:rPr>
            </w:pPr>
          </w:p>
        </w:tc>
      </w:tr>
      <w:tr w:rsidR="0000443E" w:rsidRPr="00E11FFB" w14:paraId="6BBEE944" w14:textId="77777777" w:rsidTr="002142A2">
        <w:trPr>
          <w:trHeight w:val="350"/>
        </w:trPr>
        <w:tc>
          <w:tcPr>
            <w:tcW w:w="4457" w:type="dxa"/>
            <w:vAlign w:val="center"/>
          </w:tcPr>
          <w:p w14:paraId="5DA69021"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2.6 : Un Plan ou feuille de route pour augmenter graduellement l’allocation et l’exécution budgétaires domestiques au secteur de l’agriculture est adopté d’ici [fin 2025].</w:t>
            </w:r>
          </w:p>
        </w:tc>
        <w:tc>
          <w:tcPr>
            <w:tcW w:w="1815" w:type="dxa"/>
            <w:vAlign w:val="center"/>
          </w:tcPr>
          <w:p w14:paraId="59F43A52" w14:textId="306E875A" w:rsidR="0000443E" w:rsidRPr="00E11FFB" w:rsidRDefault="0000443E" w:rsidP="0000443E">
            <w:pPr>
              <w:rPr>
                <w:rFonts w:ascii="Avenir" w:eastAsia="Avenir" w:hAnsi="Avenir" w:cs="Avenir"/>
                <w:color w:val="000000"/>
                <w:sz w:val="16"/>
                <w:szCs w:val="16"/>
              </w:rPr>
            </w:pPr>
            <w:r w:rsidRPr="00E11FFB">
              <w:rPr>
                <w:rFonts w:ascii="Avenir" w:eastAsia="Avenir" w:hAnsi="Avenir" w:cs="Avenir"/>
                <w:bCs/>
                <w:color w:val="000000"/>
                <w:sz w:val="16"/>
                <w:szCs w:val="16"/>
              </w:rPr>
              <w:t>3 Plaidoyers (services des ministères de finance, du budget, atelier avec les autres partenaires.</w:t>
            </w:r>
          </w:p>
        </w:tc>
        <w:tc>
          <w:tcPr>
            <w:tcW w:w="1403" w:type="dxa"/>
            <w:vAlign w:val="center"/>
          </w:tcPr>
          <w:p w14:paraId="096E510E" w14:textId="755692AF"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20 000,00</w:t>
            </w:r>
          </w:p>
        </w:tc>
        <w:tc>
          <w:tcPr>
            <w:tcW w:w="2290" w:type="dxa"/>
          </w:tcPr>
          <w:p w14:paraId="682843D3" w14:textId="77777777" w:rsidR="0000443E" w:rsidRPr="00E11FFB" w:rsidRDefault="0000443E" w:rsidP="0000443E">
            <w:pPr>
              <w:rPr>
                <w:rFonts w:ascii="Avenir" w:eastAsia="Avenir" w:hAnsi="Avenir" w:cs="Avenir"/>
                <w:color w:val="000000"/>
                <w:sz w:val="16"/>
                <w:szCs w:val="16"/>
              </w:rPr>
            </w:pPr>
          </w:p>
        </w:tc>
      </w:tr>
      <w:tr w:rsidR="0000443E" w:rsidRPr="00E11FFB" w14:paraId="4F674518" w14:textId="77777777" w:rsidTr="002142A2">
        <w:trPr>
          <w:trHeight w:val="350"/>
        </w:trPr>
        <w:tc>
          <w:tcPr>
            <w:tcW w:w="4457" w:type="dxa"/>
          </w:tcPr>
          <w:p w14:paraId="5FA58F6B" w14:textId="77777777" w:rsidR="0000443E" w:rsidRPr="00E11FFB" w:rsidRDefault="0000443E" w:rsidP="0000443E">
            <w:pPr>
              <w:rPr>
                <w:rFonts w:ascii="Avenir" w:eastAsia="Avenir" w:hAnsi="Avenir" w:cs="Avenir"/>
                <w:color w:val="000000"/>
                <w:sz w:val="16"/>
                <w:szCs w:val="16"/>
              </w:rPr>
            </w:pPr>
            <w:r w:rsidRPr="00E11FFB">
              <w:rPr>
                <w:rFonts w:ascii="Avenir" w:eastAsia="Avenir" w:hAnsi="Avenir" w:cs="Avenir"/>
                <w:color w:val="000000"/>
                <w:sz w:val="16"/>
                <w:szCs w:val="16"/>
              </w:rPr>
              <w:t>Produit 2.7 : Les capacités humaines et techniques du ministère de l’Agriculture sont renforcées dans la mise en oeuvre de la politique agricole durable.</w:t>
            </w:r>
          </w:p>
        </w:tc>
        <w:tc>
          <w:tcPr>
            <w:tcW w:w="1815" w:type="dxa"/>
            <w:vAlign w:val="center"/>
          </w:tcPr>
          <w:p w14:paraId="7163C8B5" w14:textId="77777777" w:rsidR="0000443E" w:rsidRPr="00B23420" w:rsidRDefault="0000443E" w:rsidP="0000443E">
            <w:pPr>
              <w:rPr>
                <w:rFonts w:ascii="Avenir" w:eastAsia="Avenir" w:hAnsi="Avenir" w:cs="Avenir"/>
                <w:color w:val="000000"/>
                <w:sz w:val="16"/>
                <w:szCs w:val="16"/>
              </w:rPr>
            </w:pPr>
            <w:r w:rsidRPr="00B23420">
              <w:rPr>
                <w:rFonts w:ascii="Avenir" w:eastAsia="Avenir" w:hAnsi="Avenir" w:cs="Avenir"/>
                <w:color w:val="000000"/>
                <w:sz w:val="16"/>
                <w:szCs w:val="16"/>
              </w:rPr>
              <w:t>Rapports individuels des membres de la task-force pour la période d’avril à décembre 2025</w:t>
            </w:r>
          </w:p>
          <w:p w14:paraId="1C17B899" w14:textId="77777777" w:rsidR="0000443E" w:rsidRPr="00B23420" w:rsidRDefault="0000443E" w:rsidP="0000443E">
            <w:pPr>
              <w:rPr>
                <w:rFonts w:ascii="Avenir" w:eastAsia="Avenir" w:hAnsi="Avenir" w:cs="Avenir"/>
                <w:color w:val="000000"/>
                <w:sz w:val="16"/>
                <w:szCs w:val="16"/>
              </w:rPr>
            </w:pPr>
            <w:r w:rsidRPr="00B23420">
              <w:rPr>
                <w:rFonts w:ascii="Avenir" w:eastAsia="Avenir" w:hAnsi="Avenir" w:cs="Avenir"/>
                <w:color w:val="000000"/>
                <w:sz w:val="16"/>
                <w:szCs w:val="16"/>
              </w:rPr>
              <w:t>100% des membres de la Task-Force ont été formés et équipés</w:t>
            </w:r>
          </w:p>
          <w:p w14:paraId="55118E56" w14:textId="77777777" w:rsidR="0000443E" w:rsidRPr="00B23420" w:rsidRDefault="0000443E" w:rsidP="0000443E">
            <w:pPr>
              <w:rPr>
                <w:rFonts w:ascii="Avenir" w:eastAsia="Avenir" w:hAnsi="Avenir" w:cs="Avenir"/>
                <w:color w:val="000000"/>
                <w:sz w:val="16"/>
                <w:szCs w:val="16"/>
              </w:rPr>
            </w:pPr>
            <w:r w:rsidRPr="00B23420">
              <w:rPr>
                <w:rFonts w:ascii="Avenir" w:eastAsia="Avenir" w:hAnsi="Avenir" w:cs="Avenir"/>
                <w:color w:val="000000"/>
                <w:sz w:val="16"/>
                <w:szCs w:val="16"/>
              </w:rPr>
              <w:t xml:space="preserve">1 page d’accueil et le Site web du ministère mis à jour </w:t>
            </w:r>
          </w:p>
          <w:p w14:paraId="6D7BF81A" w14:textId="1D8E6165" w:rsidR="0000443E" w:rsidRPr="00E11FFB" w:rsidRDefault="0000443E" w:rsidP="0000443E">
            <w:pPr>
              <w:rPr>
                <w:rFonts w:ascii="Avenir" w:eastAsia="Avenir" w:hAnsi="Avenir" w:cs="Avenir"/>
                <w:color w:val="000000"/>
                <w:sz w:val="16"/>
                <w:szCs w:val="16"/>
              </w:rPr>
            </w:pPr>
            <w:r w:rsidRPr="00B23420">
              <w:rPr>
                <w:rFonts w:ascii="Avenir" w:eastAsia="Avenir" w:hAnsi="Avenir" w:cs="Avenir"/>
                <w:color w:val="000000"/>
                <w:sz w:val="16"/>
                <w:szCs w:val="16"/>
              </w:rPr>
              <w:t>1 Rapport d’activité</w:t>
            </w:r>
          </w:p>
        </w:tc>
        <w:tc>
          <w:tcPr>
            <w:tcW w:w="1403" w:type="dxa"/>
            <w:vAlign w:val="center"/>
          </w:tcPr>
          <w:p w14:paraId="47E9DD6E" w14:textId="486F2F2C" w:rsidR="0000443E" w:rsidRPr="00E11FFB" w:rsidRDefault="005C2203" w:rsidP="0000443E">
            <w:pPr>
              <w:rPr>
                <w:rFonts w:ascii="Avenir" w:eastAsia="Avenir" w:hAnsi="Avenir" w:cs="Avenir"/>
                <w:color w:val="000000"/>
                <w:sz w:val="16"/>
                <w:szCs w:val="16"/>
              </w:rPr>
            </w:pPr>
            <w:r w:rsidRPr="005C2203">
              <w:rPr>
                <w:rFonts w:ascii="Avenir" w:eastAsia="Avenir" w:hAnsi="Avenir" w:cs="Avenir"/>
                <w:color w:val="000000"/>
                <w:sz w:val="16"/>
                <w:szCs w:val="16"/>
              </w:rPr>
              <w:t>99 500,00</w:t>
            </w:r>
          </w:p>
        </w:tc>
        <w:tc>
          <w:tcPr>
            <w:tcW w:w="2290" w:type="dxa"/>
          </w:tcPr>
          <w:p w14:paraId="71E092A9" w14:textId="77777777" w:rsidR="0000443E" w:rsidRPr="00E11FFB" w:rsidRDefault="0000443E" w:rsidP="0000443E">
            <w:pPr>
              <w:rPr>
                <w:rFonts w:ascii="Avenir" w:eastAsia="Avenir" w:hAnsi="Avenir" w:cs="Avenir"/>
                <w:color w:val="000000"/>
                <w:sz w:val="16"/>
                <w:szCs w:val="16"/>
              </w:rPr>
            </w:pPr>
          </w:p>
        </w:tc>
      </w:tr>
    </w:tbl>
    <w:p w14:paraId="114DD5FF" w14:textId="77777777" w:rsidR="00FE3684" w:rsidRPr="00E11FFB" w:rsidRDefault="00FE3684" w:rsidP="00FE3684"/>
    <w:p w14:paraId="72175034" w14:textId="77777777" w:rsidR="00FE3684" w:rsidRPr="00E11FFB" w:rsidRDefault="00FE3684" w:rsidP="00FE3684">
      <w:pPr>
        <w:rPr>
          <w:b/>
          <w:bCs/>
        </w:rPr>
      </w:pPr>
      <w:r w:rsidRPr="00E11FFB">
        <w:rPr>
          <w:b/>
          <w:bCs/>
        </w:rPr>
        <w:t xml:space="preserve">Forêt </w:t>
      </w:r>
    </w:p>
    <w:p w14:paraId="036CE06B" w14:textId="77777777" w:rsidR="00FE3684" w:rsidRPr="00E11FFB" w:rsidRDefault="00FE3684" w:rsidP="00FE3684"/>
    <w:tbl>
      <w:tblPr>
        <w:tblW w:w="99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5"/>
        <w:gridCol w:w="1811"/>
        <w:gridCol w:w="1399"/>
        <w:gridCol w:w="2284"/>
      </w:tblGrid>
      <w:tr w:rsidR="00FE3684" w:rsidRPr="00E11FFB" w14:paraId="21691FB1" w14:textId="77777777" w:rsidTr="00617880">
        <w:trPr>
          <w:trHeight w:val="339"/>
          <w:tblHeader/>
        </w:trPr>
        <w:tc>
          <w:tcPr>
            <w:tcW w:w="4445" w:type="dxa"/>
            <w:shd w:val="clear" w:color="auto" w:fill="DDEBF7"/>
            <w:vAlign w:val="center"/>
          </w:tcPr>
          <w:p w14:paraId="02EA105D" w14:textId="77777777" w:rsidR="00FE3684" w:rsidRPr="00E11FFB" w:rsidRDefault="00FE3684" w:rsidP="003A6DE1">
            <w:pPr>
              <w:keepNext/>
              <w:keepLines/>
              <w:rPr>
                <w:rFonts w:ascii="Avenir" w:eastAsia="Avenir" w:hAnsi="Avenir" w:cs="Avenir"/>
                <w:color w:val="000000"/>
                <w:sz w:val="16"/>
                <w:szCs w:val="16"/>
              </w:rPr>
            </w:pPr>
            <w:r w:rsidRPr="00E11FFB">
              <w:rPr>
                <w:rFonts w:ascii="Avenir" w:eastAsia="Avenir" w:hAnsi="Avenir" w:cs="Avenir"/>
                <w:color w:val="000000"/>
                <w:sz w:val="16"/>
                <w:szCs w:val="16"/>
              </w:rPr>
              <w:t xml:space="preserve">Résultats </w:t>
            </w:r>
          </w:p>
        </w:tc>
        <w:tc>
          <w:tcPr>
            <w:tcW w:w="1811" w:type="dxa"/>
            <w:vMerge w:val="restart"/>
            <w:shd w:val="clear" w:color="auto" w:fill="F4B084"/>
            <w:vAlign w:val="center"/>
          </w:tcPr>
          <w:p w14:paraId="688268B2"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43"/>
            </w:r>
          </w:p>
        </w:tc>
        <w:tc>
          <w:tcPr>
            <w:tcW w:w="1399" w:type="dxa"/>
            <w:vMerge w:val="restart"/>
            <w:shd w:val="clear" w:color="auto" w:fill="DDEBF7"/>
            <w:vAlign w:val="center"/>
          </w:tcPr>
          <w:p w14:paraId="6DF7553F"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44"/>
            </w:r>
          </w:p>
        </w:tc>
        <w:tc>
          <w:tcPr>
            <w:tcW w:w="2284" w:type="dxa"/>
            <w:vMerge w:val="restart"/>
            <w:shd w:val="clear" w:color="auto" w:fill="DDEBF7"/>
          </w:tcPr>
          <w:p w14:paraId="448E47E6"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FE3684" w:rsidRPr="00E11FFB" w14:paraId="5FBEEA64" w14:textId="77777777" w:rsidTr="00617880">
        <w:trPr>
          <w:trHeight w:val="356"/>
          <w:tblHeader/>
        </w:trPr>
        <w:tc>
          <w:tcPr>
            <w:tcW w:w="4445" w:type="dxa"/>
            <w:shd w:val="clear" w:color="auto" w:fill="DDEBF7"/>
            <w:vAlign w:val="center"/>
          </w:tcPr>
          <w:p w14:paraId="58F19AAC"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1811" w:type="dxa"/>
            <w:vMerge/>
            <w:shd w:val="clear" w:color="auto" w:fill="F4B084"/>
            <w:vAlign w:val="center"/>
          </w:tcPr>
          <w:p w14:paraId="47C79C5D"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1399" w:type="dxa"/>
            <w:vMerge/>
            <w:shd w:val="clear" w:color="auto" w:fill="DDEBF7"/>
            <w:vAlign w:val="center"/>
          </w:tcPr>
          <w:p w14:paraId="4FC67A7E"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2284" w:type="dxa"/>
            <w:vMerge/>
            <w:shd w:val="clear" w:color="auto" w:fill="DDEBF7"/>
          </w:tcPr>
          <w:p w14:paraId="0C562465"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r>
      <w:tr w:rsidR="00FE3684" w:rsidRPr="00E11FFB" w14:paraId="227F1BAF" w14:textId="77777777" w:rsidTr="00617880">
        <w:trPr>
          <w:trHeight w:val="356"/>
        </w:trPr>
        <w:tc>
          <w:tcPr>
            <w:tcW w:w="4445" w:type="dxa"/>
            <w:vAlign w:val="center"/>
          </w:tcPr>
          <w:p w14:paraId="3A32E4E8"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3 : Les soubassements de La politique de développement durable et de conservation des forêts sont formalisés</w:t>
            </w:r>
          </w:p>
        </w:tc>
        <w:tc>
          <w:tcPr>
            <w:tcW w:w="1811" w:type="dxa"/>
            <w:vAlign w:val="center"/>
          </w:tcPr>
          <w:p w14:paraId="4D84654F" w14:textId="77777777" w:rsidR="00FE3684" w:rsidRPr="00E11FFB" w:rsidRDefault="00FE3684" w:rsidP="003A6DE1">
            <w:pPr>
              <w:rPr>
                <w:rFonts w:ascii="Avenir" w:eastAsia="Avenir" w:hAnsi="Avenir" w:cs="Avenir"/>
                <w:color w:val="000000"/>
                <w:sz w:val="16"/>
                <w:szCs w:val="16"/>
              </w:rPr>
            </w:pPr>
          </w:p>
        </w:tc>
        <w:tc>
          <w:tcPr>
            <w:tcW w:w="1399" w:type="dxa"/>
            <w:vAlign w:val="center"/>
          </w:tcPr>
          <w:p w14:paraId="6B2F570C"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517 107 $ </w:t>
            </w:r>
          </w:p>
        </w:tc>
        <w:tc>
          <w:tcPr>
            <w:tcW w:w="2284" w:type="dxa"/>
          </w:tcPr>
          <w:p w14:paraId="122B4EEA" w14:textId="77777777" w:rsidR="00FE3684" w:rsidRPr="00E11FFB" w:rsidRDefault="00FE3684" w:rsidP="003A6DE1">
            <w:pPr>
              <w:rPr>
                <w:rFonts w:ascii="Avenir" w:eastAsia="Avenir" w:hAnsi="Avenir" w:cs="Avenir"/>
                <w:color w:val="000000"/>
                <w:sz w:val="16"/>
                <w:szCs w:val="16"/>
              </w:rPr>
            </w:pPr>
          </w:p>
        </w:tc>
      </w:tr>
      <w:tr w:rsidR="00FE3684" w:rsidRPr="00E11FFB" w14:paraId="28DE8485" w14:textId="77777777" w:rsidTr="002142A2">
        <w:trPr>
          <w:trHeight w:val="356"/>
        </w:trPr>
        <w:tc>
          <w:tcPr>
            <w:tcW w:w="4445" w:type="dxa"/>
            <w:vAlign w:val="center"/>
          </w:tcPr>
          <w:p w14:paraId="0155D6A7"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Produit 3.1 : Définir d’ici 2025, au travers d’un processus participatif et multisectoriel les concepts de « forêts de grande valeur » et de « tourbières ».</w:t>
            </w:r>
          </w:p>
        </w:tc>
        <w:tc>
          <w:tcPr>
            <w:tcW w:w="1811" w:type="dxa"/>
            <w:vAlign w:val="center"/>
          </w:tcPr>
          <w:p w14:paraId="6961B6D6"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Une définition validée techniquement après consultations nationales</w:t>
            </w:r>
          </w:p>
          <w:p w14:paraId="5518827C" w14:textId="5482BBBA" w:rsidR="00FE3684" w:rsidRPr="00E11FFB"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En attente de la validation par le CCNF pour définir les règles. Début des consultations sur les règles de gestion.</w:t>
            </w:r>
          </w:p>
        </w:tc>
        <w:tc>
          <w:tcPr>
            <w:tcW w:w="1399" w:type="dxa"/>
            <w:vAlign w:val="center"/>
          </w:tcPr>
          <w:p w14:paraId="2852A345"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23 500 $</w:t>
            </w:r>
          </w:p>
        </w:tc>
        <w:tc>
          <w:tcPr>
            <w:tcW w:w="2284" w:type="dxa"/>
          </w:tcPr>
          <w:p w14:paraId="054E534E" w14:textId="77777777" w:rsidR="00FE3684" w:rsidRPr="00E11FFB" w:rsidRDefault="00FE3684" w:rsidP="003A6DE1">
            <w:pPr>
              <w:rPr>
                <w:rFonts w:ascii="Avenir" w:eastAsia="Avenir" w:hAnsi="Avenir" w:cs="Avenir"/>
                <w:color w:val="000000"/>
                <w:sz w:val="16"/>
                <w:szCs w:val="16"/>
              </w:rPr>
            </w:pPr>
          </w:p>
        </w:tc>
      </w:tr>
      <w:tr w:rsidR="00B23420" w:rsidRPr="00E11FFB" w14:paraId="757906EB" w14:textId="77777777" w:rsidTr="002142A2">
        <w:trPr>
          <w:trHeight w:val="356"/>
        </w:trPr>
        <w:tc>
          <w:tcPr>
            <w:tcW w:w="4445" w:type="dxa"/>
            <w:vAlign w:val="center"/>
          </w:tcPr>
          <w:p w14:paraId="5BD8FB6D"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3.2 : Une revue légale des titres de concessions forestières de conservation est finalisée d’ici [fin 2024].</w:t>
            </w:r>
          </w:p>
        </w:tc>
        <w:tc>
          <w:tcPr>
            <w:tcW w:w="1811" w:type="dxa"/>
          </w:tcPr>
          <w:p w14:paraId="2E327D29" w14:textId="439483BD"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 xml:space="preserve">Liste provisoire de 48 concessions forestières résiliées et celles publiées. Feuille de route pour le travail de revue légale. </w:t>
            </w:r>
          </w:p>
        </w:tc>
        <w:tc>
          <w:tcPr>
            <w:tcW w:w="1399" w:type="dxa"/>
            <w:vAlign w:val="center"/>
          </w:tcPr>
          <w:p w14:paraId="61F84B56"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0,00 $</w:t>
            </w:r>
          </w:p>
        </w:tc>
        <w:tc>
          <w:tcPr>
            <w:tcW w:w="2284" w:type="dxa"/>
          </w:tcPr>
          <w:p w14:paraId="0D6EF9FD" w14:textId="77777777" w:rsidR="00B23420" w:rsidRPr="00E11FFB" w:rsidRDefault="00B23420" w:rsidP="00B23420">
            <w:pPr>
              <w:rPr>
                <w:rFonts w:ascii="Avenir" w:eastAsia="Avenir" w:hAnsi="Avenir" w:cs="Avenir"/>
                <w:color w:val="000000"/>
                <w:sz w:val="16"/>
                <w:szCs w:val="16"/>
              </w:rPr>
            </w:pPr>
          </w:p>
        </w:tc>
      </w:tr>
      <w:tr w:rsidR="00B23420" w:rsidRPr="00E11FFB" w14:paraId="13C9A2B3" w14:textId="77777777" w:rsidTr="002142A2">
        <w:trPr>
          <w:trHeight w:val="356"/>
        </w:trPr>
        <w:tc>
          <w:tcPr>
            <w:tcW w:w="4445" w:type="dxa"/>
            <w:vAlign w:val="center"/>
          </w:tcPr>
          <w:p w14:paraId="4497A07A"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3.3 : Le concept de forêt dégradée sera défini et identifié pour les divers types de forêts de la RDC.</w:t>
            </w:r>
          </w:p>
        </w:tc>
        <w:tc>
          <w:tcPr>
            <w:tcW w:w="1811" w:type="dxa"/>
            <w:vAlign w:val="center"/>
          </w:tcPr>
          <w:p w14:paraId="07F44F93" w14:textId="4B47D56B"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Le concept de forêt dégradée défini, les consultations organisées dans les 26 provinces et Un atelier de validation nationale</w:t>
            </w:r>
          </w:p>
        </w:tc>
        <w:tc>
          <w:tcPr>
            <w:tcW w:w="1399" w:type="dxa"/>
            <w:vAlign w:val="center"/>
          </w:tcPr>
          <w:p w14:paraId="429D796B"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12 000 $</w:t>
            </w:r>
          </w:p>
        </w:tc>
        <w:tc>
          <w:tcPr>
            <w:tcW w:w="2284" w:type="dxa"/>
          </w:tcPr>
          <w:p w14:paraId="2E47CE7F" w14:textId="77777777" w:rsidR="00B23420" w:rsidRPr="00E11FFB" w:rsidRDefault="00B23420" w:rsidP="00B23420">
            <w:pPr>
              <w:rPr>
                <w:rFonts w:ascii="Avenir" w:eastAsia="Avenir" w:hAnsi="Avenir" w:cs="Avenir"/>
                <w:color w:val="000000"/>
                <w:sz w:val="16"/>
                <w:szCs w:val="16"/>
              </w:rPr>
            </w:pPr>
          </w:p>
        </w:tc>
      </w:tr>
      <w:tr w:rsidR="00B23420" w:rsidRPr="00E11FFB" w14:paraId="16DBDD67" w14:textId="77777777" w:rsidTr="002142A2">
        <w:trPr>
          <w:trHeight w:val="356"/>
        </w:trPr>
        <w:tc>
          <w:tcPr>
            <w:tcW w:w="4445" w:type="dxa"/>
            <w:vAlign w:val="center"/>
          </w:tcPr>
          <w:p w14:paraId="36CD3DB9"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3.4 - Evaluer l’efficacité du contrôle forestier et développer sur cette base des stratégies provinciales de priorisation des contrôles basées sur le risque d’illégalité. Jalon pris en charge totalement par le PGDF.</w:t>
            </w:r>
          </w:p>
        </w:tc>
        <w:tc>
          <w:tcPr>
            <w:tcW w:w="1811" w:type="dxa"/>
            <w:vAlign w:val="center"/>
          </w:tcPr>
          <w:p w14:paraId="7AC5AC75" w14:textId="77777777" w:rsidR="00B23420" w:rsidRPr="00E11FFB" w:rsidRDefault="00B23420" w:rsidP="00B23420">
            <w:pPr>
              <w:rPr>
                <w:rFonts w:ascii="Avenir" w:eastAsia="Avenir" w:hAnsi="Avenir" w:cs="Avenir"/>
                <w:color w:val="000000"/>
                <w:sz w:val="16"/>
                <w:szCs w:val="16"/>
              </w:rPr>
            </w:pPr>
          </w:p>
        </w:tc>
        <w:tc>
          <w:tcPr>
            <w:tcW w:w="1399" w:type="dxa"/>
            <w:vAlign w:val="center"/>
          </w:tcPr>
          <w:p w14:paraId="0C7604EF"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0,00 $</w:t>
            </w:r>
          </w:p>
        </w:tc>
        <w:tc>
          <w:tcPr>
            <w:tcW w:w="2284" w:type="dxa"/>
          </w:tcPr>
          <w:p w14:paraId="26A80531" w14:textId="02EDEA94"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le projet PGDF</w:t>
            </w:r>
          </w:p>
        </w:tc>
      </w:tr>
      <w:tr w:rsidR="00B23420" w:rsidRPr="00E11FFB" w14:paraId="516F2C42" w14:textId="77777777" w:rsidTr="002142A2">
        <w:trPr>
          <w:trHeight w:val="356"/>
        </w:trPr>
        <w:tc>
          <w:tcPr>
            <w:tcW w:w="4445" w:type="dxa"/>
            <w:vAlign w:val="center"/>
          </w:tcPr>
          <w:p w14:paraId="22AD0787"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3.5 : La politique forestière est élaborée et adoptée d’ici [fin 2024].</w:t>
            </w:r>
          </w:p>
        </w:tc>
        <w:tc>
          <w:tcPr>
            <w:tcW w:w="1811" w:type="dxa"/>
            <w:vAlign w:val="center"/>
          </w:tcPr>
          <w:p w14:paraId="3D0725DC"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Acte des états généraux sont publiés.</w:t>
            </w:r>
          </w:p>
          <w:p w14:paraId="63068FEC" w14:textId="56442DEE" w:rsidR="00B23420" w:rsidRPr="00E11FFB"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Consultations dans 26 provinces, Draft V2 de la politique finalisée et TDRs de l’atelier de validation technique planifiée. Contrat de consultance sur l’EES</w:t>
            </w:r>
          </w:p>
        </w:tc>
        <w:tc>
          <w:tcPr>
            <w:tcW w:w="1399" w:type="dxa"/>
            <w:vAlign w:val="center"/>
          </w:tcPr>
          <w:p w14:paraId="0DCC4554"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204 527 $</w:t>
            </w:r>
          </w:p>
        </w:tc>
        <w:tc>
          <w:tcPr>
            <w:tcW w:w="2284" w:type="dxa"/>
          </w:tcPr>
          <w:p w14:paraId="708C4CE7" w14:textId="77777777" w:rsidR="00B23420" w:rsidRPr="00E11FFB" w:rsidRDefault="00B23420" w:rsidP="00B23420">
            <w:pPr>
              <w:rPr>
                <w:rFonts w:ascii="Avenir" w:eastAsia="Avenir" w:hAnsi="Avenir" w:cs="Avenir"/>
                <w:color w:val="000000"/>
                <w:sz w:val="16"/>
                <w:szCs w:val="16"/>
              </w:rPr>
            </w:pPr>
          </w:p>
        </w:tc>
      </w:tr>
      <w:tr w:rsidR="00B23420" w:rsidRPr="00E11FFB" w14:paraId="0B892F43" w14:textId="77777777" w:rsidTr="002142A2">
        <w:trPr>
          <w:trHeight w:val="356"/>
        </w:trPr>
        <w:tc>
          <w:tcPr>
            <w:tcW w:w="4445" w:type="dxa"/>
            <w:vAlign w:val="center"/>
          </w:tcPr>
          <w:p w14:paraId="08162506"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3.6 : Le Code forestier est révisé d’ici [fin 2023]</w:t>
            </w:r>
          </w:p>
        </w:tc>
        <w:tc>
          <w:tcPr>
            <w:tcW w:w="1811" w:type="dxa"/>
          </w:tcPr>
          <w:p w14:paraId="1ED64B24" w14:textId="77777777" w:rsidR="00B23420" w:rsidRPr="00E11FFB" w:rsidRDefault="00B23420" w:rsidP="00B23420">
            <w:pPr>
              <w:rPr>
                <w:rFonts w:ascii="Avenir" w:eastAsia="Avenir" w:hAnsi="Avenir" w:cs="Avenir"/>
                <w:bCs/>
                <w:color w:val="000000"/>
                <w:sz w:val="16"/>
                <w:szCs w:val="16"/>
              </w:rPr>
            </w:pPr>
            <w:r w:rsidRPr="00E11FFB">
              <w:rPr>
                <w:rFonts w:ascii="Avenir" w:eastAsia="Avenir" w:hAnsi="Avenir" w:cs="Avenir"/>
                <w:bCs/>
                <w:color w:val="000000"/>
                <w:sz w:val="16"/>
                <w:szCs w:val="16"/>
              </w:rPr>
              <w:t>Un CCNF tenu pour valider la feuille de route élaborée.  Désignation d’équipe d’expert sur le code forestier</w:t>
            </w:r>
          </w:p>
          <w:p w14:paraId="54970A0E" w14:textId="1E0D77ED"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Atelier de consultations sur l’élaboration du code par les directions de l’administration MEDD</w:t>
            </w:r>
          </w:p>
        </w:tc>
        <w:tc>
          <w:tcPr>
            <w:tcW w:w="1399" w:type="dxa"/>
            <w:vAlign w:val="center"/>
          </w:tcPr>
          <w:p w14:paraId="4169A1BD"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7 000 $</w:t>
            </w:r>
          </w:p>
        </w:tc>
        <w:tc>
          <w:tcPr>
            <w:tcW w:w="2284" w:type="dxa"/>
          </w:tcPr>
          <w:p w14:paraId="0C6EA3A9" w14:textId="5448D2EB"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 xml:space="preserve">Le CCNF a été organisé avec le soutien financier de PGDF. </w:t>
            </w:r>
          </w:p>
        </w:tc>
      </w:tr>
      <w:tr w:rsidR="00B23420" w:rsidRPr="00E11FFB" w14:paraId="68559095" w14:textId="77777777" w:rsidTr="002142A2">
        <w:trPr>
          <w:trHeight w:val="356"/>
        </w:trPr>
        <w:tc>
          <w:tcPr>
            <w:tcW w:w="4445" w:type="dxa"/>
            <w:vAlign w:val="center"/>
          </w:tcPr>
          <w:p w14:paraId="1FD959B2"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 xml:space="preserve">Produit 3.7 : Dans le cadre de l’allocation de nouvelles concessions forestières industrielles, les mesures efficaces d’évaluation, les standards de qualité et les procédures prévues par le Code forestier (...) sont respectés comme prévu dans le cadre réglementaire. </w:t>
            </w:r>
          </w:p>
        </w:tc>
        <w:tc>
          <w:tcPr>
            <w:tcW w:w="1811" w:type="dxa"/>
          </w:tcPr>
          <w:p w14:paraId="7052CB17" w14:textId="623061CC"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Site opérationnel et attractif du MEDD publie toutes les informations requises par le jalon</w:t>
            </w:r>
          </w:p>
        </w:tc>
        <w:tc>
          <w:tcPr>
            <w:tcW w:w="1399" w:type="dxa"/>
            <w:vAlign w:val="center"/>
          </w:tcPr>
          <w:p w14:paraId="334631DC"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0,00 $</w:t>
            </w:r>
          </w:p>
        </w:tc>
        <w:tc>
          <w:tcPr>
            <w:tcW w:w="2284" w:type="dxa"/>
          </w:tcPr>
          <w:p w14:paraId="26F38C2E" w14:textId="77777777" w:rsidR="00B23420" w:rsidRPr="00E11FFB" w:rsidRDefault="00B23420" w:rsidP="00B23420">
            <w:pPr>
              <w:rPr>
                <w:rFonts w:ascii="Avenir" w:eastAsia="Avenir" w:hAnsi="Avenir" w:cs="Avenir"/>
                <w:color w:val="000000"/>
                <w:sz w:val="16"/>
                <w:szCs w:val="16"/>
              </w:rPr>
            </w:pPr>
          </w:p>
        </w:tc>
      </w:tr>
      <w:tr w:rsidR="00B23420" w:rsidRPr="00E11FFB" w14:paraId="1A7E47EE" w14:textId="77777777" w:rsidTr="002142A2">
        <w:trPr>
          <w:trHeight w:val="356"/>
        </w:trPr>
        <w:tc>
          <w:tcPr>
            <w:tcW w:w="4445" w:type="dxa"/>
            <w:vAlign w:val="center"/>
          </w:tcPr>
          <w:p w14:paraId="1F3ADB7A"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3.8 : Le décret formalisant la levée du moratoire sera adopté seulement après la réalisation, sur base d’un processus consultatif, d’une programmation géographique des futures allocations en adéquation avec le Décret Présidentiel n° 05/116 du 24 octobre 2005.</w:t>
            </w:r>
          </w:p>
        </w:tc>
        <w:tc>
          <w:tcPr>
            <w:tcW w:w="1811" w:type="dxa"/>
          </w:tcPr>
          <w:p w14:paraId="30028733" w14:textId="2E9E3CC3"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Draft du décret disponible en attente du CCNF pour validation, cartes de programmation géographique produites</w:t>
            </w:r>
          </w:p>
        </w:tc>
        <w:tc>
          <w:tcPr>
            <w:tcW w:w="1399" w:type="dxa"/>
            <w:vAlign w:val="center"/>
          </w:tcPr>
          <w:p w14:paraId="6C098BFD"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22 000 $</w:t>
            </w:r>
          </w:p>
        </w:tc>
        <w:tc>
          <w:tcPr>
            <w:tcW w:w="2284" w:type="dxa"/>
          </w:tcPr>
          <w:p w14:paraId="454C484B" w14:textId="77777777" w:rsidR="00B23420" w:rsidRPr="00E11FFB" w:rsidRDefault="00B23420" w:rsidP="00B23420">
            <w:pPr>
              <w:rPr>
                <w:rFonts w:ascii="Avenir" w:eastAsia="Avenir" w:hAnsi="Avenir" w:cs="Avenir"/>
                <w:color w:val="000000"/>
                <w:sz w:val="16"/>
                <w:szCs w:val="16"/>
              </w:rPr>
            </w:pPr>
          </w:p>
        </w:tc>
      </w:tr>
      <w:tr w:rsidR="00B23420" w:rsidRPr="00E11FFB" w14:paraId="1C17C083" w14:textId="77777777" w:rsidTr="002142A2">
        <w:trPr>
          <w:trHeight w:val="356"/>
        </w:trPr>
        <w:tc>
          <w:tcPr>
            <w:tcW w:w="4445" w:type="dxa"/>
            <w:vAlign w:val="center"/>
          </w:tcPr>
          <w:p w14:paraId="62B3F3D2"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3.9 : Élaborer de manière participative et adopter un Plan d’ici [fin 2025] pour assurer la protection effective des aires protégées existantes et étendre les espaces sous statut de protection à 30%, au minimum du territoire national d’ici à 2030.</w:t>
            </w:r>
          </w:p>
        </w:tc>
        <w:tc>
          <w:tcPr>
            <w:tcW w:w="1811" w:type="dxa"/>
          </w:tcPr>
          <w:p w14:paraId="2C9DB082" w14:textId="2FA50B50"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 xml:space="preserve">Plan de diagnostic des aires protégées ; Elaboration de la stratégie et plan d’action nationaux pour la biodiversité 2025 2023 pour la RDC ; </w:t>
            </w:r>
          </w:p>
        </w:tc>
        <w:tc>
          <w:tcPr>
            <w:tcW w:w="1399" w:type="dxa"/>
            <w:vAlign w:val="center"/>
          </w:tcPr>
          <w:p w14:paraId="38893050"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13 800 $</w:t>
            </w:r>
          </w:p>
        </w:tc>
        <w:tc>
          <w:tcPr>
            <w:tcW w:w="2284" w:type="dxa"/>
          </w:tcPr>
          <w:p w14:paraId="24CC138B" w14:textId="77777777" w:rsidR="00B23420" w:rsidRDefault="00B23420" w:rsidP="00B23420">
            <w:pPr>
              <w:rPr>
                <w:rFonts w:ascii="Avenir" w:eastAsia="Avenir" w:hAnsi="Avenir" w:cs="Avenir"/>
                <w:color w:val="000000"/>
                <w:sz w:val="16"/>
                <w:szCs w:val="16"/>
              </w:rPr>
            </w:pPr>
          </w:p>
          <w:p w14:paraId="441674D1" w14:textId="77777777" w:rsidR="00B23420" w:rsidRDefault="00B23420" w:rsidP="00B23420">
            <w:pPr>
              <w:rPr>
                <w:rFonts w:ascii="Avenir" w:eastAsia="Avenir" w:hAnsi="Avenir" w:cs="Avenir"/>
                <w:color w:val="000000"/>
                <w:sz w:val="16"/>
                <w:szCs w:val="16"/>
              </w:rPr>
            </w:pPr>
          </w:p>
          <w:p w14:paraId="2C8C4E0B" w14:textId="77777777" w:rsidR="00B23420" w:rsidRDefault="00B23420" w:rsidP="00B23420">
            <w:pPr>
              <w:rPr>
                <w:rFonts w:ascii="Avenir" w:eastAsia="Avenir" w:hAnsi="Avenir" w:cs="Avenir"/>
                <w:color w:val="000000"/>
                <w:sz w:val="16"/>
                <w:szCs w:val="16"/>
              </w:rPr>
            </w:pPr>
          </w:p>
          <w:p w14:paraId="1D9AC6DA" w14:textId="77777777" w:rsidR="00B23420" w:rsidRDefault="00B23420" w:rsidP="00B23420">
            <w:pPr>
              <w:rPr>
                <w:rFonts w:ascii="Avenir" w:eastAsia="Avenir" w:hAnsi="Avenir" w:cs="Avenir"/>
                <w:color w:val="000000"/>
                <w:sz w:val="16"/>
                <w:szCs w:val="16"/>
              </w:rPr>
            </w:pPr>
          </w:p>
          <w:p w14:paraId="020F32AD" w14:textId="55CB5E4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Travail réalisé avec les soutiens d’autres bailleurs du MEDD</w:t>
            </w:r>
          </w:p>
        </w:tc>
      </w:tr>
      <w:tr w:rsidR="00B23420" w:rsidRPr="00E11FFB" w14:paraId="60476C77" w14:textId="77777777" w:rsidTr="002142A2">
        <w:trPr>
          <w:trHeight w:val="356"/>
        </w:trPr>
        <w:tc>
          <w:tcPr>
            <w:tcW w:w="4445" w:type="dxa"/>
            <w:vAlign w:val="center"/>
          </w:tcPr>
          <w:p w14:paraId="0F95F419"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3.10 : Élaboration et adoption d'un guide de bonne pratique d’ici fin 2023, en vue d’atteindre 5 millions d’hectares au total de Concessions Forestières des Forêts des Communautés Locales (CFCL) d’ici à fin 2031. Jalon pris en charge totalement par le PGDF.</w:t>
            </w:r>
          </w:p>
        </w:tc>
        <w:tc>
          <w:tcPr>
            <w:tcW w:w="1811" w:type="dxa"/>
            <w:vAlign w:val="center"/>
          </w:tcPr>
          <w:p w14:paraId="06C20DB8" w14:textId="77777777" w:rsidR="00B23420" w:rsidRPr="00E11FFB" w:rsidRDefault="00B23420" w:rsidP="00B23420">
            <w:pPr>
              <w:rPr>
                <w:rFonts w:ascii="Avenir" w:eastAsia="Avenir" w:hAnsi="Avenir" w:cs="Avenir"/>
                <w:color w:val="000000"/>
                <w:sz w:val="16"/>
                <w:szCs w:val="16"/>
              </w:rPr>
            </w:pPr>
          </w:p>
        </w:tc>
        <w:tc>
          <w:tcPr>
            <w:tcW w:w="1399" w:type="dxa"/>
            <w:vAlign w:val="center"/>
          </w:tcPr>
          <w:p w14:paraId="5D950CE1"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0,00 $</w:t>
            </w:r>
          </w:p>
        </w:tc>
        <w:tc>
          <w:tcPr>
            <w:tcW w:w="2284" w:type="dxa"/>
          </w:tcPr>
          <w:p w14:paraId="3A1C070E" w14:textId="6CB63B6E"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Activité alignée sous le projet PGDF</w:t>
            </w:r>
          </w:p>
        </w:tc>
      </w:tr>
      <w:tr w:rsidR="00B23420" w:rsidRPr="00E11FFB" w14:paraId="7BF4E8AC" w14:textId="77777777" w:rsidTr="002142A2">
        <w:trPr>
          <w:trHeight w:val="356"/>
        </w:trPr>
        <w:tc>
          <w:tcPr>
            <w:tcW w:w="4445" w:type="dxa"/>
            <w:vAlign w:val="center"/>
          </w:tcPr>
          <w:p w14:paraId="59A64A29"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3.11 : Les données de déforestation et de dégradation des forêts générées à l’échelle nationale et provinciale par le SNSF, ainsi que les données [clés] de l’inventaire forestier national, sont mises à jour annuellement et améliorées graduellement.</w:t>
            </w:r>
          </w:p>
        </w:tc>
        <w:tc>
          <w:tcPr>
            <w:tcW w:w="1811" w:type="dxa"/>
            <w:vAlign w:val="center"/>
          </w:tcPr>
          <w:p w14:paraId="3AACF3BC"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Retraite de conversion des données de déforestation 2000-2020 publiées sur le portail SNSF</w:t>
            </w:r>
          </w:p>
          <w:p w14:paraId="5B77FBDB" w14:textId="180F3E9A" w:rsidR="00B23420" w:rsidRPr="00E11FFB"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Validation de l'identification botanique et la mise en place d'une base des données d'inventaire forestier national ;</w:t>
            </w:r>
          </w:p>
        </w:tc>
        <w:tc>
          <w:tcPr>
            <w:tcW w:w="1399" w:type="dxa"/>
            <w:vAlign w:val="center"/>
          </w:tcPr>
          <w:p w14:paraId="2505EF28"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27 460 $</w:t>
            </w:r>
          </w:p>
        </w:tc>
        <w:tc>
          <w:tcPr>
            <w:tcW w:w="2284" w:type="dxa"/>
          </w:tcPr>
          <w:p w14:paraId="6FB488E7" w14:textId="77777777" w:rsidR="00B23420" w:rsidRPr="00E11FFB" w:rsidRDefault="00B23420" w:rsidP="00B23420">
            <w:pPr>
              <w:rPr>
                <w:rFonts w:ascii="Avenir" w:eastAsia="Avenir" w:hAnsi="Avenir" w:cs="Avenir"/>
                <w:color w:val="000000"/>
                <w:sz w:val="16"/>
                <w:szCs w:val="16"/>
              </w:rPr>
            </w:pPr>
          </w:p>
        </w:tc>
      </w:tr>
      <w:tr w:rsidR="00B23420" w:rsidRPr="00E11FFB" w14:paraId="47048895" w14:textId="77777777" w:rsidTr="002142A2">
        <w:trPr>
          <w:trHeight w:val="356"/>
        </w:trPr>
        <w:tc>
          <w:tcPr>
            <w:tcW w:w="4445" w:type="dxa"/>
            <w:vAlign w:val="center"/>
          </w:tcPr>
          <w:p w14:paraId="742EC8A7"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3.12 : Les Rapports biennaux actualisés (BUR) sont soumis à la CCNUCC.</w:t>
            </w:r>
          </w:p>
        </w:tc>
        <w:tc>
          <w:tcPr>
            <w:tcW w:w="1811" w:type="dxa"/>
            <w:vAlign w:val="center"/>
          </w:tcPr>
          <w:p w14:paraId="41D4977E" w14:textId="46357A5B" w:rsidR="00B23420" w:rsidRPr="00E11FFB" w:rsidRDefault="00B23420" w:rsidP="00B23420">
            <w:pPr>
              <w:rPr>
                <w:rFonts w:ascii="Avenir" w:eastAsia="Avenir" w:hAnsi="Avenir" w:cs="Avenir"/>
                <w:color w:val="000000"/>
                <w:sz w:val="16"/>
                <w:szCs w:val="16"/>
              </w:rPr>
            </w:pPr>
            <w:r w:rsidRPr="00024C96">
              <w:rPr>
                <w:rFonts w:ascii="Avenir" w:eastAsia="Avenir" w:hAnsi="Avenir" w:cs="Avenir"/>
                <w:bCs/>
                <w:color w:val="000000"/>
                <w:sz w:val="16"/>
                <w:szCs w:val="16"/>
              </w:rPr>
              <w:t>Mise à jour des ressources matérielles et connexion internet, Réunion d'échange et travaux techniques,</w:t>
            </w:r>
          </w:p>
        </w:tc>
        <w:tc>
          <w:tcPr>
            <w:tcW w:w="1399" w:type="dxa"/>
            <w:vAlign w:val="center"/>
          </w:tcPr>
          <w:p w14:paraId="13C49B1C"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19 460 $</w:t>
            </w:r>
          </w:p>
        </w:tc>
        <w:tc>
          <w:tcPr>
            <w:tcW w:w="2284" w:type="dxa"/>
          </w:tcPr>
          <w:p w14:paraId="787F4EF2" w14:textId="77777777" w:rsidR="00B23420" w:rsidRPr="00E11FFB" w:rsidRDefault="00B23420" w:rsidP="00B23420">
            <w:pPr>
              <w:rPr>
                <w:rFonts w:ascii="Avenir" w:eastAsia="Avenir" w:hAnsi="Avenir" w:cs="Avenir"/>
                <w:color w:val="000000"/>
                <w:sz w:val="16"/>
                <w:szCs w:val="16"/>
              </w:rPr>
            </w:pPr>
          </w:p>
        </w:tc>
      </w:tr>
      <w:tr w:rsidR="00B23420" w:rsidRPr="00E11FFB" w14:paraId="1E8D6C2F" w14:textId="77777777" w:rsidTr="002142A2">
        <w:trPr>
          <w:trHeight w:val="356"/>
        </w:trPr>
        <w:tc>
          <w:tcPr>
            <w:tcW w:w="4445" w:type="dxa"/>
            <w:vAlign w:val="center"/>
          </w:tcPr>
          <w:p w14:paraId="198313F1"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3.13 : Le Conseil Consultatif National des Forêts (CCNF) est opérationnel et fonctionnel et des Conseils Consultatifs Provinciaux des Forêts (CCPF) sont fonctionnels dans les provinces PIREDD d’ici [fin 2024], avec au moins deux sessions par an.</w:t>
            </w:r>
          </w:p>
        </w:tc>
        <w:tc>
          <w:tcPr>
            <w:tcW w:w="1811" w:type="dxa"/>
            <w:vAlign w:val="center"/>
          </w:tcPr>
          <w:p w14:paraId="54A0C404" w14:textId="743C432F"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Appui matériels informatiques et équipements au bureau / secrétariat du CCNF ; Tenue d’une session sur le code forestier</w:t>
            </w:r>
          </w:p>
        </w:tc>
        <w:tc>
          <w:tcPr>
            <w:tcW w:w="1399" w:type="dxa"/>
            <w:vAlign w:val="center"/>
          </w:tcPr>
          <w:p w14:paraId="368CA186"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8 662 $</w:t>
            </w:r>
          </w:p>
        </w:tc>
        <w:tc>
          <w:tcPr>
            <w:tcW w:w="2284" w:type="dxa"/>
          </w:tcPr>
          <w:p w14:paraId="4C1D63E0" w14:textId="77777777" w:rsidR="00B23420" w:rsidRPr="00E11FFB" w:rsidRDefault="00B23420" w:rsidP="00B23420">
            <w:pPr>
              <w:rPr>
                <w:rFonts w:ascii="Avenir" w:eastAsia="Avenir" w:hAnsi="Avenir" w:cs="Avenir"/>
                <w:color w:val="000000"/>
                <w:sz w:val="16"/>
                <w:szCs w:val="16"/>
              </w:rPr>
            </w:pPr>
          </w:p>
        </w:tc>
      </w:tr>
      <w:tr w:rsidR="00B23420" w:rsidRPr="00E11FFB" w14:paraId="639D9836" w14:textId="77777777" w:rsidTr="002142A2">
        <w:trPr>
          <w:trHeight w:val="356"/>
        </w:trPr>
        <w:tc>
          <w:tcPr>
            <w:tcW w:w="4445" w:type="dxa"/>
            <w:vAlign w:val="center"/>
          </w:tcPr>
          <w:p w14:paraId="4DD16C67"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3.14 : Le Niveau d’émissions de référence des forêts pour la réduction des émissions dues à la déforestation en RDC (NERF) est mis à jour d’ici fin 2022 et soumis à la CCNUCC.</w:t>
            </w:r>
          </w:p>
        </w:tc>
        <w:tc>
          <w:tcPr>
            <w:tcW w:w="1811" w:type="dxa"/>
          </w:tcPr>
          <w:p w14:paraId="76388BFF" w14:textId="7A084F81" w:rsidR="00B23420" w:rsidRPr="00E11FFB" w:rsidRDefault="00B23420" w:rsidP="00B23420">
            <w:pPr>
              <w:rPr>
                <w:rFonts w:ascii="Avenir" w:eastAsia="Avenir" w:hAnsi="Avenir" w:cs="Avenir"/>
                <w:color w:val="000000"/>
                <w:sz w:val="16"/>
                <w:szCs w:val="16"/>
              </w:rPr>
            </w:pPr>
            <w:r w:rsidRPr="00024C96">
              <w:rPr>
                <w:rFonts w:ascii="Avenir" w:eastAsia="Avenir" w:hAnsi="Avenir" w:cs="Avenir"/>
                <w:bCs/>
                <w:color w:val="000000"/>
                <w:sz w:val="16"/>
                <w:szCs w:val="16"/>
              </w:rPr>
              <w:t>Travaux réparatoires pour la révision du NERF impliquant les parties prenantes clés sous l'égide du Secrétaire Général appuyé par la DDD et la DIAF </w:t>
            </w:r>
          </w:p>
        </w:tc>
        <w:tc>
          <w:tcPr>
            <w:tcW w:w="1399" w:type="dxa"/>
            <w:vAlign w:val="center"/>
          </w:tcPr>
          <w:p w14:paraId="725FBB02"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24 800 $</w:t>
            </w:r>
          </w:p>
        </w:tc>
        <w:tc>
          <w:tcPr>
            <w:tcW w:w="2284" w:type="dxa"/>
          </w:tcPr>
          <w:p w14:paraId="5D9621DA" w14:textId="77777777" w:rsidR="00B23420" w:rsidRPr="00E11FFB" w:rsidRDefault="00B23420" w:rsidP="00B23420">
            <w:pPr>
              <w:rPr>
                <w:rFonts w:ascii="Avenir" w:eastAsia="Avenir" w:hAnsi="Avenir" w:cs="Avenir"/>
                <w:color w:val="000000"/>
                <w:sz w:val="16"/>
                <w:szCs w:val="16"/>
              </w:rPr>
            </w:pPr>
          </w:p>
        </w:tc>
      </w:tr>
      <w:tr w:rsidR="00B23420" w:rsidRPr="00E11FFB" w14:paraId="3263157F" w14:textId="77777777" w:rsidTr="002142A2">
        <w:trPr>
          <w:trHeight w:val="356"/>
        </w:trPr>
        <w:tc>
          <w:tcPr>
            <w:tcW w:w="4445" w:type="dxa"/>
            <w:vAlign w:val="center"/>
          </w:tcPr>
          <w:p w14:paraId="6A8738D7"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3.15 Les capacités humaines et techniques du ministère de l’Environnement et du Développement Durable dans la mise en œuvre de la politique forestière sont renforcées.</w:t>
            </w:r>
          </w:p>
        </w:tc>
        <w:tc>
          <w:tcPr>
            <w:tcW w:w="1811" w:type="dxa"/>
            <w:vAlign w:val="center"/>
          </w:tcPr>
          <w:p w14:paraId="6B26ACB1"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Rapports individuels des membres de la task-force pour la période d’avril à décembre 2025</w:t>
            </w:r>
          </w:p>
          <w:p w14:paraId="45BBEB6D"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Membres de la taskforce équipé et formé</w:t>
            </w:r>
          </w:p>
          <w:p w14:paraId="609C9062" w14:textId="55438871" w:rsidR="00B23420" w:rsidRPr="00E11FFB"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Site en cours de structuration ;</w:t>
            </w:r>
          </w:p>
        </w:tc>
        <w:tc>
          <w:tcPr>
            <w:tcW w:w="1399" w:type="dxa"/>
            <w:vAlign w:val="center"/>
          </w:tcPr>
          <w:p w14:paraId="715BD83D"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153 868 $</w:t>
            </w:r>
          </w:p>
        </w:tc>
        <w:tc>
          <w:tcPr>
            <w:tcW w:w="2284" w:type="dxa"/>
          </w:tcPr>
          <w:p w14:paraId="6B8397CA" w14:textId="77777777" w:rsidR="00B23420" w:rsidRPr="00E11FFB" w:rsidRDefault="00B23420" w:rsidP="00B23420">
            <w:pPr>
              <w:rPr>
                <w:rFonts w:ascii="Avenir" w:eastAsia="Avenir" w:hAnsi="Avenir" w:cs="Avenir"/>
                <w:color w:val="000000"/>
                <w:sz w:val="16"/>
                <w:szCs w:val="16"/>
              </w:rPr>
            </w:pPr>
          </w:p>
        </w:tc>
      </w:tr>
    </w:tbl>
    <w:p w14:paraId="6E74D3D2" w14:textId="77777777" w:rsidR="00FE3684" w:rsidRPr="00E11FFB" w:rsidRDefault="00FE3684" w:rsidP="00FE3684"/>
    <w:p w14:paraId="7B21F04F" w14:textId="77777777" w:rsidR="00FE3684" w:rsidRPr="00E11FFB" w:rsidRDefault="00FE3684" w:rsidP="00FE3684">
      <w:r w:rsidRPr="00E11FFB">
        <w:rPr>
          <w:b/>
          <w:bCs/>
        </w:rPr>
        <w:t>Démographie</w:t>
      </w:r>
      <w:r w:rsidRPr="00E11FFB">
        <w:t xml:space="preserve"> </w:t>
      </w:r>
    </w:p>
    <w:p w14:paraId="600D076D" w14:textId="77777777" w:rsidR="00FE3684" w:rsidRPr="00E11FFB" w:rsidRDefault="00FE3684" w:rsidP="00FE3684"/>
    <w:tbl>
      <w:tblPr>
        <w:tblW w:w="99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70"/>
        <w:gridCol w:w="2400"/>
        <w:gridCol w:w="1401"/>
        <w:gridCol w:w="2290"/>
      </w:tblGrid>
      <w:tr w:rsidR="008C7197" w:rsidRPr="00E11FFB" w14:paraId="171953BA" w14:textId="77777777" w:rsidTr="008C7197">
        <w:trPr>
          <w:trHeight w:val="216"/>
        </w:trPr>
        <w:tc>
          <w:tcPr>
            <w:tcW w:w="3870" w:type="dxa"/>
            <w:shd w:val="clear" w:color="auto" w:fill="DDEBF7"/>
            <w:vAlign w:val="center"/>
          </w:tcPr>
          <w:p w14:paraId="6EE2BCD5" w14:textId="77777777" w:rsidR="00FE3684" w:rsidRPr="00E11FFB" w:rsidRDefault="00FE3684" w:rsidP="003A6DE1">
            <w:pPr>
              <w:keepNext/>
              <w:keepLines/>
              <w:rPr>
                <w:rFonts w:ascii="Avenir" w:eastAsia="Avenir" w:hAnsi="Avenir" w:cs="Avenir"/>
                <w:color w:val="000000"/>
                <w:sz w:val="16"/>
                <w:szCs w:val="16"/>
              </w:rPr>
            </w:pPr>
            <w:r w:rsidRPr="00E11FFB">
              <w:rPr>
                <w:rFonts w:ascii="Avenir" w:eastAsia="Avenir" w:hAnsi="Avenir" w:cs="Avenir"/>
                <w:color w:val="000000"/>
                <w:sz w:val="16"/>
                <w:szCs w:val="16"/>
              </w:rPr>
              <w:t xml:space="preserve">Résultats </w:t>
            </w:r>
          </w:p>
        </w:tc>
        <w:tc>
          <w:tcPr>
            <w:tcW w:w="2400" w:type="dxa"/>
            <w:vMerge w:val="restart"/>
            <w:shd w:val="clear" w:color="auto" w:fill="F4B084"/>
            <w:vAlign w:val="center"/>
          </w:tcPr>
          <w:p w14:paraId="0B732839"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45"/>
            </w:r>
          </w:p>
        </w:tc>
        <w:tc>
          <w:tcPr>
            <w:tcW w:w="1401" w:type="dxa"/>
            <w:vMerge w:val="restart"/>
            <w:shd w:val="clear" w:color="auto" w:fill="DDEBF7"/>
            <w:vAlign w:val="center"/>
          </w:tcPr>
          <w:p w14:paraId="5BDADB76"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46"/>
            </w:r>
          </w:p>
        </w:tc>
        <w:tc>
          <w:tcPr>
            <w:tcW w:w="2290" w:type="dxa"/>
            <w:vMerge w:val="restart"/>
            <w:shd w:val="clear" w:color="auto" w:fill="DDEBF7"/>
          </w:tcPr>
          <w:p w14:paraId="76222604"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8C7197" w:rsidRPr="00E11FFB" w14:paraId="508F9DF1" w14:textId="77777777" w:rsidTr="008C7197">
        <w:trPr>
          <w:trHeight w:val="226"/>
        </w:trPr>
        <w:tc>
          <w:tcPr>
            <w:tcW w:w="3870" w:type="dxa"/>
            <w:shd w:val="clear" w:color="auto" w:fill="DDEBF7"/>
            <w:vAlign w:val="center"/>
          </w:tcPr>
          <w:p w14:paraId="41ADCC2E"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2400" w:type="dxa"/>
            <w:vMerge/>
            <w:shd w:val="clear" w:color="auto" w:fill="F4B084"/>
            <w:vAlign w:val="center"/>
          </w:tcPr>
          <w:p w14:paraId="437ED0BC"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1401" w:type="dxa"/>
            <w:vMerge/>
            <w:shd w:val="clear" w:color="auto" w:fill="DDEBF7"/>
            <w:vAlign w:val="center"/>
          </w:tcPr>
          <w:p w14:paraId="731A95D5"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2290" w:type="dxa"/>
            <w:vMerge/>
            <w:shd w:val="clear" w:color="auto" w:fill="DDEBF7"/>
          </w:tcPr>
          <w:p w14:paraId="5DF30EE7"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r>
      <w:tr w:rsidR="008C7197" w:rsidRPr="00E11FFB" w14:paraId="10811D67" w14:textId="77777777" w:rsidTr="008C7197">
        <w:trPr>
          <w:trHeight w:val="226"/>
        </w:trPr>
        <w:tc>
          <w:tcPr>
            <w:tcW w:w="3870" w:type="dxa"/>
            <w:vAlign w:val="center"/>
          </w:tcPr>
          <w:p w14:paraId="30AB0137"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4 : La RDC dispose d’une Politique des Populations et la met en œuvre.</w:t>
            </w:r>
          </w:p>
        </w:tc>
        <w:tc>
          <w:tcPr>
            <w:tcW w:w="2400" w:type="dxa"/>
            <w:vAlign w:val="center"/>
          </w:tcPr>
          <w:p w14:paraId="2B5A6C94" w14:textId="77777777" w:rsidR="00FE3684" w:rsidRPr="00E11FFB" w:rsidRDefault="00FE3684" w:rsidP="003A6DE1">
            <w:pPr>
              <w:rPr>
                <w:rFonts w:ascii="Avenir" w:eastAsia="Avenir" w:hAnsi="Avenir" w:cs="Avenir"/>
                <w:color w:val="000000"/>
                <w:sz w:val="16"/>
                <w:szCs w:val="16"/>
              </w:rPr>
            </w:pPr>
          </w:p>
        </w:tc>
        <w:tc>
          <w:tcPr>
            <w:tcW w:w="1401" w:type="dxa"/>
            <w:vAlign w:val="center"/>
          </w:tcPr>
          <w:p w14:paraId="47043C30"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430 200 $</w:t>
            </w:r>
          </w:p>
        </w:tc>
        <w:tc>
          <w:tcPr>
            <w:tcW w:w="2290" w:type="dxa"/>
          </w:tcPr>
          <w:p w14:paraId="0885CFCA" w14:textId="77777777" w:rsidR="00FE3684" w:rsidRPr="00E11FFB" w:rsidRDefault="00FE3684" w:rsidP="003A6DE1">
            <w:pPr>
              <w:rPr>
                <w:rFonts w:ascii="Avenir" w:eastAsia="Avenir" w:hAnsi="Avenir" w:cs="Avenir"/>
                <w:color w:val="000000"/>
                <w:sz w:val="16"/>
                <w:szCs w:val="16"/>
              </w:rPr>
            </w:pPr>
          </w:p>
        </w:tc>
      </w:tr>
      <w:tr w:rsidR="008C7197" w:rsidRPr="00E11FFB" w14:paraId="1796AEBC" w14:textId="77777777" w:rsidTr="002142A2">
        <w:trPr>
          <w:trHeight w:val="226"/>
        </w:trPr>
        <w:tc>
          <w:tcPr>
            <w:tcW w:w="3870" w:type="dxa"/>
          </w:tcPr>
          <w:p w14:paraId="4451A18E"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Produit 4.1 : Le Comité national de population (CONAPO), y compris son secrétariat est redynamisé et ses comités provinciaux sont installés et redynamisés dans au moins 6 provinces d'ici 2023 et 4 autres dans au moins 4 provinces d'ici 2025.</w:t>
            </w:r>
          </w:p>
        </w:tc>
        <w:tc>
          <w:tcPr>
            <w:tcW w:w="2400" w:type="dxa"/>
            <w:vAlign w:val="center"/>
          </w:tcPr>
          <w:p w14:paraId="0E412992"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2 réunions tenues</w:t>
            </w:r>
          </w:p>
          <w:p w14:paraId="74E483C7"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3 réunions tenues</w:t>
            </w:r>
          </w:p>
          <w:p w14:paraId="7DA05CE7"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Equipement du secrétariat, 7 rapports de fonctionnement mensuel</w:t>
            </w:r>
          </w:p>
          <w:p w14:paraId="0AAF93B7" w14:textId="0C19149D" w:rsidR="00FE3684" w:rsidRPr="00E11FFB"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Lettre transmise au ministre de l’Intérieur pour Instruire les gouverneurs de l'urgence, projet d’arrêté CPPO, missions en province pour l’installation de CPPO.</w:t>
            </w:r>
          </w:p>
        </w:tc>
        <w:tc>
          <w:tcPr>
            <w:tcW w:w="1401" w:type="dxa"/>
            <w:vAlign w:val="center"/>
          </w:tcPr>
          <w:p w14:paraId="0CC27FC4"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92 225 $</w:t>
            </w:r>
          </w:p>
        </w:tc>
        <w:tc>
          <w:tcPr>
            <w:tcW w:w="2290" w:type="dxa"/>
          </w:tcPr>
          <w:p w14:paraId="1CAC4318" w14:textId="77777777" w:rsidR="00FE3684" w:rsidRPr="00E11FFB" w:rsidRDefault="00FE3684" w:rsidP="003A6DE1">
            <w:pPr>
              <w:rPr>
                <w:rFonts w:ascii="Avenir" w:eastAsia="Avenir" w:hAnsi="Avenir" w:cs="Avenir"/>
                <w:color w:val="000000"/>
                <w:sz w:val="16"/>
                <w:szCs w:val="16"/>
              </w:rPr>
            </w:pPr>
          </w:p>
        </w:tc>
      </w:tr>
      <w:tr w:rsidR="00B23420" w:rsidRPr="00E11FFB" w14:paraId="07A9B1A2" w14:textId="77777777" w:rsidTr="002142A2">
        <w:trPr>
          <w:trHeight w:val="226"/>
        </w:trPr>
        <w:tc>
          <w:tcPr>
            <w:tcW w:w="3870" w:type="dxa"/>
          </w:tcPr>
          <w:p w14:paraId="3D8FCB53"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4.2 La Politique Nationale de Population (PNP) est élaborée et adoptée</w:t>
            </w:r>
          </w:p>
        </w:tc>
        <w:tc>
          <w:tcPr>
            <w:tcW w:w="2400" w:type="dxa"/>
            <w:vAlign w:val="center"/>
          </w:tcPr>
          <w:p w14:paraId="5077FA9B" w14:textId="11B2656E"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Consultations provinciales sur le diagnostic démographique, production de 4 drafts (note de cadrage draft, note de cadrage final, Profil démographique et PNP draft 0)</w:t>
            </w:r>
          </w:p>
        </w:tc>
        <w:tc>
          <w:tcPr>
            <w:tcW w:w="1401" w:type="dxa"/>
            <w:vAlign w:val="center"/>
          </w:tcPr>
          <w:p w14:paraId="25D5E2C7"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181 000 $</w:t>
            </w:r>
          </w:p>
        </w:tc>
        <w:tc>
          <w:tcPr>
            <w:tcW w:w="2290" w:type="dxa"/>
          </w:tcPr>
          <w:p w14:paraId="1969B74D" w14:textId="77777777" w:rsidR="00B23420" w:rsidRPr="00E11FFB" w:rsidRDefault="00B23420" w:rsidP="00B23420">
            <w:pPr>
              <w:rPr>
                <w:rFonts w:ascii="Avenir" w:eastAsia="Avenir" w:hAnsi="Avenir" w:cs="Avenir"/>
                <w:color w:val="000000"/>
                <w:sz w:val="16"/>
                <w:szCs w:val="16"/>
              </w:rPr>
            </w:pPr>
          </w:p>
        </w:tc>
      </w:tr>
      <w:tr w:rsidR="00B23420" w:rsidRPr="00E11FFB" w14:paraId="6BF517D9" w14:textId="77777777" w:rsidTr="002142A2">
        <w:trPr>
          <w:trHeight w:val="226"/>
        </w:trPr>
        <w:tc>
          <w:tcPr>
            <w:tcW w:w="3870" w:type="dxa"/>
          </w:tcPr>
          <w:p w14:paraId="08A22D6D"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4.3 : Le Plan de plaidoyer auprès du Gouvernement pour l'allocation d'une ligne des crédits consistants au CONAPO est adopté d’ici fin 2023.</w:t>
            </w:r>
          </w:p>
        </w:tc>
        <w:tc>
          <w:tcPr>
            <w:tcW w:w="2400" w:type="dxa"/>
          </w:tcPr>
          <w:p w14:paraId="50B553FC" w14:textId="510ED0AC" w:rsidR="00B23420" w:rsidRPr="00E11FFB" w:rsidRDefault="00B23420" w:rsidP="00B23420">
            <w:pPr>
              <w:rPr>
                <w:rFonts w:ascii="Avenir" w:eastAsia="Avenir" w:hAnsi="Avenir" w:cs="Avenir"/>
                <w:color w:val="000000"/>
                <w:sz w:val="16"/>
                <w:szCs w:val="16"/>
              </w:rPr>
            </w:pPr>
            <w:r w:rsidRPr="00E11FFB">
              <w:rPr>
                <w:rFonts w:ascii="Avenir" w:eastAsia="Avenir" w:hAnsi="Avenir" w:cs="Avenir"/>
                <w:bCs/>
                <w:color w:val="000000"/>
                <w:sz w:val="16"/>
                <w:szCs w:val="16"/>
              </w:rPr>
              <w:t>2 séance tenue avec Finance et Budget</w:t>
            </w:r>
          </w:p>
        </w:tc>
        <w:tc>
          <w:tcPr>
            <w:tcW w:w="1401" w:type="dxa"/>
            <w:vAlign w:val="center"/>
          </w:tcPr>
          <w:p w14:paraId="5763DCE3"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6 500 $</w:t>
            </w:r>
          </w:p>
        </w:tc>
        <w:tc>
          <w:tcPr>
            <w:tcW w:w="2290" w:type="dxa"/>
          </w:tcPr>
          <w:p w14:paraId="2D1DD159" w14:textId="77777777" w:rsidR="00B23420" w:rsidRPr="00E11FFB" w:rsidRDefault="00B23420" w:rsidP="00B23420">
            <w:pPr>
              <w:rPr>
                <w:rFonts w:ascii="Avenir" w:eastAsia="Avenir" w:hAnsi="Avenir" w:cs="Avenir"/>
                <w:color w:val="000000"/>
                <w:sz w:val="16"/>
                <w:szCs w:val="16"/>
              </w:rPr>
            </w:pPr>
          </w:p>
        </w:tc>
      </w:tr>
      <w:tr w:rsidR="00B23420" w:rsidRPr="00E11FFB" w14:paraId="2AABEFE6" w14:textId="77777777" w:rsidTr="002142A2">
        <w:trPr>
          <w:trHeight w:val="226"/>
        </w:trPr>
        <w:tc>
          <w:tcPr>
            <w:tcW w:w="3870" w:type="dxa"/>
          </w:tcPr>
          <w:p w14:paraId="7A322DF1"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Produit 4.4 Les capacités humaines et techniques du Ministère du Plan dans la mise en œuvre de la Politique Nationale de Population sont renforcées.</w:t>
            </w:r>
          </w:p>
        </w:tc>
        <w:tc>
          <w:tcPr>
            <w:tcW w:w="2400" w:type="dxa"/>
            <w:vAlign w:val="center"/>
          </w:tcPr>
          <w:p w14:paraId="6268A26D"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Rapports individuels des membres de la task-force pour la période d’avril à décembre 2025</w:t>
            </w:r>
          </w:p>
          <w:p w14:paraId="632C1CFE" w14:textId="77777777" w:rsidR="00B23420" w:rsidRPr="00B23420"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Membres de la taskforce équipé et formé</w:t>
            </w:r>
          </w:p>
          <w:p w14:paraId="72197361" w14:textId="2E611D9B" w:rsidR="00B23420" w:rsidRPr="00E11FFB" w:rsidRDefault="00B23420" w:rsidP="00B23420">
            <w:pPr>
              <w:rPr>
                <w:rFonts w:ascii="Avenir" w:eastAsia="Avenir" w:hAnsi="Avenir" w:cs="Avenir"/>
                <w:color w:val="000000"/>
                <w:sz w:val="16"/>
                <w:szCs w:val="16"/>
              </w:rPr>
            </w:pPr>
            <w:r w:rsidRPr="00B23420">
              <w:rPr>
                <w:rFonts w:ascii="Avenir" w:eastAsia="Avenir" w:hAnsi="Avenir" w:cs="Avenir"/>
                <w:color w:val="000000"/>
                <w:sz w:val="16"/>
                <w:szCs w:val="16"/>
              </w:rPr>
              <w:t>1 site fonctionnel</w:t>
            </w:r>
          </w:p>
        </w:tc>
        <w:tc>
          <w:tcPr>
            <w:tcW w:w="1401" w:type="dxa"/>
            <w:vAlign w:val="center"/>
          </w:tcPr>
          <w:p w14:paraId="556C41C1" w14:textId="77777777" w:rsidR="00B23420" w:rsidRPr="00E11FFB" w:rsidRDefault="00B23420" w:rsidP="00B23420">
            <w:pPr>
              <w:rPr>
                <w:rFonts w:ascii="Avenir" w:eastAsia="Avenir" w:hAnsi="Avenir" w:cs="Avenir"/>
                <w:color w:val="000000"/>
                <w:sz w:val="16"/>
                <w:szCs w:val="16"/>
              </w:rPr>
            </w:pPr>
            <w:r w:rsidRPr="00E11FFB">
              <w:rPr>
                <w:rFonts w:ascii="Avenir" w:eastAsia="Avenir" w:hAnsi="Avenir" w:cs="Avenir"/>
                <w:color w:val="000000"/>
                <w:sz w:val="16"/>
                <w:szCs w:val="16"/>
              </w:rPr>
              <w:t>150 475 $</w:t>
            </w:r>
          </w:p>
        </w:tc>
        <w:tc>
          <w:tcPr>
            <w:tcW w:w="2290" w:type="dxa"/>
          </w:tcPr>
          <w:p w14:paraId="35236A25" w14:textId="77777777" w:rsidR="00B23420" w:rsidRPr="00E11FFB" w:rsidRDefault="00B23420" w:rsidP="00B23420">
            <w:pPr>
              <w:rPr>
                <w:rFonts w:ascii="Avenir" w:eastAsia="Avenir" w:hAnsi="Avenir" w:cs="Avenir"/>
                <w:color w:val="000000"/>
                <w:sz w:val="16"/>
                <w:szCs w:val="16"/>
              </w:rPr>
            </w:pPr>
          </w:p>
        </w:tc>
      </w:tr>
    </w:tbl>
    <w:p w14:paraId="2F0BB14E" w14:textId="77777777" w:rsidR="00FE3684" w:rsidRPr="00E11FFB" w:rsidRDefault="00FE3684" w:rsidP="00FE3684"/>
    <w:p w14:paraId="6E9DC3D7" w14:textId="77777777" w:rsidR="00FE3684" w:rsidRPr="00E11FFB" w:rsidRDefault="00FE3684" w:rsidP="00FE3684">
      <w:pPr>
        <w:rPr>
          <w:b/>
          <w:bCs/>
        </w:rPr>
      </w:pPr>
      <w:r w:rsidRPr="00E11FFB">
        <w:rPr>
          <w:b/>
          <w:bCs/>
        </w:rPr>
        <w:t>Mines et hydrocarbures</w:t>
      </w:r>
    </w:p>
    <w:p w14:paraId="356F0C63" w14:textId="77777777" w:rsidR="00FE3684" w:rsidRPr="00E11FFB" w:rsidRDefault="00FE3684" w:rsidP="00FE3684"/>
    <w:tbl>
      <w:tblPr>
        <w:tblW w:w="9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57"/>
        <w:gridCol w:w="1815"/>
        <w:gridCol w:w="1403"/>
        <w:gridCol w:w="2290"/>
      </w:tblGrid>
      <w:tr w:rsidR="00FE3684" w:rsidRPr="00E11FFB" w14:paraId="55B3BAE7" w14:textId="77777777" w:rsidTr="00E611DF">
        <w:trPr>
          <w:trHeight w:val="331"/>
        </w:trPr>
        <w:tc>
          <w:tcPr>
            <w:tcW w:w="4457" w:type="dxa"/>
            <w:shd w:val="clear" w:color="auto" w:fill="DDEBF7"/>
            <w:vAlign w:val="center"/>
          </w:tcPr>
          <w:p w14:paraId="003B006B" w14:textId="77777777" w:rsidR="00FE3684" w:rsidRPr="00E11FFB" w:rsidRDefault="00FE3684" w:rsidP="003A6DE1">
            <w:pPr>
              <w:keepNext/>
              <w:keepLines/>
              <w:rPr>
                <w:rFonts w:ascii="Avenir" w:eastAsia="Avenir" w:hAnsi="Avenir" w:cs="Avenir"/>
                <w:color w:val="000000"/>
                <w:sz w:val="16"/>
                <w:szCs w:val="16"/>
              </w:rPr>
            </w:pPr>
            <w:r w:rsidRPr="00E11FFB">
              <w:rPr>
                <w:rFonts w:ascii="Avenir" w:eastAsia="Avenir" w:hAnsi="Avenir" w:cs="Avenir"/>
                <w:color w:val="000000"/>
                <w:sz w:val="16"/>
                <w:szCs w:val="16"/>
              </w:rPr>
              <w:t xml:space="preserve">Résultats </w:t>
            </w:r>
          </w:p>
        </w:tc>
        <w:tc>
          <w:tcPr>
            <w:tcW w:w="1815" w:type="dxa"/>
            <w:vMerge w:val="restart"/>
            <w:shd w:val="clear" w:color="auto" w:fill="F4B084"/>
            <w:vAlign w:val="center"/>
          </w:tcPr>
          <w:p w14:paraId="728BC32A"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47"/>
            </w:r>
          </w:p>
        </w:tc>
        <w:tc>
          <w:tcPr>
            <w:tcW w:w="1403" w:type="dxa"/>
            <w:vMerge w:val="restart"/>
            <w:shd w:val="clear" w:color="auto" w:fill="DDEBF7"/>
            <w:vAlign w:val="center"/>
          </w:tcPr>
          <w:p w14:paraId="76CB083C"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48"/>
            </w:r>
          </w:p>
        </w:tc>
        <w:tc>
          <w:tcPr>
            <w:tcW w:w="2290" w:type="dxa"/>
            <w:vMerge w:val="restart"/>
            <w:shd w:val="clear" w:color="auto" w:fill="DDEBF7"/>
          </w:tcPr>
          <w:p w14:paraId="6607D643"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FE3684" w:rsidRPr="00E11FFB" w14:paraId="4B1F8AC2" w14:textId="77777777" w:rsidTr="00E611DF">
        <w:trPr>
          <w:trHeight w:val="347"/>
        </w:trPr>
        <w:tc>
          <w:tcPr>
            <w:tcW w:w="4457" w:type="dxa"/>
            <w:shd w:val="clear" w:color="auto" w:fill="DDEBF7"/>
            <w:vAlign w:val="center"/>
          </w:tcPr>
          <w:p w14:paraId="6B1625B4"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1815" w:type="dxa"/>
            <w:vMerge/>
            <w:shd w:val="clear" w:color="auto" w:fill="F4B084"/>
            <w:vAlign w:val="center"/>
          </w:tcPr>
          <w:p w14:paraId="4BB158E9"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1403" w:type="dxa"/>
            <w:vMerge/>
            <w:shd w:val="clear" w:color="auto" w:fill="DDEBF7"/>
            <w:vAlign w:val="center"/>
          </w:tcPr>
          <w:p w14:paraId="6DACB97C"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2290" w:type="dxa"/>
            <w:vMerge/>
            <w:shd w:val="clear" w:color="auto" w:fill="DDEBF7"/>
          </w:tcPr>
          <w:p w14:paraId="1654B7E5"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r>
      <w:tr w:rsidR="00FE3684" w:rsidRPr="00E11FFB" w14:paraId="179F6878" w14:textId="77777777" w:rsidTr="00E611DF">
        <w:trPr>
          <w:trHeight w:val="347"/>
        </w:trPr>
        <w:tc>
          <w:tcPr>
            <w:tcW w:w="4457" w:type="dxa"/>
            <w:vAlign w:val="center"/>
          </w:tcPr>
          <w:p w14:paraId="141B01A8"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5 : L’exploitation minière est gérée avec transparence et obéit à des normes socio environnementales</w:t>
            </w:r>
          </w:p>
        </w:tc>
        <w:tc>
          <w:tcPr>
            <w:tcW w:w="1815" w:type="dxa"/>
            <w:vAlign w:val="center"/>
          </w:tcPr>
          <w:p w14:paraId="6B1B40F4" w14:textId="77777777" w:rsidR="00FE3684" w:rsidRPr="00E11FFB" w:rsidRDefault="00FE3684" w:rsidP="003A6DE1">
            <w:pPr>
              <w:rPr>
                <w:rFonts w:ascii="Avenir" w:eastAsia="Avenir" w:hAnsi="Avenir" w:cs="Avenir"/>
                <w:color w:val="000000"/>
                <w:sz w:val="16"/>
                <w:szCs w:val="16"/>
              </w:rPr>
            </w:pPr>
          </w:p>
        </w:tc>
        <w:tc>
          <w:tcPr>
            <w:tcW w:w="1403" w:type="dxa"/>
            <w:vAlign w:val="center"/>
          </w:tcPr>
          <w:p w14:paraId="0F97AFF4"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xml:space="preserve"> 115 650 $ </w:t>
            </w:r>
          </w:p>
        </w:tc>
        <w:tc>
          <w:tcPr>
            <w:tcW w:w="2290" w:type="dxa"/>
          </w:tcPr>
          <w:p w14:paraId="4945D8EA" w14:textId="77777777" w:rsidR="00FE3684" w:rsidRPr="00E11FFB" w:rsidRDefault="00FE3684" w:rsidP="003A6DE1">
            <w:pPr>
              <w:rPr>
                <w:rFonts w:ascii="Avenir" w:eastAsia="Avenir" w:hAnsi="Avenir" w:cs="Avenir"/>
                <w:color w:val="000000"/>
                <w:sz w:val="16"/>
                <w:szCs w:val="16"/>
              </w:rPr>
            </w:pPr>
          </w:p>
        </w:tc>
      </w:tr>
      <w:tr w:rsidR="00A47EE9" w:rsidRPr="00E11FFB" w14:paraId="46F56E08" w14:textId="77777777" w:rsidTr="00A47EE9">
        <w:trPr>
          <w:trHeight w:val="347"/>
        </w:trPr>
        <w:tc>
          <w:tcPr>
            <w:tcW w:w="4457" w:type="dxa"/>
          </w:tcPr>
          <w:p w14:paraId="597786CE"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Produit 5.1 : Démontrer la mise en œuvre des obligations légales de réalisation des évaluations environnementales et sociales par les opérateurs exerçant dans les secteurs forêt, mines, hydrocarbures, agriculture, infrastructures et énergie, etc.</w:t>
            </w:r>
          </w:p>
        </w:tc>
        <w:tc>
          <w:tcPr>
            <w:tcW w:w="1815" w:type="dxa"/>
            <w:vAlign w:val="center"/>
          </w:tcPr>
          <w:p w14:paraId="396FAC39"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2 projets d’acte validés (mines et hydro)</w:t>
            </w:r>
          </w:p>
          <w:p w14:paraId="0C2EDC47"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25 personnes formées mines et 20 hydro</w:t>
            </w:r>
          </w:p>
          <w:p w14:paraId="597B640D" w14:textId="7CC553E6"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1 mission de contrôle environnemental d’une société pétrolière</w:t>
            </w:r>
          </w:p>
        </w:tc>
        <w:tc>
          <w:tcPr>
            <w:tcW w:w="1403" w:type="dxa"/>
            <w:vAlign w:val="center"/>
          </w:tcPr>
          <w:p w14:paraId="6DBA310B" w14:textId="642F03DD" w:rsidR="00A47EE9" w:rsidRPr="00E11FFB" w:rsidRDefault="00A47EE9" w:rsidP="00A47EE9">
            <w:pPr>
              <w:jc w:val="center"/>
              <w:rPr>
                <w:rFonts w:ascii="Avenir" w:eastAsia="Avenir" w:hAnsi="Avenir" w:cs="Avenir"/>
                <w:color w:val="000000"/>
                <w:sz w:val="16"/>
                <w:szCs w:val="16"/>
              </w:rPr>
            </w:pPr>
            <w:r w:rsidRPr="00A47EE9">
              <w:rPr>
                <w:rFonts w:ascii="Avenir" w:eastAsia="Avenir" w:hAnsi="Avenir" w:cs="Avenir"/>
                <w:color w:val="000000"/>
                <w:sz w:val="16"/>
                <w:szCs w:val="16"/>
              </w:rPr>
              <w:t>33 575,00</w:t>
            </w:r>
          </w:p>
        </w:tc>
        <w:tc>
          <w:tcPr>
            <w:tcW w:w="2290" w:type="dxa"/>
          </w:tcPr>
          <w:p w14:paraId="1AF86989" w14:textId="77777777" w:rsidR="00A47EE9" w:rsidRPr="00E11FFB" w:rsidRDefault="00A47EE9" w:rsidP="00A47EE9">
            <w:pPr>
              <w:rPr>
                <w:rFonts w:ascii="Avenir" w:eastAsia="Avenir" w:hAnsi="Avenir" w:cs="Avenir"/>
                <w:color w:val="000000"/>
                <w:sz w:val="16"/>
                <w:szCs w:val="16"/>
              </w:rPr>
            </w:pPr>
          </w:p>
        </w:tc>
      </w:tr>
      <w:tr w:rsidR="00A47EE9" w:rsidRPr="00E11FFB" w14:paraId="110D978C" w14:textId="77777777" w:rsidTr="00A47EE9">
        <w:trPr>
          <w:trHeight w:val="347"/>
        </w:trPr>
        <w:tc>
          <w:tcPr>
            <w:tcW w:w="4457" w:type="dxa"/>
          </w:tcPr>
          <w:p w14:paraId="6B7FB5F8"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Produit 5.2 : Les contrats miniers et des hydrocarbures sont publiés.</w:t>
            </w:r>
          </w:p>
        </w:tc>
        <w:tc>
          <w:tcPr>
            <w:tcW w:w="1815" w:type="dxa"/>
            <w:vAlign w:val="center"/>
          </w:tcPr>
          <w:p w14:paraId="02FDF11B"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2 sites opérationnels</w:t>
            </w:r>
          </w:p>
          <w:p w14:paraId="631741B8"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6 contrats du secteur minier publié, anciens contrats hydrocarbures publiés</w:t>
            </w:r>
          </w:p>
          <w:p w14:paraId="0E41106F"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Plus de 20 séances de préparation données</w:t>
            </w:r>
          </w:p>
          <w:p w14:paraId="1D74D60E" w14:textId="71201B9B"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1 formation des agents sur la publication des contrats hydrocarbures (datawarehouse)</w:t>
            </w:r>
          </w:p>
        </w:tc>
        <w:tc>
          <w:tcPr>
            <w:tcW w:w="1403" w:type="dxa"/>
            <w:vAlign w:val="center"/>
          </w:tcPr>
          <w:p w14:paraId="2644A8FC" w14:textId="6A785BFE" w:rsidR="00A47EE9" w:rsidRPr="00E11FFB" w:rsidRDefault="00A47EE9" w:rsidP="00A47EE9">
            <w:pPr>
              <w:jc w:val="center"/>
              <w:rPr>
                <w:rFonts w:ascii="Avenir" w:eastAsia="Avenir" w:hAnsi="Avenir" w:cs="Avenir"/>
                <w:color w:val="000000"/>
                <w:sz w:val="16"/>
                <w:szCs w:val="16"/>
              </w:rPr>
            </w:pPr>
            <w:r w:rsidRPr="00A47EE9">
              <w:rPr>
                <w:rFonts w:ascii="Avenir" w:eastAsia="Avenir" w:hAnsi="Avenir" w:cs="Avenir"/>
                <w:color w:val="000000"/>
                <w:sz w:val="16"/>
                <w:szCs w:val="16"/>
              </w:rPr>
              <w:t>3 700,00</w:t>
            </w:r>
          </w:p>
        </w:tc>
        <w:tc>
          <w:tcPr>
            <w:tcW w:w="2290" w:type="dxa"/>
          </w:tcPr>
          <w:p w14:paraId="3313937B" w14:textId="77777777" w:rsidR="00A47EE9" w:rsidRPr="00E11FFB" w:rsidRDefault="00A47EE9" w:rsidP="00A47EE9">
            <w:pPr>
              <w:rPr>
                <w:rFonts w:ascii="Avenir" w:eastAsia="Avenir" w:hAnsi="Avenir" w:cs="Avenir"/>
                <w:color w:val="000000"/>
                <w:sz w:val="16"/>
                <w:szCs w:val="16"/>
              </w:rPr>
            </w:pPr>
          </w:p>
        </w:tc>
      </w:tr>
      <w:tr w:rsidR="00A47EE9" w:rsidRPr="00E11FFB" w14:paraId="557BD6E7" w14:textId="77777777" w:rsidTr="00A47EE9">
        <w:trPr>
          <w:trHeight w:val="347"/>
        </w:trPr>
        <w:tc>
          <w:tcPr>
            <w:tcW w:w="4457" w:type="dxa"/>
          </w:tcPr>
          <w:p w14:paraId="548700F9"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Produit 5.3 : Les Normes REDD+ sont élaborées de manière participative, adoptées dans le Manuel d'Opérations et de procédures des évaluations environnementales et sociales, assorties d'un mécanisme d'audit indépendant.</w:t>
            </w:r>
          </w:p>
        </w:tc>
        <w:tc>
          <w:tcPr>
            <w:tcW w:w="1815" w:type="dxa"/>
            <w:vAlign w:val="center"/>
          </w:tcPr>
          <w:p w14:paraId="3F8EE616"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 xml:space="preserve">Réunions organisées avec la GIZ pour la coordination d’action dans l’élaboration du plan national d’hydrocarbures, une feuille de route produite pour le PNH </w:t>
            </w:r>
          </w:p>
          <w:p w14:paraId="5A3D38FB" w14:textId="681DA00C"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1 Draft 0 du PNH</w:t>
            </w:r>
          </w:p>
        </w:tc>
        <w:tc>
          <w:tcPr>
            <w:tcW w:w="1403" w:type="dxa"/>
            <w:vAlign w:val="center"/>
          </w:tcPr>
          <w:p w14:paraId="79BFDDEE" w14:textId="64B296EE" w:rsidR="00A47EE9" w:rsidRPr="00E11FFB" w:rsidRDefault="00A47EE9" w:rsidP="00A47EE9">
            <w:pPr>
              <w:jc w:val="center"/>
              <w:rPr>
                <w:rFonts w:ascii="Avenir" w:eastAsia="Avenir" w:hAnsi="Avenir" w:cs="Avenir"/>
                <w:color w:val="000000"/>
                <w:sz w:val="16"/>
                <w:szCs w:val="16"/>
              </w:rPr>
            </w:pPr>
            <w:r w:rsidRPr="00A47EE9">
              <w:rPr>
                <w:rFonts w:ascii="Avenir" w:eastAsia="Avenir" w:hAnsi="Avenir" w:cs="Avenir"/>
                <w:color w:val="000000"/>
                <w:sz w:val="16"/>
                <w:szCs w:val="16"/>
              </w:rPr>
              <w:t>4 910,00</w:t>
            </w:r>
          </w:p>
        </w:tc>
        <w:tc>
          <w:tcPr>
            <w:tcW w:w="2290" w:type="dxa"/>
          </w:tcPr>
          <w:p w14:paraId="50B1F11D" w14:textId="77777777" w:rsidR="00A47EE9" w:rsidRPr="00E11FFB" w:rsidRDefault="00A47EE9" w:rsidP="00A47EE9">
            <w:pPr>
              <w:rPr>
                <w:rFonts w:ascii="Avenir" w:eastAsia="Avenir" w:hAnsi="Avenir" w:cs="Avenir"/>
                <w:color w:val="000000"/>
                <w:sz w:val="16"/>
                <w:szCs w:val="16"/>
              </w:rPr>
            </w:pPr>
          </w:p>
        </w:tc>
      </w:tr>
      <w:tr w:rsidR="00A47EE9" w:rsidRPr="00E11FFB" w14:paraId="499ADCE9" w14:textId="77777777" w:rsidTr="00A47EE9">
        <w:trPr>
          <w:trHeight w:val="347"/>
        </w:trPr>
        <w:tc>
          <w:tcPr>
            <w:tcW w:w="4457" w:type="dxa"/>
          </w:tcPr>
          <w:p w14:paraId="1CA8E3E6" w14:textId="77777777" w:rsidR="00A47EE9" w:rsidRPr="00E11FFB" w:rsidRDefault="00A47EE9" w:rsidP="00A47EE9">
            <w:pPr>
              <w:rPr>
                <w:rFonts w:ascii="Avenir" w:eastAsia="Avenir" w:hAnsi="Avenir" w:cs="Avenir"/>
                <w:color w:val="000000"/>
                <w:sz w:val="16"/>
                <w:szCs w:val="16"/>
              </w:rPr>
            </w:pPr>
            <w:r w:rsidRPr="00E11FFB">
              <w:rPr>
                <w:rFonts w:ascii="Avenir" w:eastAsia="Avenir" w:hAnsi="Avenir" w:cs="Avenir"/>
                <w:color w:val="000000"/>
                <w:sz w:val="16"/>
                <w:szCs w:val="16"/>
              </w:rPr>
              <w:t>Produit 5.4 Les capacités humaines et techniques des Ministères des Mines et des Hydrocarbures dans la mise en œuvre des Politiques environnementales et sociales sont renforcées.</w:t>
            </w:r>
          </w:p>
        </w:tc>
        <w:tc>
          <w:tcPr>
            <w:tcW w:w="1815" w:type="dxa"/>
            <w:vAlign w:val="center"/>
          </w:tcPr>
          <w:p w14:paraId="76D96E7E" w14:textId="77777777" w:rsidR="00A47EE9" w:rsidRPr="00493996" w:rsidRDefault="00A47EE9" w:rsidP="00A47EE9">
            <w:pPr>
              <w:rPr>
                <w:rFonts w:ascii="Avenir" w:eastAsia="Avenir" w:hAnsi="Avenir" w:cs="Avenir"/>
                <w:color w:val="000000"/>
                <w:sz w:val="16"/>
                <w:szCs w:val="16"/>
              </w:rPr>
            </w:pPr>
            <w:r w:rsidRPr="00493996">
              <w:rPr>
                <w:rFonts w:ascii="Avenir" w:eastAsia="Avenir" w:hAnsi="Avenir" w:cs="Avenir"/>
                <w:color w:val="000000"/>
                <w:sz w:val="16"/>
                <w:szCs w:val="16"/>
              </w:rPr>
              <w:t>Rapports individuels des membres de la task-force pour la période d’avril à décembre 2025</w:t>
            </w:r>
          </w:p>
          <w:p w14:paraId="0E70CD7D" w14:textId="77777777" w:rsidR="00A47EE9" w:rsidRPr="00493996" w:rsidRDefault="00A47EE9" w:rsidP="00A47EE9">
            <w:pPr>
              <w:rPr>
                <w:rFonts w:ascii="Avenir" w:eastAsia="Avenir" w:hAnsi="Avenir" w:cs="Avenir"/>
                <w:color w:val="000000"/>
                <w:sz w:val="16"/>
                <w:szCs w:val="16"/>
              </w:rPr>
            </w:pPr>
            <w:r w:rsidRPr="00493996">
              <w:rPr>
                <w:rFonts w:ascii="Avenir" w:eastAsia="Avenir" w:hAnsi="Avenir" w:cs="Avenir"/>
                <w:color w:val="000000"/>
                <w:sz w:val="16"/>
                <w:szCs w:val="16"/>
              </w:rPr>
              <w:t>Membres de la taskforce équipé et formé</w:t>
            </w:r>
          </w:p>
          <w:p w14:paraId="163BB66A" w14:textId="1887F5AD" w:rsidR="00A47EE9" w:rsidRPr="00E11FFB" w:rsidRDefault="00A47EE9" w:rsidP="00A47EE9">
            <w:pPr>
              <w:rPr>
                <w:rFonts w:ascii="Avenir" w:eastAsia="Avenir" w:hAnsi="Avenir" w:cs="Avenir"/>
                <w:color w:val="000000"/>
                <w:sz w:val="16"/>
                <w:szCs w:val="16"/>
              </w:rPr>
            </w:pPr>
            <w:r w:rsidRPr="00493996">
              <w:rPr>
                <w:rFonts w:ascii="Avenir" w:eastAsia="Avenir" w:hAnsi="Avenir" w:cs="Avenir"/>
                <w:color w:val="000000"/>
                <w:sz w:val="16"/>
                <w:szCs w:val="16"/>
              </w:rPr>
              <w:t>2 sites fonctionnels pour les contrats et les activités PAAJ (en cours de finalisation pour hydro)</w:t>
            </w:r>
          </w:p>
        </w:tc>
        <w:tc>
          <w:tcPr>
            <w:tcW w:w="1403" w:type="dxa"/>
            <w:vAlign w:val="center"/>
          </w:tcPr>
          <w:p w14:paraId="0BD1BB68" w14:textId="02ECCE26" w:rsidR="00A47EE9" w:rsidRPr="00E11FFB" w:rsidRDefault="00A47EE9" w:rsidP="00A47EE9">
            <w:pPr>
              <w:jc w:val="center"/>
              <w:rPr>
                <w:rFonts w:ascii="Avenir" w:eastAsia="Avenir" w:hAnsi="Avenir" w:cs="Avenir"/>
                <w:color w:val="000000"/>
                <w:sz w:val="16"/>
                <w:szCs w:val="16"/>
              </w:rPr>
            </w:pPr>
            <w:r w:rsidRPr="00A47EE9">
              <w:rPr>
                <w:rFonts w:ascii="Avenir" w:eastAsia="Avenir" w:hAnsi="Avenir" w:cs="Avenir"/>
                <w:color w:val="000000"/>
                <w:sz w:val="16"/>
                <w:szCs w:val="16"/>
              </w:rPr>
              <w:t>73 465,00</w:t>
            </w:r>
          </w:p>
        </w:tc>
        <w:tc>
          <w:tcPr>
            <w:tcW w:w="2290" w:type="dxa"/>
          </w:tcPr>
          <w:p w14:paraId="080F2F6B" w14:textId="77777777" w:rsidR="00A47EE9" w:rsidRPr="00E11FFB" w:rsidRDefault="00A47EE9" w:rsidP="00A47EE9">
            <w:pPr>
              <w:rPr>
                <w:rFonts w:ascii="Avenir" w:eastAsia="Avenir" w:hAnsi="Avenir" w:cs="Avenir"/>
                <w:color w:val="000000"/>
                <w:sz w:val="16"/>
                <w:szCs w:val="16"/>
              </w:rPr>
            </w:pPr>
          </w:p>
        </w:tc>
      </w:tr>
    </w:tbl>
    <w:p w14:paraId="14E2E647" w14:textId="77777777" w:rsidR="00C460FF" w:rsidRDefault="00C460FF" w:rsidP="00FE3684">
      <w:pPr>
        <w:rPr>
          <w:b/>
          <w:bCs/>
        </w:rPr>
      </w:pPr>
    </w:p>
    <w:p w14:paraId="63EA9474" w14:textId="65D9B972" w:rsidR="00FE3684" w:rsidRPr="00E11FFB" w:rsidRDefault="00FE3684" w:rsidP="00FE3684">
      <w:pPr>
        <w:rPr>
          <w:b/>
          <w:bCs/>
        </w:rPr>
      </w:pPr>
      <w:r w:rsidRPr="00E11FFB">
        <w:rPr>
          <w:b/>
          <w:bCs/>
        </w:rPr>
        <w:t>Initiative pour la Transparence dans les Industries Extractives (ITIE)</w:t>
      </w:r>
    </w:p>
    <w:p w14:paraId="394E1316" w14:textId="77777777" w:rsidR="00FE3684" w:rsidRPr="00E11FFB" w:rsidRDefault="00FE3684" w:rsidP="00FE3684">
      <w:pPr>
        <w:rPr>
          <w:b/>
          <w:bCs/>
        </w:rPr>
      </w:pPr>
    </w:p>
    <w:tbl>
      <w:tblPr>
        <w:tblW w:w="10834"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0"/>
        <w:gridCol w:w="2316"/>
        <w:gridCol w:w="1424"/>
        <w:gridCol w:w="2324"/>
      </w:tblGrid>
      <w:tr w:rsidR="00915C63" w:rsidRPr="00E11FFB" w14:paraId="0B7761E5" w14:textId="77777777" w:rsidTr="00C460FF">
        <w:trPr>
          <w:trHeight w:val="575"/>
        </w:trPr>
        <w:tc>
          <w:tcPr>
            <w:tcW w:w="4770" w:type="dxa"/>
            <w:shd w:val="clear" w:color="auto" w:fill="DDEBF7"/>
            <w:vAlign w:val="center"/>
          </w:tcPr>
          <w:p w14:paraId="1117679B" w14:textId="77777777" w:rsidR="00915C63" w:rsidRPr="00E11FFB" w:rsidRDefault="00915C63" w:rsidP="003A6DE1">
            <w:pPr>
              <w:keepNext/>
              <w:keepLines/>
              <w:rPr>
                <w:rFonts w:ascii="Avenir" w:eastAsia="Avenir" w:hAnsi="Avenir" w:cs="Avenir"/>
                <w:color w:val="000000"/>
                <w:sz w:val="16"/>
                <w:szCs w:val="16"/>
              </w:rPr>
            </w:pPr>
            <w:r w:rsidRPr="00E11FFB">
              <w:rPr>
                <w:rFonts w:ascii="Avenir" w:eastAsia="Avenir" w:hAnsi="Avenir" w:cs="Avenir"/>
                <w:color w:val="000000"/>
                <w:sz w:val="16"/>
                <w:szCs w:val="16"/>
              </w:rPr>
              <w:t xml:space="preserve">Résultats </w:t>
            </w:r>
          </w:p>
          <w:p w14:paraId="033F10E2" w14:textId="49EE642C" w:rsidR="00915C63" w:rsidRPr="00E11FFB" w:rsidRDefault="00915C63"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2316" w:type="dxa"/>
            <w:shd w:val="clear" w:color="auto" w:fill="F4B084"/>
            <w:vAlign w:val="center"/>
          </w:tcPr>
          <w:p w14:paraId="25775212" w14:textId="77777777" w:rsidR="00915C63" w:rsidRPr="00E11FFB" w:rsidRDefault="00915C63"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49"/>
            </w:r>
          </w:p>
        </w:tc>
        <w:tc>
          <w:tcPr>
            <w:tcW w:w="1424" w:type="dxa"/>
            <w:shd w:val="clear" w:color="auto" w:fill="DDEBF7"/>
            <w:vAlign w:val="center"/>
          </w:tcPr>
          <w:p w14:paraId="6D943735" w14:textId="77777777" w:rsidR="00915C63" w:rsidRPr="00E11FFB" w:rsidRDefault="00915C63"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50"/>
            </w:r>
          </w:p>
        </w:tc>
        <w:tc>
          <w:tcPr>
            <w:tcW w:w="2324" w:type="dxa"/>
            <w:shd w:val="clear" w:color="auto" w:fill="DDEBF7"/>
          </w:tcPr>
          <w:p w14:paraId="6A16E5B6" w14:textId="77777777" w:rsidR="00915C63" w:rsidRPr="00E11FFB" w:rsidRDefault="00915C63"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FE3684" w:rsidRPr="00E11FFB" w14:paraId="685D0EF0" w14:textId="77777777" w:rsidTr="002142A2">
        <w:trPr>
          <w:trHeight w:val="290"/>
        </w:trPr>
        <w:tc>
          <w:tcPr>
            <w:tcW w:w="4770" w:type="dxa"/>
            <w:vAlign w:val="center"/>
          </w:tcPr>
          <w:p w14:paraId="216E5D2D"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6 : L’exploitation forestière et la préoccupation REDD+ entrent dans l’Initiative pour la Transparence dans les Industries Extractives (ITIE)</w:t>
            </w:r>
          </w:p>
        </w:tc>
        <w:tc>
          <w:tcPr>
            <w:tcW w:w="2316" w:type="dxa"/>
            <w:vAlign w:val="center"/>
          </w:tcPr>
          <w:p w14:paraId="21F93CB3" w14:textId="77777777" w:rsidR="00FE3684" w:rsidRPr="00E11FFB" w:rsidRDefault="00FE3684" w:rsidP="003A6DE1">
            <w:pPr>
              <w:rPr>
                <w:rFonts w:ascii="Avenir" w:eastAsia="Avenir" w:hAnsi="Avenir" w:cs="Avenir"/>
                <w:color w:val="000000"/>
                <w:sz w:val="16"/>
                <w:szCs w:val="16"/>
              </w:rPr>
            </w:pPr>
          </w:p>
        </w:tc>
        <w:tc>
          <w:tcPr>
            <w:tcW w:w="1424" w:type="dxa"/>
            <w:vAlign w:val="center"/>
          </w:tcPr>
          <w:p w14:paraId="719A5F17"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303 766,79 $</w:t>
            </w:r>
          </w:p>
        </w:tc>
        <w:tc>
          <w:tcPr>
            <w:tcW w:w="2324" w:type="dxa"/>
          </w:tcPr>
          <w:p w14:paraId="4A3EDACF" w14:textId="77777777" w:rsidR="00FE3684" w:rsidRPr="00E11FFB" w:rsidRDefault="00FE3684" w:rsidP="003A6DE1">
            <w:pPr>
              <w:rPr>
                <w:rFonts w:ascii="Avenir" w:eastAsia="Avenir" w:hAnsi="Avenir" w:cs="Avenir"/>
                <w:color w:val="000000"/>
                <w:sz w:val="16"/>
                <w:szCs w:val="16"/>
              </w:rPr>
            </w:pPr>
          </w:p>
        </w:tc>
      </w:tr>
      <w:tr w:rsidR="00493996" w:rsidRPr="00E11FFB" w14:paraId="07A4C1E3" w14:textId="77777777" w:rsidTr="002142A2">
        <w:trPr>
          <w:trHeight w:val="290"/>
        </w:trPr>
        <w:tc>
          <w:tcPr>
            <w:tcW w:w="4770" w:type="dxa"/>
          </w:tcPr>
          <w:p w14:paraId="551301ED" w14:textId="77777777"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Produit 6.1 : Le Secteur forêt est clairement et fortement intégré dans l'Initiative pour la Transparence dans les Industries Extractives (l'ITIE) et à ce titre, tous les contrats de concessions d'exploitation industrielle et de conservation, y compris les rapports d'audit, de revue</w:t>
            </w:r>
          </w:p>
        </w:tc>
        <w:tc>
          <w:tcPr>
            <w:tcW w:w="2316" w:type="dxa"/>
            <w:vAlign w:val="center"/>
          </w:tcPr>
          <w:p w14:paraId="78291F49" w14:textId="77777777" w:rsidR="00493996" w:rsidRPr="00493996"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 xml:space="preserve">Sensibilisation dans huit provinces sur la norme ITIE sur les problématiques liées à intégration de ITIE dans l’exploitation forestière ; sensibilisation sur le code forestier et ses mesures d’application ; (exploitants, société civile, étatiques, entreprises, 100% des parties sensibilisées). </w:t>
            </w:r>
          </w:p>
          <w:p w14:paraId="5CA23C1D" w14:textId="77777777" w:rsidR="00493996" w:rsidRPr="00493996"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Elaboration des TDRs et leur validation par le Comité Exécutif de l'ITIE-RDC</w:t>
            </w:r>
          </w:p>
          <w:p w14:paraId="56E90378" w14:textId="77777777" w:rsidR="00493996" w:rsidRPr="00493996"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Activité non réalisée en attendant la finalisation des activités 6.1.2 et 6.1.1</w:t>
            </w:r>
          </w:p>
          <w:p w14:paraId="553DBAC9" w14:textId="4436F1C1" w:rsidR="00493996" w:rsidRPr="00E11FFB"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Identification des contrats disponibles au ST/ITIE-RDC (Etat des lieux)</w:t>
            </w:r>
          </w:p>
        </w:tc>
        <w:tc>
          <w:tcPr>
            <w:tcW w:w="1424" w:type="dxa"/>
            <w:vAlign w:val="center"/>
          </w:tcPr>
          <w:p w14:paraId="3C339B1E" w14:textId="77777777"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238 119,47 $</w:t>
            </w:r>
          </w:p>
        </w:tc>
        <w:tc>
          <w:tcPr>
            <w:tcW w:w="2324" w:type="dxa"/>
          </w:tcPr>
          <w:p w14:paraId="22D2AF88" w14:textId="7F599480"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 xml:space="preserve">Activité réalisée avec les fonds d’autres lignes sur demande et ITIE et </w:t>
            </w:r>
            <w:hyperlink r:id="rId71" w:history="1">
              <w:r w:rsidRPr="00E11FFB">
                <w:rPr>
                  <w:rStyle w:val="Lienhypertexte"/>
                  <w:rFonts w:ascii="Avenir" w:eastAsia="Avenir" w:hAnsi="Avenir" w:cs="Avenir"/>
                  <w:sz w:val="16"/>
                  <w:szCs w:val="16"/>
                </w:rPr>
                <w:t>autorisaton agence</w:t>
              </w:r>
            </w:hyperlink>
            <w:r w:rsidRPr="00E11FFB">
              <w:rPr>
                <w:rFonts w:ascii="Avenir" w:eastAsia="Avenir" w:hAnsi="Avenir" w:cs="Avenir"/>
                <w:color w:val="000000"/>
                <w:sz w:val="16"/>
                <w:szCs w:val="16"/>
              </w:rPr>
              <w:t xml:space="preserve"> </w:t>
            </w:r>
          </w:p>
        </w:tc>
      </w:tr>
      <w:tr w:rsidR="00493996" w:rsidRPr="00E11FFB" w14:paraId="02307D21" w14:textId="77777777" w:rsidTr="002142A2">
        <w:trPr>
          <w:trHeight w:val="290"/>
        </w:trPr>
        <w:tc>
          <w:tcPr>
            <w:tcW w:w="4770" w:type="dxa"/>
          </w:tcPr>
          <w:p w14:paraId="2ACA9A6A" w14:textId="77777777"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Produit 6.2 : Démontrer la mise en œuvre des obligations légales de réalisation des évaluations environnementales et sociales par les opérateurs exerçant dans les secteurs forêt, mines, hydrocarbures, agriculture, infrastructures et énergie, etc. Pilotage</w:t>
            </w:r>
          </w:p>
        </w:tc>
        <w:tc>
          <w:tcPr>
            <w:tcW w:w="2316" w:type="dxa"/>
          </w:tcPr>
          <w:p w14:paraId="3992A32F" w14:textId="18EE30DB" w:rsidR="00493996" w:rsidRPr="00E11FFB" w:rsidRDefault="00493996" w:rsidP="00493996">
            <w:pPr>
              <w:rPr>
                <w:rFonts w:ascii="Avenir" w:eastAsia="Avenir" w:hAnsi="Avenir" w:cs="Avenir"/>
                <w:color w:val="000000"/>
                <w:sz w:val="16"/>
                <w:szCs w:val="16"/>
              </w:rPr>
            </w:pPr>
            <w:r w:rsidRPr="00E11FFB">
              <w:rPr>
                <w:rFonts w:ascii="Avenir" w:eastAsia="Avenir" w:hAnsi="Avenir" w:cs="Avenir"/>
                <w:bCs/>
                <w:color w:val="000000"/>
                <w:sz w:val="16"/>
                <w:szCs w:val="16"/>
              </w:rPr>
              <w:t xml:space="preserve">Réunions de concertation, production de TDRs de recrutement de consultant pour la définition des besoins et du périmètre de l'évaluation </w:t>
            </w:r>
          </w:p>
        </w:tc>
        <w:tc>
          <w:tcPr>
            <w:tcW w:w="1424" w:type="dxa"/>
            <w:vAlign w:val="center"/>
          </w:tcPr>
          <w:p w14:paraId="498B1146" w14:textId="77777777"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6 980 $</w:t>
            </w:r>
          </w:p>
        </w:tc>
        <w:tc>
          <w:tcPr>
            <w:tcW w:w="2324" w:type="dxa"/>
          </w:tcPr>
          <w:p w14:paraId="7722840A" w14:textId="77777777" w:rsidR="00493996" w:rsidRPr="00E11FFB" w:rsidRDefault="00493996" w:rsidP="00493996">
            <w:pPr>
              <w:rPr>
                <w:rFonts w:ascii="Avenir" w:eastAsia="Avenir" w:hAnsi="Avenir" w:cs="Avenir"/>
                <w:color w:val="000000"/>
                <w:sz w:val="16"/>
                <w:szCs w:val="16"/>
              </w:rPr>
            </w:pPr>
          </w:p>
        </w:tc>
      </w:tr>
      <w:tr w:rsidR="00493996" w:rsidRPr="00E11FFB" w14:paraId="2611181D" w14:textId="77777777" w:rsidTr="002142A2">
        <w:trPr>
          <w:trHeight w:val="290"/>
        </w:trPr>
        <w:tc>
          <w:tcPr>
            <w:tcW w:w="4770" w:type="dxa"/>
          </w:tcPr>
          <w:p w14:paraId="51D1BC74" w14:textId="77777777"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Produit 6.3 : Les capacités humaines et techniques de l'ITIE dans le pilotage du processus de réalisation des jalons de la LOI sont renforcées.</w:t>
            </w:r>
          </w:p>
        </w:tc>
        <w:tc>
          <w:tcPr>
            <w:tcW w:w="2316" w:type="dxa"/>
            <w:vAlign w:val="center"/>
          </w:tcPr>
          <w:p w14:paraId="6088213E" w14:textId="77777777" w:rsidR="00493996" w:rsidRPr="00493996"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Fonctionnement de la task-force pour la période d’avril à décembre 2025</w:t>
            </w:r>
          </w:p>
          <w:p w14:paraId="6170294E" w14:textId="77777777" w:rsidR="00493996" w:rsidRPr="00493996"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Membres de la taskforce équipé et formé</w:t>
            </w:r>
          </w:p>
          <w:p w14:paraId="763780DC" w14:textId="26ED70C0" w:rsidR="00493996" w:rsidRPr="00E11FFB" w:rsidRDefault="00493996" w:rsidP="00493996">
            <w:pPr>
              <w:rPr>
                <w:rFonts w:ascii="Avenir" w:eastAsia="Avenir" w:hAnsi="Avenir" w:cs="Avenir"/>
                <w:color w:val="000000"/>
                <w:sz w:val="16"/>
                <w:szCs w:val="16"/>
              </w:rPr>
            </w:pPr>
            <w:r w:rsidRPr="00493996">
              <w:rPr>
                <w:rFonts w:ascii="Avenir" w:eastAsia="Avenir" w:hAnsi="Avenir" w:cs="Avenir"/>
                <w:color w:val="000000"/>
                <w:sz w:val="16"/>
                <w:szCs w:val="16"/>
              </w:rPr>
              <w:t>Site en cours de structuration</w:t>
            </w:r>
          </w:p>
        </w:tc>
        <w:tc>
          <w:tcPr>
            <w:tcW w:w="1424" w:type="dxa"/>
            <w:vAlign w:val="center"/>
          </w:tcPr>
          <w:p w14:paraId="4A576624" w14:textId="77777777" w:rsidR="00493996" w:rsidRPr="00E11FFB" w:rsidRDefault="00493996" w:rsidP="00493996">
            <w:pPr>
              <w:rPr>
                <w:rFonts w:ascii="Avenir" w:eastAsia="Avenir" w:hAnsi="Avenir" w:cs="Avenir"/>
                <w:color w:val="000000"/>
                <w:sz w:val="16"/>
                <w:szCs w:val="16"/>
              </w:rPr>
            </w:pPr>
            <w:r w:rsidRPr="00E11FFB">
              <w:rPr>
                <w:rFonts w:ascii="Avenir" w:eastAsia="Avenir" w:hAnsi="Avenir" w:cs="Avenir"/>
                <w:color w:val="000000"/>
                <w:sz w:val="16"/>
                <w:szCs w:val="16"/>
              </w:rPr>
              <w:t>58 667,32 $</w:t>
            </w:r>
          </w:p>
        </w:tc>
        <w:tc>
          <w:tcPr>
            <w:tcW w:w="2324" w:type="dxa"/>
          </w:tcPr>
          <w:p w14:paraId="15F6546A" w14:textId="77777777" w:rsidR="00493996" w:rsidRPr="00E11FFB" w:rsidRDefault="00493996" w:rsidP="00493996">
            <w:pPr>
              <w:rPr>
                <w:rFonts w:ascii="Avenir" w:eastAsia="Avenir" w:hAnsi="Avenir" w:cs="Avenir"/>
                <w:color w:val="000000"/>
                <w:sz w:val="16"/>
                <w:szCs w:val="16"/>
              </w:rPr>
            </w:pPr>
          </w:p>
        </w:tc>
      </w:tr>
    </w:tbl>
    <w:p w14:paraId="1B4DD3C3" w14:textId="77777777" w:rsidR="00FE3684" w:rsidRPr="00E11FFB" w:rsidRDefault="00FE3684" w:rsidP="00FE3684"/>
    <w:p w14:paraId="08F1C5EA" w14:textId="11111E81" w:rsidR="00FE3684" w:rsidRPr="0050758C" w:rsidRDefault="00FE3684" w:rsidP="00FE3684">
      <w:pPr>
        <w:rPr>
          <w:b/>
          <w:bCs/>
        </w:rPr>
      </w:pPr>
      <w:r w:rsidRPr="00E11FFB">
        <w:rPr>
          <w:b/>
          <w:bCs/>
        </w:rPr>
        <w:t>Agence Congolaise de l’Environnement (ACE)</w:t>
      </w:r>
    </w:p>
    <w:tbl>
      <w:tblPr>
        <w:tblW w:w="10579"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6"/>
        <w:gridCol w:w="2343"/>
        <w:gridCol w:w="1413"/>
        <w:gridCol w:w="2307"/>
      </w:tblGrid>
      <w:tr w:rsidR="00FE3684" w:rsidRPr="00E11FFB" w14:paraId="6977BBDF" w14:textId="77777777" w:rsidTr="00F04561">
        <w:trPr>
          <w:trHeight w:val="285"/>
        </w:trPr>
        <w:tc>
          <w:tcPr>
            <w:tcW w:w="4516" w:type="dxa"/>
            <w:shd w:val="clear" w:color="auto" w:fill="DDEBF7"/>
            <w:vAlign w:val="center"/>
          </w:tcPr>
          <w:p w14:paraId="3E4254A9" w14:textId="77777777" w:rsidR="00FE3684" w:rsidRPr="00E11FFB" w:rsidRDefault="00FE3684" w:rsidP="003A6DE1">
            <w:pPr>
              <w:keepNext/>
              <w:keepLines/>
              <w:rPr>
                <w:rFonts w:ascii="Avenir" w:eastAsia="Avenir" w:hAnsi="Avenir" w:cs="Avenir"/>
                <w:color w:val="000000"/>
                <w:sz w:val="16"/>
                <w:szCs w:val="16"/>
              </w:rPr>
            </w:pPr>
            <w:r w:rsidRPr="00E11FFB">
              <w:rPr>
                <w:rFonts w:ascii="Avenir" w:eastAsia="Avenir" w:hAnsi="Avenir" w:cs="Avenir"/>
                <w:color w:val="000000"/>
                <w:sz w:val="16"/>
                <w:szCs w:val="16"/>
              </w:rPr>
              <w:t xml:space="preserve">Résultats </w:t>
            </w:r>
          </w:p>
        </w:tc>
        <w:tc>
          <w:tcPr>
            <w:tcW w:w="2343" w:type="dxa"/>
            <w:vMerge w:val="restart"/>
            <w:shd w:val="clear" w:color="auto" w:fill="F4B084"/>
            <w:vAlign w:val="center"/>
          </w:tcPr>
          <w:p w14:paraId="11B6A925"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Progrès actuel de l'indicateur</w:t>
            </w:r>
            <w:r w:rsidRPr="00E11FFB">
              <w:rPr>
                <w:rFonts w:ascii="Avenir" w:eastAsia="Avenir" w:hAnsi="Avenir" w:cs="Avenir"/>
                <w:i/>
                <w:color w:val="000000"/>
                <w:sz w:val="16"/>
                <w:szCs w:val="16"/>
                <w:vertAlign w:val="superscript"/>
              </w:rPr>
              <w:footnoteReference w:id="51"/>
            </w:r>
          </w:p>
        </w:tc>
        <w:tc>
          <w:tcPr>
            <w:tcW w:w="1413" w:type="dxa"/>
            <w:vMerge w:val="restart"/>
            <w:shd w:val="clear" w:color="auto" w:fill="DDEBF7"/>
            <w:vAlign w:val="center"/>
          </w:tcPr>
          <w:p w14:paraId="2783AA70" w14:textId="77777777" w:rsidR="00FE3684" w:rsidRPr="00E11FFB" w:rsidRDefault="00FE3684" w:rsidP="003A6DE1">
            <w:pPr>
              <w:keepNext/>
              <w:keepLines/>
              <w:jc w:val="center"/>
              <w:rPr>
                <w:rFonts w:ascii="Avenir" w:eastAsia="Avenir" w:hAnsi="Avenir" w:cs="Avenir"/>
                <w:color w:val="000000"/>
                <w:sz w:val="16"/>
                <w:szCs w:val="16"/>
              </w:rPr>
            </w:pPr>
            <w:r w:rsidRPr="00E11FFB">
              <w:rPr>
                <w:rFonts w:ascii="Avenir" w:eastAsia="Avenir" w:hAnsi="Avenir" w:cs="Avenir"/>
                <w:color w:val="000000"/>
                <w:sz w:val="16"/>
                <w:szCs w:val="16"/>
              </w:rPr>
              <w:t xml:space="preserve">Dépenses cumulatives en US $  </w:t>
            </w:r>
            <w:r w:rsidRPr="00E11FFB">
              <w:rPr>
                <w:rFonts w:ascii="Avenir" w:eastAsia="Avenir" w:hAnsi="Avenir" w:cs="Avenir"/>
                <w:i/>
                <w:color w:val="000000"/>
                <w:sz w:val="16"/>
                <w:szCs w:val="16"/>
                <w:vertAlign w:val="superscript"/>
              </w:rPr>
              <w:footnoteReference w:id="52"/>
            </w:r>
          </w:p>
        </w:tc>
        <w:tc>
          <w:tcPr>
            <w:tcW w:w="2307" w:type="dxa"/>
            <w:vMerge w:val="restart"/>
            <w:shd w:val="clear" w:color="auto" w:fill="DDEBF7"/>
          </w:tcPr>
          <w:p w14:paraId="012E54CC"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Commentaires </w:t>
            </w:r>
          </w:p>
        </w:tc>
      </w:tr>
      <w:tr w:rsidR="00FE3684" w:rsidRPr="00E11FFB" w14:paraId="4AC1D804" w14:textId="77777777" w:rsidTr="00F04561">
        <w:trPr>
          <w:trHeight w:val="300"/>
        </w:trPr>
        <w:tc>
          <w:tcPr>
            <w:tcW w:w="4516" w:type="dxa"/>
            <w:shd w:val="clear" w:color="auto" w:fill="DDEBF7"/>
            <w:vAlign w:val="center"/>
          </w:tcPr>
          <w:p w14:paraId="316F48D5"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rPr>
              <w:t> </w:t>
            </w:r>
          </w:p>
        </w:tc>
        <w:tc>
          <w:tcPr>
            <w:tcW w:w="2343" w:type="dxa"/>
            <w:vMerge/>
            <w:shd w:val="clear" w:color="auto" w:fill="F4B084"/>
            <w:vAlign w:val="center"/>
          </w:tcPr>
          <w:p w14:paraId="1549EB1F"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1413" w:type="dxa"/>
            <w:vMerge/>
            <w:shd w:val="clear" w:color="auto" w:fill="DDEBF7"/>
            <w:vAlign w:val="center"/>
          </w:tcPr>
          <w:p w14:paraId="4FCDD2A3"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c>
          <w:tcPr>
            <w:tcW w:w="2307" w:type="dxa"/>
            <w:vMerge/>
            <w:shd w:val="clear" w:color="auto" w:fill="DDEBF7"/>
          </w:tcPr>
          <w:p w14:paraId="261690E8" w14:textId="77777777" w:rsidR="00FE3684" w:rsidRPr="00E11FFB" w:rsidRDefault="00FE3684" w:rsidP="003A6DE1">
            <w:pPr>
              <w:widowControl w:val="0"/>
              <w:pBdr>
                <w:top w:val="nil"/>
                <w:left w:val="nil"/>
                <w:bottom w:val="nil"/>
                <w:right w:val="nil"/>
                <w:between w:val="nil"/>
              </w:pBdr>
              <w:spacing w:line="276" w:lineRule="auto"/>
              <w:rPr>
                <w:rFonts w:ascii="Avenir" w:eastAsia="Avenir" w:hAnsi="Avenir" w:cs="Avenir"/>
                <w:color w:val="000000"/>
                <w:sz w:val="16"/>
                <w:szCs w:val="16"/>
              </w:rPr>
            </w:pPr>
          </w:p>
        </w:tc>
      </w:tr>
      <w:tr w:rsidR="00FE3684" w:rsidRPr="00E11FFB" w14:paraId="47FF124E" w14:textId="77777777" w:rsidTr="00F04561">
        <w:trPr>
          <w:trHeight w:val="300"/>
        </w:trPr>
        <w:tc>
          <w:tcPr>
            <w:tcW w:w="4516" w:type="dxa"/>
            <w:vAlign w:val="center"/>
          </w:tcPr>
          <w:p w14:paraId="0988F317" w14:textId="77777777" w:rsidR="00FE3684" w:rsidRPr="00E11FFB" w:rsidRDefault="00FE3684" w:rsidP="003A6DE1">
            <w:pPr>
              <w:rPr>
                <w:rFonts w:ascii="Avenir" w:eastAsia="Avenir" w:hAnsi="Avenir" w:cs="Avenir"/>
                <w:color w:val="000000"/>
                <w:sz w:val="16"/>
                <w:szCs w:val="16"/>
              </w:rPr>
            </w:pPr>
            <w:r w:rsidRPr="00E11FFB">
              <w:rPr>
                <w:rFonts w:ascii="Avenir" w:eastAsia="Avenir" w:hAnsi="Avenir" w:cs="Avenir"/>
                <w:color w:val="000000"/>
                <w:sz w:val="16"/>
                <w:szCs w:val="16"/>
                <w:u w:val="single"/>
              </w:rPr>
              <w:t>Effet 7 : Les exploitants respectent des normes Socio Environnementale contrôlées</w:t>
            </w:r>
          </w:p>
        </w:tc>
        <w:tc>
          <w:tcPr>
            <w:tcW w:w="2343" w:type="dxa"/>
            <w:vAlign w:val="center"/>
          </w:tcPr>
          <w:p w14:paraId="65E26077" w14:textId="77777777" w:rsidR="00FE3684" w:rsidRPr="00E11FFB" w:rsidRDefault="00FE3684" w:rsidP="003A6DE1">
            <w:pPr>
              <w:rPr>
                <w:rFonts w:ascii="Avenir" w:eastAsia="Avenir" w:hAnsi="Avenir" w:cs="Avenir"/>
                <w:color w:val="000000"/>
                <w:sz w:val="16"/>
                <w:szCs w:val="16"/>
              </w:rPr>
            </w:pPr>
          </w:p>
        </w:tc>
        <w:tc>
          <w:tcPr>
            <w:tcW w:w="1413" w:type="dxa"/>
            <w:vAlign w:val="center"/>
          </w:tcPr>
          <w:p w14:paraId="389BAE64" w14:textId="6892D0B9" w:rsidR="00FE3684" w:rsidRPr="00E11FFB" w:rsidRDefault="0050758C" w:rsidP="003A6DE1">
            <w:pPr>
              <w:rPr>
                <w:rFonts w:ascii="Avenir" w:eastAsia="Avenir" w:hAnsi="Avenir" w:cs="Avenir"/>
                <w:color w:val="000000"/>
                <w:sz w:val="16"/>
                <w:szCs w:val="16"/>
              </w:rPr>
            </w:pPr>
            <w:r w:rsidRPr="0050758C">
              <w:rPr>
                <w:rFonts w:ascii="Avenir" w:eastAsia="Avenir" w:hAnsi="Avenir" w:cs="Avenir"/>
                <w:color w:val="000000"/>
                <w:sz w:val="16"/>
                <w:szCs w:val="16"/>
              </w:rPr>
              <w:t>109 056,00</w:t>
            </w:r>
          </w:p>
        </w:tc>
        <w:tc>
          <w:tcPr>
            <w:tcW w:w="2307" w:type="dxa"/>
          </w:tcPr>
          <w:p w14:paraId="477E0127" w14:textId="77777777" w:rsidR="00FE3684" w:rsidRPr="00E11FFB" w:rsidRDefault="00FE3684" w:rsidP="003A6DE1">
            <w:pPr>
              <w:rPr>
                <w:rFonts w:ascii="Avenir" w:eastAsia="Avenir" w:hAnsi="Avenir" w:cs="Avenir"/>
                <w:color w:val="000000"/>
                <w:sz w:val="16"/>
                <w:szCs w:val="16"/>
              </w:rPr>
            </w:pPr>
          </w:p>
        </w:tc>
      </w:tr>
      <w:tr w:rsidR="0050758C" w:rsidRPr="00E11FFB" w14:paraId="7A71D1BD" w14:textId="77777777" w:rsidTr="0050758C">
        <w:trPr>
          <w:trHeight w:val="300"/>
        </w:trPr>
        <w:tc>
          <w:tcPr>
            <w:tcW w:w="4516" w:type="dxa"/>
          </w:tcPr>
          <w:p w14:paraId="1F6E0BB6" w14:textId="77777777" w:rsidR="0050758C" w:rsidRPr="00E11FFB" w:rsidRDefault="0050758C" w:rsidP="0050758C">
            <w:pPr>
              <w:rPr>
                <w:rFonts w:ascii="Avenir" w:eastAsia="Avenir" w:hAnsi="Avenir" w:cs="Avenir"/>
                <w:color w:val="000000"/>
                <w:sz w:val="16"/>
                <w:szCs w:val="16"/>
              </w:rPr>
            </w:pPr>
            <w:r w:rsidRPr="00E11FFB">
              <w:rPr>
                <w:rFonts w:ascii="Avenir" w:eastAsia="Avenir" w:hAnsi="Avenir" w:cs="Avenir"/>
                <w:color w:val="000000"/>
                <w:sz w:val="16"/>
                <w:szCs w:val="16"/>
              </w:rPr>
              <w:t>Produit 7.1 : Démontrer la mise en œuvre des obligations légales de réalisation des évaluations environnementales et sociales par les opérateurs exerçant dans les secteurs forêt, mines, hydrocarbures, agriculture, infrastructures et énergie, etc. Pilotage ITIE – ACE</w:t>
            </w:r>
          </w:p>
        </w:tc>
        <w:tc>
          <w:tcPr>
            <w:tcW w:w="2343" w:type="dxa"/>
            <w:vAlign w:val="center"/>
          </w:tcPr>
          <w:p w14:paraId="18A3AEB3" w14:textId="77777777" w:rsidR="0050758C" w:rsidRPr="00B23420"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Une équipe mise en place avec ITIE</w:t>
            </w:r>
          </w:p>
          <w:p w14:paraId="5A71D8E6" w14:textId="77777777" w:rsidR="0050758C" w:rsidRPr="00B23420"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Réunion des préparations et validation des TDRS</w:t>
            </w:r>
          </w:p>
          <w:p w14:paraId="5C9AE185" w14:textId="77777777" w:rsidR="0050758C" w:rsidRPr="00B23420"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 xml:space="preserve">11 EIES réalisées dans et autour des zones des aires protégées </w:t>
            </w:r>
          </w:p>
          <w:p w14:paraId="3CCA8FB9" w14:textId="77777777" w:rsidR="0050758C" w:rsidRPr="00B23420"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4 missions de suivi PGES réalisées</w:t>
            </w:r>
          </w:p>
          <w:p w14:paraId="5BC402A2" w14:textId="41F86EF8" w:rsidR="0050758C" w:rsidRPr="00E11FFB"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Réunions avec Mines et hydrocarbures, GIZ sur les normes du secteur.</w:t>
            </w:r>
          </w:p>
        </w:tc>
        <w:tc>
          <w:tcPr>
            <w:tcW w:w="1413" w:type="dxa"/>
            <w:vAlign w:val="center"/>
          </w:tcPr>
          <w:p w14:paraId="09A5DF91" w14:textId="2327DBB2" w:rsidR="0050758C" w:rsidRPr="00E11FFB" w:rsidRDefault="0050758C" w:rsidP="0050758C">
            <w:pPr>
              <w:jc w:val="center"/>
              <w:rPr>
                <w:rFonts w:ascii="Avenir" w:eastAsia="Avenir" w:hAnsi="Avenir" w:cs="Avenir"/>
                <w:color w:val="000000"/>
                <w:sz w:val="16"/>
                <w:szCs w:val="16"/>
              </w:rPr>
            </w:pPr>
            <w:r w:rsidRPr="0050758C">
              <w:rPr>
                <w:rFonts w:ascii="Avenir" w:eastAsia="Avenir" w:hAnsi="Avenir" w:cs="Avenir"/>
                <w:color w:val="000000"/>
                <w:sz w:val="16"/>
                <w:szCs w:val="16"/>
              </w:rPr>
              <w:t>22 688,00</w:t>
            </w:r>
          </w:p>
        </w:tc>
        <w:tc>
          <w:tcPr>
            <w:tcW w:w="2307" w:type="dxa"/>
          </w:tcPr>
          <w:p w14:paraId="3B7E6191" w14:textId="77777777" w:rsidR="0050758C" w:rsidRPr="00E11FFB" w:rsidRDefault="0050758C" w:rsidP="0050758C">
            <w:pPr>
              <w:rPr>
                <w:rFonts w:ascii="Avenir" w:eastAsia="Avenir" w:hAnsi="Avenir" w:cs="Avenir"/>
                <w:color w:val="000000"/>
                <w:sz w:val="16"/>
                <w:szCs w:val="16"/>
              </w:rPr>
            </w:pPr>
          </w:p>
        </w:tc>
      </w:tr>
      <w:tr w:rsidR="0050758C" w:rsidRPr="00E11FFB" w14:paraId="3542E255" w14:textId="77777777" w:rsidTr="0050758C">
        <w:trPr>
          <w:trHeight w:val="300"/>
        </w:trPr>
        <w:tc>
          <w:tcPr>
            <w:tcW w:w="4516" w:type="dxa"/>
            <w:vAlign w:val="center"/>
          </w:tcPr>
          <w:p w14:paraId="7521A3A8" w14:textId="77777777" w:rsidR="0050758C" w:rsidRPr="00E11FFB" w:rsidRDefault="0050758C" w:rsidP="0050758C">
            <w:pPr>
              <w:rPr>
                <w:rFonts w:ascii="Avenir" w:eastAsia="Avenir" w:hAnsi="Avenir" w:cs="Avenir"/>
                <w:color w:val="000000"/>
                <w:sz w:val="16"/>
                <w:szCs w:val="16"/>
              </w:rPr>
            </w:pPr>
            <w:r w:rsidRPr="00E11FFB">
              <w:rPr>
                <w:rFonts w:ascii="Avenir" w:eastAsia="Avenir" w:hAnsi="Avenir" w:cs="Avenir"/>
                <w:color w:val="000000"/>
                <w:sz w:val="16"/>
                <w:szCs w:val="16"/>
              </w:rPr>
              <w:t>Produit 7.2 : Conditionner tout investissement minier et d’hydrocarbures dans la zone tampon d’aires protégées par le fait qu’il n’ait pas d’incidence négative sur l’aire protégée, et assujettir ces investissements à une étude d’impact environnemental et social préalable, assortie de son plan de gestion dûment approuvés, conformément au cadre légal en vigueur.</w:t>
            </w:r>
          </w:p>
        </w:tc>
        <w:tc>
          <w:tcPr>
            <w:tcW w:w="2343" w:type="dxa"/>
          </w:tcPr>
          <w:p w14:paraId="6D8D2AC6" w14:textId="77777777" w:rsidR="0050758C" w:rsidRPr="00E11FFB" w:rsidRDefault="0050758C" w:rsidP="0050758C">
            <w:pPr>
              <w:rPr>
                <w:rFonts w:ascii="Avenir" w:eastAsia="Avenir" w:hAnsi="Avenir" w:cs="Avenir"/>
                <w:bCs/>
                <w:color w:val="000000"/>
                <w:sz w:val="16"/>
                <w:szCs w:val="16"/>
              </w:rPr>
            </w:pPr>
            <w:r w:rsidRPr="00E11FFB">
              <w:rPr>
                <w:rFonts w:ascii="Avenir" w:eastAsia="Avenir" w:hAnsi="Avenir" w:cs="Avenir"/>
                <w:bCs/>
                <w:color w:val="000000"/>
                <w:sz w:val="16"/>
                <w:szCs w:val="16"/>
              </w:rPr>
              <w:t xml:space="preserve">1 atelier de vulgarisation des textes règlementaires </w:t>
            </w:r>
          </w:p>
          <w:p w14:paraId="26905B3E" w14:textId="5BAED554" w:rsidR="0050758C" w:rsidRPr="00E11FFB" w:rsidRDefault="0050758C" w:rsidP="0050758C">
            <w:pPr>
              <w:rPr>
                <w:rFonts w:ascii="Avenir" w:eastAsia="Avenir" w:hAnsi="Avenir" w:cs="Avenir"/>
                <w:color w:val="000000"/>
                <w:sz w:val="16"/>
                <w:szCs w:val="16"/>
              </w:rPr>
            </w:pPr>
            <w:r w:rsidRPr="00E11FFB">
              <w:rPr>
                <w:rFonts w:ascii="Avenir" w:eastAsia="Avenir" w:hAnsi="Avenir" w:cs="Avenir"/>
                <w:bCs/>
                <w:color w:val="000000"/>
                <w:sz w:val="16"/>
                <w:szCs w:val="16"/>
              </w:rPr>
              <w:t>4 missions de contre vérification en province et installation des brigades de contrôle</w:t>
            </w:r>
          </w:p>
        </w:tc>
        <w:tc>
          <w:tcPr>
            <w:tcW w:w="1413" w:type="dxa"/>
            <w:vAlign w:val="center"/>
          </w:tcPr>
          <w:p w14:paraId="0B093311" w14:textId="3E6E94AC" w:rsidR="0050758C" w:rsidRPr="00E11FFB" w:rsidRDefault="0050758C" w:rsidP="0050758C">
            <w:pPr>
              <w:jc w:val="center"/>
              <w:rPr>
                <w:rFonts w:ascii="Avenir" w:eastAsia="Avenir" w:hAnsi="Avenir" w:cs="Avenir"/>
                <w:color w:val="000000"/>
                <w:sz w:val="16"/>
                <w:szCs w:val="16"/>
              </w:rPr>
            </w:pPr>
            <w:r w:rsidRPr="0050758C">
              <w:rPr>
                <w:rFonts w:ascii="Avenir" w:eastAsia="Avenir" w:hAnsi="Avenir" w:cs="Avenir"/>
                <w:color w:val="000000"/>
                <w:sz w:val="16"/>
                <w:szCs w:val="16"/>
              </w:rPr>
              <w:t>26 420,00</w:t>
            </w:r>
          </w:p>
        </w:tc>
        <w:tc>
          <w:tcPr>
            <w:tcW w:w="2307" w:type="dxa"/>
          </w:tcPr>
          <w:p w14:paraId="7AF8C8F9" w14:textId="77777777" w:rsidR="0050758C" w:rsidRPr="00E11FFB" w:rsidRDefault="0050758C" w:rsidP="0050758C">
            <w:pPr>
              <w:rPr>
                <w:rFonts w:ascii="Avenir" w:eastAsia="Avenir" w:hAnsi="Avenir" w:cs="Avenir"/>
                <w:color w:val="000000"/>
                <w:sz w:val="16"/>
                <w:szCs w:val="16"/>
              </w:rPr>
            </w:pPr>
          </w:p>
        </w:tc>
      </w:tr>
      <w:tr w:rsidR="0050758C" w:rsidRPr="00E11FFB" w14:paraId="43DCEF3D" w14:textId="77777777" w:rsidTr="0050758C">
        <w:trPr>
          <w:trHeight w:val="300"/>
        </w:trPr>
        <w:tc>
          <w:tcPr>
            <w:tcW w:w="4516" w:type="dxa"/>
            <w:vAlign w:val="center"/>
          </w:tcPr>
          <w:p w14:paraId="63802F56" w14:textId="77777777" w:rsidR="0050758C" w:rsidRPr="00E11FFB" w:rsidRDefault="0050758C" w:rsidP="0050758C">
            <w:pPr>
              <w:rPr>
                <w:rFonts w:ascii="Avenir" w:eastAsia="Avenir" w:hAnsi="Avenir" w:cs="Avenir"/>
                <w:color w:val="000000"/>
                <w:sz w:val="16"/>
                <w:szCs w:val="16"/>
              </w:rPr>
            </w:pPr>
            <w:r w:rsidRPr="00E11FFB">
              <w:rPr>
                <w:rFonts w:ascii="Avenir" w:eastAsia="Avenir" w:hAnsi="Avenir" w:cs="Avenir"/>
                <w:color w:val="000000"/>
                <w:sz w:val="16"/>
                <w:szCs w:val="16"/>
              </w:rPr>
              <w:t>Produit 7.3 : Les Normes REDD+ sont élaborées de manière participative, adoptées et intégrées dans le Manuel d’Opérations et des Procédures des évaluations environnementales et sociales, en prenant en compte les meilleures pratiques nationales et internationales en relation avec la prévention, l’atténuation et la compensation (par ordre de priorité) des impacts négatifs directs et indirects des investissements miniers et des hydrocarbures, d’ici fin 2023. Les normes REDD+ sont assorties d’un mécanisme d’audit indépendant.</w:t>
            </w:r>
          </w:p>
        </w:tc>
        <w:tc>
          <w:tcPr>
            <w:tcW w:w="2343" w:type="dxa"/>
          </w:tcPr>
          <w:p w14:paraId="61325377" w14:textId="77777777" w:rsidR="0050758C" w:rsidRPr="00E11FFB" w:rsidRDefault="0050758C" w:rsidP="0050758C">
            <w:pPr>
              <w:rPr>
                <w:rFonts w:ascii="Avenir" w:eastAsia="Avenir" w:hAnsi="Avenir" w:cs="Avenir"/>
                <w:bCs/>
                <w:color w:val="000000"/>
                <w:sz w:val="16"/>
                <w:szCs w:val="16"/>
              </w:rPr>
            </w:pPr>
            <w:r w:rsidRPr="00E11FFB">
              <w:rPr>
                <w:rFonts w:ascii="Avenir" w:eastAsia="Avenir" w:hAnsi="Avenir" w:cs="Avenir"/>
                <w:bCs/>
                <w:color w:val="000000"/>
                <w:sz w:val="16"/>
                <w:szCs w:val="16"/>
              </w:rPr>
              <w:t>3 Réunions de suivi de projet normes REDD+ dans le secteur de mine et hydrocarbure avec la GIZ </w:t>
            </w:r>
          </w:p>
          <w:p w14:paraId="47A4EBE1" w14:textId="62B8D94A" w:rsidR="0050758C" w:rsidRPr="00E11FFB" w:rsidRDefault="0050758C" w:rsidP="0050758C">
            <w:pPr>
              <w:rPr>
                <w:rFonts w:ascii="Avenir" w:eastAsia="Avenir" w:hAnsi="Avenir" w:cs="Avenir"/>
                <w:color w:val="000000"/>
                <w:sz w:val="16"/>
                <w:szCs w:val="16"/>
              </w:rPr>
            </w:pPr>
            <w:r w:rsidRPr="00E11FFB">
              <w:rPr>
                <w:rFonts w:ascii="Avenir" w:eastAsia="Avenir" w:hAnsi="Avenir" w:cs="Avenir"/>
                <w:bCs/>
                <w:color w:val="000000"/>
                <w:sz w:val="16"/>
                <w:szCs w:val="16"/>
              </w:rPr>
              <w:t>1 Manuel d’opération révisé</w:t>
            </w:r>
          </w:p>
        </w:tc>
        <w:tc>
          <w:tcPr>
            <w:tcW w:w="1413" w:type="dxa"/>
            <w:vAlign w:val="center"/>
          </w:tcPr>
          <w:p w14:paraId="1CF9F753" w14:textId="44F8185B" w:rsidR="0050758C" w:rsidRPr="00E11FFB" w:rsidRDefault="0050758C" w:rsidP="0050758C">
            <w:pPr>
              <w:jc w:val="center"/>
              <w:rPr>
                <w:rFonts w:ascii="Avenir" w:eastAsia="Avenir" w:hAnsi="Avenir" w:cs="Avenir"/>
                <w:color w:val="000000"/>
                <w:sz w:val="16"/>
                <w:szCs w:val="16"/>
              </w:rPr>
            </w:pPr>
            <w:r w:rsidRPr="0050758C">
              <w:rPr>
                <w:rFonts w:ascii="Avenir" w:eastAsia="Avenir" w:hAnsi="Avenir" w:cs="Avenir"/>
                <w:color w:val="000000"/>
                <w:sz w:val="16"/>
                <w:szCs w:val="16"/>
              </w:rPr>
              <w:t>0,00</w:t>
            </w:r>
          </w:p>
        </w:tc>
        <w:tc>
          <w:tcPr>
            <w:tcW w:w="2307" w:type="dxa"/>
          </w:tcPr>
          <w:p w14:paraId="3C91E3CC" w14:textId="77777777" w:rsidR="0050758C" w:rsidRPr="00E11FFB" w:rsidRDefault="0050758C" w:rsidP="0050758C">
            <w:pPr>
              <w:rPr>
                <w:rFonts w:ascii="Avenir" w:eastAsia="Avenir" w:hAnsi="Avenir" w:cs="Avenir"/>
                <w:color w:val="000000"/>
                <w:sz w:val="16"/>
                <w:szCs w:val="16"/>
              </w:rPr>
            </w:pPr>
          </w:p>
        </w:tc>
      </w:tr>
      <w:tr w:rsidR="0050758C" w:rsidRPr="00E11FFB" w14:paraId="01F79183" w14:textId="77777777" w:rsidTr="0050758C">
        <w:trPr>
          <w:trHeight w:val="300"/>
        </w:trPr>
        <w:tc>
          <w:tcPr>
            <w:tcW w:w="4516" w:type="dxa"/>
            <w:vAlign w:val="center"/>
          </w:tcPr>
          <w:p w14:paraId="0FA28FBB" w14:textId="77777777" w:rsidR="0050758C" w:rsidRPr="00E11FFB" w:rsidRDefault="0050758C" w:rsidP="0050758C">
            <w:pPr>
              <w:rPr>
                <w:rFonts w:ascii="Avenir" w:eastAsia="Avenir" w:hAnsi="Avenir" w:cs="Avenir"/>
                <w:color w:val="000000"/>
                <w:sz w:val="16"/>
                <w:szCs w:val="16"/>
              </w:rPr>
            </w:pPr>
            <w:r w:rsidRPr="00E11FFB">
              <w:rPr>
                <w:rFonts w:ascii="Avenir" w:eastAsia="Avenir" w:hAnsi="Avenir" w:cs="Avenir"/>
                <w:color w:val="000000"/>
                <w:sz w:val="16"/>
                <w:szCs w:val="16"/>
              </w:rPr>
              <w:t>Produit 7.4 : Les capacités humaines et techniques de l’ACE dans le pilotage du processus de réalisation des jalons de la LOI sont renforcées.</w:t>
            </w:r>
          </w:p>
        </w:tc>
        <w:tc>
          <w:tcPr>
            <w:tcW w:w="2343" w:type="dxa"/>
            <w:vAlign w:val="center"/>
          </w:tcPr>
          <w:p w14:paraId="1B673D91" w14:textId="77777777" w:rsidR="0050758C" w:rsidRPr="00B23420"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Rapports individuels des membres de la task-force pour la période d’avril à décembre 2025</w:t>
            </w:r>
          </w:p>
          <w:p w14:paraId="62B1AB3B" w14:textId="77777777" w:rsidR="0050758C" w:rsidRPr="00B23420"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Membres de la taskforce équipé et formé</w:t>
            </w:r>
          </w:p>
          <w:p w14:paraId="6A70BE17" w14:textId="5502E22E" w:rsidR="0050758C" w:rsidRPr="00E11FFB" w:rsidRDefault="0050758C" w:rsidP="0050758C">
            <w:pPr>
              <w:rPr>
                <w:rFonts w:ascii="Avenir" w:eastAsia="Avenir" w:hAnsi="Avenir" w:cs="Avenir"/>
                <w:color w:val="000000"/>
                <w:sz w:val="16"/>
                <w:szCs w:val="16"/>
              </w:rPr>
            </w:pPr>
            <w:r w:rsidRPr="00B23420">
              <w:rPr>
                <w:rFonts w:ascii="Avenir" w:eastAsia="Avenir" w:hAnsi="Avenir" w:cs="Avenir"/>
                <w:color w:val="000000"/>
                <w:sz w:val="16"/>
                <w:szCs w:val="16"/>
              </w:rPr>
              <w:t>Rapport d’activité sur la structuration du site</w:t>
            </w:r>
          </w:p>
        </w:tc>
        <w:tc>
          <w:tcPr>
            <w:tcW w:w="1413" w:type="dxa"/>
            <w:vAlign w:val="center"/>
          </w:tcPr>
          <w:p w14:paraId="02396B4D" w14:textId="18D36316" w:rsidR="0050758C" w:rsidRPr="00E11FFB" w:rsidRDefault="0050758C" w:rsidP="0050758C">
            <w:pPr>
              <w:jc w:val="center"/>
              <w:rPr>
                <w:rFonts w:ascii="Avenir" w:eastAsia="Avenir" w:hAnsi="Avenir" w:cs="Avenir"/>
                <w:color w:val="000000"/>
                <w:sz w:val="16"/>
                <w:szCs w:val="16"/>
              </w:rPr>
            </w:pPr>
            <w:r w:rsidRPr="0050758C">
              <w:rPr>
                <w:rFonts w:ascii="Avenir" w:eastAsia="Avenir" w:hAnsi="Avenir" w:cs="Avenir"/>
                <w:color w:val="000000"/>
                <w:sz w:val="16"/>
                <w:szCs w:val="16"/>
              </w:rPr>
              <w:t>59 948,00</w:t>
            </w:r>
          </w:p>
        </w:tc>
        <w:tc>
          <w:tcPr>
            <w:tcW w:w="2307" w:type="dxa"/>
          </w:tcPr>
          <w:p w14:paraId="6FD60E82" w14:textId="77777777" w:rsidR="0050758C" w:rsidRPr="00E11FFB" w:rsidRDefault="0050758C" w:rsidP="0050758C">
            <w:pPr>
              <w:rPr>
                <w:rFonts w:ascii="Avenir" w:eastAsia="Avenir" w:hAnsi="Avenir" w:cs="Avenir"/>
                <w:color w:val="000000"/>
                <w:sz w:val="16"/>
                <w:szCs w:val="16"/>
              </w:rPr>
            </w:pPr>
          </w:p>
        </w:tc>
      </w:tr>
    </w:tbl>
    <w:p w14:paraId="4000DEAB" w14:textId="77777777" w:rsidR="00B23420" w:rsidRDefault="00B23420" w:rsidP="002142A2">
      <w:pPr>
        <w:pBdr>
          <w:top w:val="nil"/>
          <w:left w:val="nil"/>
          <w:bottom w:val="nil"/>
          <w:right w:val="nil"/>
          <w:between w:val="nil"/>
        </w:pBdr>
        <w:spacing w:after="5" w:line="271" w:lineRule="auto"/>
        <w:ind w:left="370" w:right="28"/>
        <w:jc w:val="both"/>
        <w:rPr>
          <w:rFonts w:ascii="Avenir" w:eastAsia="Avenir" w:hAnsi="Avenir" w:cs="Avenir"/>
          <w:color w:val="000000"/>
          <w:sz w:val="20"/>
          <w:szCs w:val="20"/>
          <w:highlight w:val="yellow"/>
        </w:rPr>
      </w:pPr>
    </w:p>
    <w:p w14:paraId="65FA646F" w14:textId="0418A1B9" w:rsidR="0024617D" w:rsidRPr="002142A2" w:rsidRDefault="00C83F85">
      <w:pPr>
        <w:numPr>
          <w:ilvl w:val="0"/>
          <w:numId w:val="5"/>
        </w:numPr>
        <w:pBdr>
          <w:top w:val="nil"/>
          <w:left w:val="nil"/>
          <w:bottom w:val="nil"/>
          <w:right w:val="nil"/>
          <w:between w:val="nil"/>
        </w:pBdr>
        <w:spacing w:after="5" w:line="271" w:lineRule="auto"/>
        <w:ind w:right="28"/>
        <w:jc w:val="both"/>
        <w:rPr>
          <w:rFonts w:ascii="Avenir" w:eastAsia="Avenir" w:hAnsi="Avenir" w:cs="Avenir"/>
          <w:color w:val="000000"/>
          <w:sz w:val="20"/>
          <w:szCs w:val="20"/>
        </w:rPr>
      </w:pPr>
      <w:r w:rsidRPr="002142A2">
        <w:rPr>
          <w:rFonts w:ascii="Avenir" w:eastAsia="Avenir" w:hAnsi="Avenir" w:cs="Avenir"/>
          <w:color w:val="000000"/>
          <w:sz w:val="20"/>
          <w:szCs w:val="20"/>
        </w:rPr>
        <w:t>Taux de décaissement par pilier de la Stratégie Nationale REDD+</w:t>
      </w:r>
    </w:p>
    <w:p w14:paraId="51EBE1D8" w14:textId="77777777" w:rsidR="0024617D" w:rsidRPr="00E11FFB" w:rsidRDefault="0024617D">
      <w:pPr>
        <w:keepNext/>
        <w:keepLines/>
        <w:ind w:left="20" w:right="28" w:hanging="10"/>
        <w:jc w:val="both"/>
        <w:rPr>
          <w:rFonts w:ascii="Avenir" w:eastAsia="Avenir" w:hAnsi="Avenir" w:cs="Avenir"/>
          <w:color w:val="000000"/>
          <w:sz w:val="16"/>
          <w:szCs w:val="16"/>
        </w:rPr>
      </w:pPr>
    </w:p>
    <w:tbl>
      <w:tblPr>
        <w:tblStyle w:val="12"/>
        <w:tblW w:w="87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2"/>
        <w:gridCol w:w="2458"/>
        <w:gridCol w:w="1985"/>
        <w:gridCol w:w="2189"/>
      </w:tblGrid>
      <w:tr w:rsidR="0024617D" w:rsidRPr="00E11FFB" w14:paraId="465C31CF" w14:textId="77777777" w:rsidTr="00EE71E1">
        <w:tc>
          <w:tcPr>
            <w:tcW w:w="2122" w:type="dxa"/>
            <w:shd w:val="clear" w:color="auto" w:fill="DEEBF6"/>
          </w:tcPr>
          <w:p w14:paraId="61440E68" w14:textId="77777777" w:rsidR="0024617D" w:rsidRPr="00E11FFB" w:rsidRDefault="00C83F85">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PILIER</w:t>
            </w:r>
          </w:p>
        </w:tc>
        <w:tc>
          <w:tcPr>
            <w:tcW w:w="2458" w:type="dxa"/>
            <w:shd w:val="clear" w:color="auto" w:fill="DEEBF6"/>
          </w:tcPr>
          <w:p w14:paraId="0AE99E0D" w14:textId="77777777" w:rsidR="0024617D" w:rsidRPr="00E11FFB" w:rsidRDefault="00C83F85" w:rsidP="00C460FF">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BUDGET DANS LE PRODOC</w:t>
            </w:r>
          </w:p>
        </w:tc>
        <w:tc>
          <w:tcPr>
            <w:tcW w:w="1985" w:type="dxa"/>
            <w:shd w:val="clear" w:color="auto" w:fill="DEEBF6"/>
          </w:tcPr>
          <w:p w14:paraId="3F610C46" w14:textId="77777777" w:rsidR="0024617D" w:rsidRPr="00E11FFB" w:rsidRDefault="00C83F85" w:rsidP="00C460FF">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DECAISSEMENTS ESTIMES POUR LA PERIODE DE RAPPORTAGE</w:t>
            </w:r>
          </w:p>
        </w:tc>
        <w:tc>
          <w:tcPr>
            <w:tcW w:w="2189" w:type="dxa"/>
            <w:shd w:val="clear" w:color="auto" w:fill="DEEBF6"/>
          </w:tcPr>
          <w:p w14:paraId="0920B213" w14:textId="77777777" w:rsidR="0024617D" w:rsidRPr="00E11FFB" w:rsidRDefault="00C83F85" w:rsidP="00C460FF">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DECAISSEMENTS CUMULES DEPUIS LE DEBUT DU PROJET</w:t>
            </w:r>
          </w:p>
        </w:tc>
      </w:tr>
      <w:tr w:rsidR="0000443E" w:rsidRPr="00E11FFB" w14:paraId="0F399784" w14:textId="77777777" w:rsidTr="00EE71E1">
        <w:tc>
          <w:tcPr>
            <w:tcW w:w="2122" w:type="dxa"/>
          </w:tcPr>
          <w:p w14:paraId="59EFA0CC" w14:textId="77777777"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Aménagement du Territoire</w:t>
            </w:r>
          </w:p>
        </w:tc>
        <w:tc>
          <w:tcPr>
            <w:tcW w:w="2458" w:type="dxa"/>
          </w:tcPr>
          <w:p w14:paraId="58F8A0B4" w14:textId="78EBE86E"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$1,000,478.00</w:t>
            </w:r>
          </w:p>
        </w:tc>
        <w:tc>
          <w:tcPr>
            <w:tcW w:w="1985" w:type="dxa"/>
          </w:tcPr>
          <w:p w14:paraId="5539F720" w14:textId="664478EF"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$430,239.04</w:t>
            </w:r>
          </w:p>
        </w:tc>
        <w:tc>
          <w:tcPr>
            <w:tcW w:w="2189" w:type="dxa"/>
          </w:tcPr>
          <w:p w14:paraId="2BCA6962" w14:textId="31D30319"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$430,239.04</w:t>
            </w:r>
          </w:p>
        </w:tc>
      </w:tr>
      <w:tr w:rsidR="0000443E" w:rsidRPr="00E11FFB" w14:paraId="097535FE" w14:textId="77777777" w:rsidTr="00EE71E1">
        <w:tc>
          <w:tcPr>
            <w:tcW w:w="2122" w:type="dxa"/>
          </w:tcPr>
          <w:p w14:paraId="2F765E4C" w14:textId="77777777"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Foncier</w:t>
            </w:r>
          </w:p>
        </w:tc>
        <w:tc>
          <w:tcPr>
            <w:tcW w:w="2458" w:type="dxa"/>
          </w:tcPr>
          <w:p w14:paraId="6B0C5E0D" w14:textId="77777777" w:rsidR="0000443E" w:rsidRPr="00E11FFB" w:rsidRDefault="0000443E" w:rsidP="0000443E">
            <w:pPr>
              <w:keepNext/>
              <w:keepLines/>
              <w:ind w:left="20" w:hanging="10"/>
              <w:jc w:val="center"/>
              <w:rPr>
                <w:rFonts w:ascii="Avenir" w:eastAsia="Avenir" w:hAnsi="Avenir" w:cs="Avenir"/>
                <w:color w:val="000000"/>
                <w:sz w:val="16"/>
                <w:szCs w:val="16"/>
              </w:rPr>
            </w:pPr>
          </w:p>
        </w:tc>
        <w:tc>
          <w:tcPr>
            <w:tcW w:w="1985" w:type="dxa"/>
          </w:tcPr>
          <w:p w14:paraId="54810DC2" w14:textId="77777777" w:rsidR="0000443E" w:rsidRPr="00E11FFB" w:rsidRDefault="0000443E" w:rsidP="0000443E">
            <w:pPr>
              <w:keepNext/>
              <w:keepLines/>
              <w:ind w:left="20" w:hanging="10"/>
              <w:jc w:val="center"/>
              <w:rPr>
                <w:rFonts w:ascii="Avenir" w:eastAsia="Avenir" w:hAnsi="Avenir" w:cs="Avenir"/>
                <w:color w:val="000000"/>
                <w:sz w:val="16"/>
                <w:szCs w:val="16"/>
              </w:rPr>
            </w:pPr>
          </w:p>
        </w:tc>
        <w:tc>
          <w:tcPr>
            <w:tcW w:w="2189" w:type="dxa"/>
          </w:tcPr>
          <w:p w14:paraId="75F9C130" w14:textId="77777777" w:rsidR="0000443E" w:rsidRPr="00E11FFB" w:rsidRDefault="0000443E" w:rsidP="0000443E">
            <w:pPr>
              <w:keepNext/>
              <w:keepLines/>
              <w:ind w:left="20" w:hanging="10"/>
              <w:jc w:val="center"/>
              <w:rPr>
                <w:rFonts w:ascii="Avenir" w:eastAsia="Avenir" w:hAnsi="Avenir" w:cs="Avenir"/>
                <w:color w:val="000000"/>
                <w:sz w:val="16"/>
                <w:szCs w:val="16"/>
              </w:rPr>
            </w:pPr>
          </w:p>
        </w:tc>
      </w:tr>
      <w:tr w:rsidR="0000443E" w:rsidRPr="00E11FFB" w14:paraId="3A90B922" w14:textId="77777777" w:rsidTr="00EE71E1">
        <w:tc>
          <w:tcPr>
            <w:tcW w:w="2122" w:type="dxa"/>
          </w:tcPr>
          <w:p w14:paraId="70A505F2" w14:textId="77777777"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Agriculture</w:t>
            </w:r>
          </w:p>
        </w:tc>
        <w:tc>
          <w:tcPr>
            <w:tcW w:w="2458" w:type="dxa"/>
          </w:tcPr>
          <w:p w14:paraId="05E2095B" w14:textId="5AEB5D85"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$1,036,300.00</w:t>
            </w:r>
          </w:p>
        </w:tc>
        <w:tc>
          <w:tcPr>
            <w:tcW w:w="1985" w:type="dxa"/>
          </w:tcPr>
          <w:p w14:paraId="4B8DA606" w14:textId="37428A4E"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$448,150.00</w:t>
            </w:r>
          </w:p>
        </w:tc>
        <w:tc>
          <w:tcPr>
            <w:tcW w:w="2189" w:type="dxa"/>
          </w:tcPr>
          <w:p w14:paraId="14271657" w14:textId="072A9C5E"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$448,150.00</w:t>
            </w:r>
          </w:p>
        </w:tc>
      </w:tr>
      <w:tr w:rsidR="0000443E" w:rsidRPr="00E11FFB" w14:paraId="01A587A0" w14:textId="77777777" w:rsidTr="00EE71E1">
        <w:tc>
          <w:tcPr>
            <w:tcW w:w="2122" w:type="dxa"/>
          </w:tcPr>
          <w:p w14:paraId="5D1B29A9" w14:textId="08A1D920"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Forêt (y compris ACE)</w:t>
            </w:r>
          </w:p>
        </w:tc>
        <w:tc>
          <w:tcPr>
            <w:tcW w:w="2458" w:type="dxa"/>
          </w:tcPr>
          <w:p w14:paraId="761A3034" w14:textId="559B84A5" w:rsidR="0000443E" w:rsidRPr="00E11FFB" w:rsidRDefault="0000443E" w:rsidP="0000443E">
            <w:pPr>
              <w:keepNext/>
              <w:keepLines/>
              <w:tabs>
                <w:tab w:val="right" w:pos="1754"/>
              </w:tab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$2,145,174.00</w:t>
            </w:r>
          </w:p>
        </w:tc>
        <w:tc>
          <w:tcPr>
            <w:tcW w:w="1985" w:type="dxa"/>
          </w:tcPr>
          <w:p w14:paraId="65B825BD" w14:textId="68BCC7B6"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$998,087.00</w:t>
            </w:r>
          </w:p>
        </w:tc>
        <w:tc>
          <w:tcPr>
            <w:tcW w:w="2189" w:type="dxa"/>
          </w:tcPr>
          <w:p w14:paraId="648C9E65" w14:textId="08BD842A"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$998,087.00</w:t>
            </w:r>
          </w:p>
        </w:tc>
      </w:tr>
      <w:tr w:rsidR="0000443E" w:rsidRPr="00E11FFB" w14:paraId="3E14B4DF" w14:textId="77777777" w:rsidTr="00EE71E1">
        <w:tc>
          <w:tcPr>
            <w:tcW w:w="2122" w:type="dxa"/>
          </w:tcPr>
          <w:p w14:paraId="4650AD10" w14:textId="77777777"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Energie</w:t>
            </w:r>
          </w:p>
        </w:tc>
        <w:tc>
          <w:tcPr>
            <w:tcW w:w="2458" w:type="dxa"/>
          </w:tcPr>
          <w:p w14:paraId="200C1189" w14:textId="77777777" w:rsidR="0000443E" w:rsidRPr="00E11FFB" w:rsidRDefault="0000443E" w:rsidP="0000443E">
            <w:pPr>
              <w:keepNext/>
              <w:keepLines/>
              <w:ind w:left="20" w:hanging="10"/>
              <w:jc w:val="center"/>
              <w:rPr>
                <w:rFonts w:ascii="Avenir" w:eastAsia="Avenir" w:hAnsi="Avenir" w:cs="Avenir"/>
                <w:color w:val="000000"/>
                <w:sz w:val="16"/>
                <w:szCs w:val="16"/>
              </w:rPr>
            </w:pPr>
          </w:p>
        </w:tc>
        <w:tc>
          <w:tcPr>
            <w:tcW w:w="1985" w:type="dxa"/>
          </w:tcPr>
          <w:p w14:paraId="0A098818" w14:textId="77777777" w:rsidR="0000443E" w:rsidRPr="00E11FFB" w:rsidRDefault="0000443E" w:rsidP="0000443E">
            <w:pPr>
              <w:keepNext/>
              <w:keepLines/>
              <w:ind w:left="20" w:hanging="10"/>
              <w:jc w:val="center"/>
              <w:rPr>
                <w:rFonts w:ascii="Avenir" w:eastAsia="Avenir" w:hAnsi="Avenir" w:cs="Avenir"/>
                <w:color w:val="000000"/>
                <w:sz w:val="16"/>
                <w:szCs w:val="16"/>
              </w:rPr>
            </w:pPr>
          </w:p>
        </w:tc>
        <w:tc>
          <w:tcPr>
            <w:tcW w:w="2189" w:type="dxa"/>
          </w:tcPr>
          <w:p w14:paraId="2AB6B399" w14:textId="77777777" w:rsidR="0000443E" w:rsidRPr="00E11FFB" w:rsidRDefault="0000443E" w:rsidP="0000443E">
            <w:pPr>
              <w:keepNext/>
              <w:keepLines/>
              <w:ind w:left="20" w:hanging="10"/>
              <w:jc w:val="center"/>
              <w:rPr>
                <w:rFonts w:ascii="Avenir" w:eastAsia="Avenir" w:hAnsi="Avenir" w:cs="Avenir"/>
                <w:color w:val="000000"/>
                <w:sz w:val="16"/>
                <w:szCs w:val="16"/>
              </w:rPr>
            </w:pPr>
          </w:p>
        </w:tc>
      </w:tr>
      <w:tr w:rsidR="0000443E" w:rsidRPr="00E11FFB" w14:paraId="67673FE4" w14:textId="77777777" w:rsidTr="00EE71E1">
        <w:tc>
          <w:tcPr>
            <w:tcW w:w="2122" w:type="dxa"/>
          </w:tcPr>
          <w:p w14:paraId="3B6BA302" w14:textId="77777777"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Mines et Hydrocarbures</w:t>
            </w:r>
          </w:p>
        </w:tc>
        <w:tc>
          <w:tcPr>
            <w:tcW w:w="2458" w:type="dxa"/>
          </w:tcPr>
          <w:p w14:paraId="2B594EF5" w14:textId="7F31F1A6"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$633,000.00</w:t>
            </w:r>
          </w:p>
        </w:tc>
        <w:tc>
          <w:tcPr>
            <w:tcW w:w="1985" w:type="dxa"/>
          </w:tcPr>
          <w:p w14:paraId="1C36CE92" w14:textId="368FD0FB"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$176,500.00</w:t>
            </w:r>
          </w:p>
        </w:tc>
        <w:tc>
          <w:tcPr>
            <w:tcW w:w="2189" w:type="dxa"/>
          </w:tcPr>
          <w:p w14:paraId="7D9F680A" w14:textId="6983F3B5"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$176,500.00</w:t>
            </w:r>
          </w:p>
        </w:tc>
      </w:tr>
      <w:tr w:rsidR="0000443E" w:rsidRPr="00E11FFB" w14:paraId="2677C169" w14:textId="77777777" w:rsidTr="00EE71E1">
        <w:tc>
          <w:tcPr>
            <w:tcW w:w="2122" w:type="dxa"/>
          </w:tcPr>
          <w:p w14:paraId="7F0AFC32" w14:textId="77777777"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Démographie</w:t>
            </w:r>
          </w:p>
        </w:tc>
        <w:tc>
          <w:tcPr>
            <w:tcW w:w="2458" w:type="dxa"/>
          </w:tcPr>
          <w:p w14:paraId="6379F95B" w14:textId="4DD6FAC5"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$1,000,600.00</w:t>
            </w:r>
          </w:p>
        </w:tc>
        <w:tc>
          <w:tcPr>
            <w:tcW w:w="1985" w:type="dxa"/>
          </w:tcPr>
          <w:p w14:paraId="5960072D" w14:textId="4B5514ED"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$430,300.00</w:t>
            </w:r>
          </w:p>
        </w:tc>
        <w:tc>
          <w:tcPr>
            <w:tcW w:w="2189" w:type="dxa"/>
          </w:tcPr>
          <w:p w14:paraId="5400317F" w14:textId="0629464B"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$430,300.00</w:t>
            </w:r>
          </w:p>
        </w:tc>
      </w:tr>
      <w:tr w:rsidR="0000443E" w:rsidRPr="00E11FFB" w14:paraId="58D8D56F" w14:textId="77777777" w:rsidTr="00EE71E1">
        <w:tc>
          <w:tcPr>
            <w:tcW w:w="2122" w:type="dxa"/>
          </w:tcPr>
          <w:p w14:paraId="5B439EAD" w14:textId="7145D87B" w:rsidR="0000443E" w:rsidRPr="00E11FFB" w:rsidRDefault="0000443E" w:rsidP="0000443E">
            <w:pPr>
              <w:keepNext/>
              <w:keepLines/>
              <w:ind w:left="20" w:hanging="10"/>
              <w:jc w:val="both"/>
              <w:rPr>
                <w:rFonts w:ascii="Avenir" w:eastAsia="Avenir" w:hAnsi="Avenir" w:cs="Avenir"/>
                <w:color w:val="000000"/>
                <w:sz w:val="16"/>
                <w:szCs w:val="16"/>
              </w:rPr>
            </w:pPr>
            <w:r w:rsidRPr="00E11FFB">
              <w:rPr>
                <w:rFonts w:ascii="Avenir" w:eastAsia="Avenir" w:hAnsi="Avenir" w:cs="Avenir"/>
                <w:color w:val="000000"/>
                <w:sz w:val="16"/>
                <w:szCs w:val="16"/>
              </w:rPr>
              <w:t>Gouvernance (ITIE)</w:t>
            </w:r>
          </w:p>
        </w:tc>
        <w:tc>
          <w:tcPr>
            <w:tcW w:w="2458" w:type="dxa"/>
          </w:tcPr>
          <w:p w14:paraId="4C2B4244" w14:textId="01CC5A36"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$913,200.00</w:t>
            </w:r>
          </w:p>
        </w:tc>
        <w:tc>
          <w:tcPr>
            <w:tcW w:w="1985" w:type="dxa"/>
          </w:tcPr>
          <w:p w14:paraId="329A085D" w14:textId="0499599D"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$456,600.00</w:t>
            </w:r>
          </w:p>
        </w:tc>
        <w:tc>
          <w:tcPr>
            <w:tcW w:w="2189" w:type="dxa"/>
          </w:tcPr>
          <w:p w14:paraId="5A3FB392" w14:textId="787A4F0F" w:rsidR="0000443E" w:rsidRPr="00E11FFB" w:rsidRDefault="0000443E" w:rsidP="0000443E">
            <w:pPr>
              <w:keepNext/>
              <w:keepLines/>
              <w:ind w:left="20" w:hanging="10"/>
              <w:jc w:val="center"/>
              <w:rPr>
                <w:rFonts w:ascii="Avenir" w:eastAsia="Avenir" w:hAnsi="Avenir" w:cs="Avenir"/>
                <w:color w:val="000000"/>
                <w:sz w:val="16"/>
                <w:szCs w:val="16"/>
              </w:rPr>
            </w:pPr>
            <w:r w:rsidRPr="00E11FFB">
              <w:rPr>
                <w:rFonts w:ascii="Avenir" w:eastAsia="Avenir" w:hAnsi="Avenir" w:cs="Avenir"/>
                <w:color w:val="000000"/>
                <w:sz w:val="16"/>
                <w:szCs w:val="16"/>
              </w:rPr>
              <w:t>$456,600.00</w:t>
            </w:r>
          </w:p>
        </w:tc>
      </w:tr>
    </w:tbl>
    <w:p w14:paraId="1180E4A9" w14:textId="77777777" w:rsidR="0024617D" w:rsidRPr="00E11FFB" w:rsidRDefault="0024617D">
      <w:pPr>
        <w:keepNext/>
        <w:keepLines/>
        <w:ind w:left="20" w:right="28" w:hanging="10"/>
        <w:jc w:val="both"/>
        <w:rPr>
          <w:rFonts w:ascii="Avenir" w:eastAsia="Avenir" w:hAnsi="Avenir" w:cs="Avenir"/>
          <w:color w:val="000000"/>
          <w:sz w:val="16"/>
          <w:szCs w:val="16"/>
        </w:rPr>
      </w:pPr>
    </w:p>
    <w:p w14:paraId="1F2191EB" w14:textId="77777777" w:rsidR="0024617D" w:rsidRPr="00E11FFB" w:rsidRDefault="00C83F85">
      <w:pPr>
        <w:pStyle w:val="Titre2"/>
      </w:pPr>
      <w:bookmarkStart w:id="29" w:name="_Toc224044718"/>
      <w:r w:rsidRPr="00E11FFB">
        <w:t>7.2 Suivi des Contrats</w:t>
      </w:r>
      <w:bookmarkEnd w:id="29"/>
    </w:p>
    <w:p w14:paraId="0498E4E4" w14:textId="77777777" w:rsidR="0024617D" w:rsidRPr="00860106" w:rsidRDefault="0024617D">
      <w:pPr>
        <w:pBdr>
          <w:top w:val="nil"/>
          <w:left w:val="nil"/>
          <w:bottom w:val="nil"/>
          <w:right w:val="nil"/>
          <w:between w:val="nil"/>
        </w:pBdr>
        <w:spacing w:line="271" w:lineRule="auto"/>
        <w:ind w:left="10" w:right="28"/>
        <w:jc w:val="both"/>
        <w:rPr>
          <w:rFonts w:ascii="Avenir" w:eastAsia="Avenir" w:hAnsi="Avenir" w:cs="Avenir"/>
          <w:color w:val="000000"/>
          <w:sz w:val="9"/>
          <w:szCs w:val="9"/>
        </w:rPr>
      </w:pPr>
    </w:p>
    <w:p w14:paraId="73F9E1DE" w14:textId="06817652" w:rsidR="002C2A89" w:rsidRPr="00860106" w:rsidRDefault="002C2A89" w:rsidP="002C2A89">
      <w:pPr>
        <w:rPr>
          <w:rFonts w:ascii="Avenir" w:eastAsia="Avenir" w:hAnsi="Avenir" w:cs="Avenir"/>
          <w:sz w:val="22"/>
          <w:szCs w:val="22"/>
        </w:rPr>
      </w:pPr>
      <w:r w:rsidRPr="00E11FFB">
        <w:rPr>
          <w:rFonts w:ascii="Avenir" w:eastAsia="Avenir" w:hAnsi="Avenir" w:cs="Avenir"/>
          <w:sz w:val="22"/>
          <w:szCs w:val="22"/>
        </w:rPr>
        <w:t xml:space="preserve">Tableau 10 - Suivi des contrats </w:t>
      </w:r>
    </w:p>
    <w:tbl>
      <w:tblPr>
        <w:tblStyle w:val="5"/>
        <w:tblW w:w="10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810"/>
        <w:gridCol w:w="1357"/>
        <w:gridCol w:w="1405"/>
        <w:gridCol w:w="1075"/>
        <w:gridCol w:w="992"/>
        <w:gridCol w:w="869"/>
        <w:gridCol w:w="1317"/>
        <w:gridCol w:w="1039"/>
        <w:gridCol w:w="1360"/>
      </w:tblGrid>
      <w:tr w:rsidR="002C2A89" w:rsidRPr="002142A2" w14:paraId="1F1D9756" w14:textId="77777777" w:rsidTr="00860106">
        <w:trPr>
          <w:trHeight w:val="415"/>
          <w:jc w:val="center"/>
        </w:trPr>
        <w:tc>
          <w:tcPr>
            <w:tcW w:w="562" w:type="dxa"/>
            <w:shd w:val="clear" w:color="auto" w:fill="BDD7EE"/>
            <w:vAlign w:val="center"/>
          </w:tcPr>
          <w:p w14:paraId="545B0359" w14:textId="77777777" w:rsidR="002C2A89" w:rsidRPr="0000443E" w:rsidRDefault="002C2A89" w:rsidP="003A6DE1">
            <w:pPr>
              <w:jc w:val="center"/>
              <w:rPr>
                <w:rFonts w:ascii="Avenir" w:eastAsia="Avenir" w:hAnsi="Avenir" w:cs="Avenir"/>
                <w:b/>
                <w:sz w:val="16"/>
                <w:szCs w:val="16"/>
              </w:rPr>
            </w:pPr>
            <w:r w:rsidRPr="0000443E">
              <w:rPr>
                <w:rFonts w:ascii="Avenir" w:eastAsia="Avenir" w:hAnsi="Avenir" w:cs="Avenir"/>
                <w:b/>
                <w:sz w:val="16"/>
                <w:szCs w:val="16"/>
              </w:rPr>
              <w:t>N° du Contrat</w:t>
            </w:r>
          </w:p>
        </w:tc>
        <w:tc>
          <w:tcPr>
            <w:tcW w:w="810" w:type="dxa"/>
            <w:shd w:val="clear" w:color="auto" w:fill="BDD7EE"/>
            <w:vAlign w:val="center"/>
          </w:tcPr>
          <w:p w14:paraId="429C575B"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Intitulé et thématique</w:t>
            </w:r>
          </w:p>
        </w:tc>
        <w:tc>
          <w:tcPr>
            <w:tcW w:w="1357" w:type="dxa"/>
            <w:shd w:val="clear" w:color="auto" w:fill="BDD7EE"/>
          </w:tcPr>
          <w:p w14:paraId="045142CF" w14:textId="54B28A09" w:rsidR="002C2A89" w:rsidRPr="0000443E" w:rsidRDefault="002C2A89" w:rsidP="00860106">
            <w:pPr>
              <w:ind w:right="-102"/>
              <w:rPr>
                <w:rFonts w:ascii="Avenir" w:eastAsia="Avenir" w:hAnsi="Avenir" w:cs="Avenir"/>
                <w:b/>
                <w:sz w:val="16"/>
                <w:szCs w:val="16"/>
              </w:rPr>
            </w:pPr>
            <w:r w:rsidRPr="0000443E">
              <w:rPr>
                <w:rFonts w:ascii="Avenir" w:eastAsia="Avenir" w:hAnsi="Avenir" w:cs="Avenir"/>
                <w:b/>
                <w:sz w:val="16"/>
                <w:szCs w:val="16"/>
              </w:rPr>
              <w:t>Type (ONG internationale, ONG nationale, entité publique, secteur privé, autre)</w:t>
            </w:r>
          </w:p>
        </w:tc>
        <w:tc>
          <w:tcPr>
            <w:tcW w:w="1405" w:type="dxa"/>
            <w:shd w:val="clear" w:color="auto" w:fill="BDD7EE"/>
          </w:tcPr>
          <w:p w14:paraId="3C7CAB43"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Sous type (voir liste ci-dessous)</w:t>
            </w:r>
          </w:p>
        </w:tc>
        <w:tc>
          <w:tcPr>
            <w:tcW w:w="1075" w:type="dxa"/>
            <w:shd w:val="clear" w:color="auto" w:fill="BDD7EE"/>
            <w:vAlign w:val="center"/>
          </w:tcPr>
          <w:p w14:paraId="15C2EC52"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Montant du contrat</w:t>
            </w:r>
          </w:p>
        </w:tc>
        <w:tc>
          <w:tcPr>
            <w:tcW w:w="992" w:type="dxa"/>
            <w:shd w:val="clear" w:color="auto" w:fill="BDD7EE"/>
            <w:vAlign w:val="center"/>
          </w:tcPr>
          <w:p w14:paraId="71F0B8D0"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Date signature contrat</w:t>
            </w:r>
          </w:p>
        </w:tc>
        <w:tc>
          <w:tcPr>
            <w:tcW w:w="869" w:type="dxa"/>
            <w:shd w:val="clear" w:color="auto" w:fill="BDD7EE"/>
            <w:vAlign w:val="center"/>
          </w:tcPr>
          <w:p w14:paraId="3AEEF827"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Date début des activités</w:t>
            </w:r>
          </w:p>
        </w:tc>
        <w:tc>
          <w:tcPr>
            <w:tcW w:w="1317" w:type="dxa"/>
            <w:shd w:val="clear" w:color="auto" w:fill="BDD7EE"/>
            <w:vAlign w:val="center"/>
          </w:tcPr>
          <w:p w14:paraId="7CB2BBEB"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Date fin Contrat</w:t>
            </w:r>
          </w:p>
        </w:tc>
        <w:tc>
          <w:tcPr>
            <w:tcW w:w="1039" w:type="dxa"/>
            <w:shd w:val="clear" w:color="auto" w:fill="BDD7EE"/>
            <w:vAlign w:val="center"/>
          </w:tcPr>
          <w:p w14:paraId="6FE018B6"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Délai Exécution Prévu</w:t>
            </w:r>
          </w:p>
        </w:tc>
        <w:tc>
          <w:tcPr>
            <w:tcW w:w="1360" w:type="dxa"/>
            <w:shd w:val="clear" w:color="auto" w:fill="BDD7EE"/>
            <w:vAlign w:val="center"/>
          </w:tcPr>
          <w:p w14:paraId="0320DF27" w14:textId="77777777" w:rsidR="002C2A89" w:rsidRPr="0000443E" w:rsidRDefault="002C2A89" w:rsidP="003A6DE1">
            <w:pPr>
              <w:rPr>
                <w:rFonts w:ascii="Avenir" w:eastAsia="Avenir" w:hAnsi="Avenir" w:cs="Avenir"/>
                <w:b/>
                <w:sz w:val="16"/>
                <w:szCs w:val="16"/>
              </w:rPr>
            </w:pPr>
            <w:r w:rsidRPr="0000443E">
              <w:rPr>
                <w:rFonts w:ascii="Avenir" w:eastAsia="Avenir" w:hAnsi="Avenir" w:cs="Avenir"/>
                <w:b/>
                <w:sz w:val="16"/>
                <w:szCs w:val="16"/>
              </w:rPr>
              <w:t>Commentaires</w:t>
            </w:r>
          </w:p>
        </w:tc>
      </w:tr>
      <w:tr w:rsidR="00860106" w:rsidRPr="002142A2" w14:paraId="59226EF4" w14:textId="77777777" w:rsidTr="00860106">
        <w:trPr>
          <w:trHeight w:val="286"/>
          <w:jc w:val="center"/>
        </w:trPr>
        <w:tc>
          <w:tcPr>
            <w:tcW w:w="562" w:type="dxa"/>
            <w:vAlign w:val="center"/>
          </w:tcPr>
          <w:p w14:paraId="4D43929D" w14:textId="77777777" w:rsidR="00860106" w:rsidRPr="0000443E" w:rsidRDefault="00860106" w:rsidP="003A6DE1">
            <w:pPr>
              <w:rPr>
                <w:rFonts w:ascii="Avenir" w:eastAsia="Avenir" w:hAnsi="Avenir" w:cs="Avenir"/>
                <w:b/>
                <w:sz w:val="16"/>
                <w:szCs w:val="16"/>
              </w:rPr>
            </w:pPr>
            <w:r w:rsidRPr="0000443E">
              <w:rPr>
                <w:rFonts w:ascii="Avenir" w:eastAsia="Avenir" w:hAnsi="Avenir" w:cs="Avenir"/>
                <w:b/>
                <w:sz w:val="16"/>
                <w:szCs w:val="16"/>
              </w:rPr>
              <w:t> </w:t>
            </w:r>
          </w:p>
        </w:tc>
        <w:tc>
          <w:tcPr>
            <w:tcW w:w="810" w:type="dxa"/>
            <w:vAlign w:val="center"/>
          </w:tcPr>
          <w:p w14:paraId="345C6FBF"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Aménagement du Territoire</w:t>
            </w:r>
          </w:p>
        </w:tc>
        <w:tc>
          <w:tcPr>
            <w:tcW w:w="1357" w:type="dxa"/>
            <w:vAlign w:val="center"/>
          </w:tcPr>
          <w:p w14:paraId="5937BCA4"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4A4CB9A4"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7C7AAF27"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430 239,04</w:t>
            </w:r>
          </w:p>
        </w:tc>
        <w:tc>
          <w:tcPr>
            <w:tcW w:w="992" w:type="dxa"/>
            <w:vAlign w:val="center"/>
          </w:tcPr>
          <w:p w14:paraId="099E5E90"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2 juin 2025</w:t>
            </w:r>
          </w:p>
        </w:tc>
        <w:tc>
          <w:tcPr>
            <w:tcW w:w="869" w:type="dxa"/>
            <w:vAlign w:val="center"/>
          </w:tcPr>
          <w:p w14:paraId="1B9E634D"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Avril 2025</w:t>
            </w:r>
          </w:p>
        </w:tc>
        <w:tc>
          <w:tcPr>
            <w:tcW w:w="1317" w:type="dxa"/>
            <w:vAlign w:val="center"/>
          </w:tcPr>
          <w:p w14:paraId="2654422A"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097AF9C9"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restart"/>
            <w:vAlign w:val="center"/>
          </w:tcPr>
          <w:p w14:paraId="7D015E4F"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w:t>
            </w:r>
            <w:r>
              <w:rPr>
                <w:rFonts w:ascii="Avenir" w:eastAsia="Avenir" w:hAnsi="Avenir" w:cs="Avenir"/>
                <w:bCs/>
                <w:sz w:val="16"/>
                <w:szCs w:val="16"/>
              </w:rPr>
              <w:t>Extension des accords faite jusqu’au 31 mars 2026 pour permettre la finalisation des activités de la 1</w:t>
            </w:r>
            <w:r w:rsidRPr="00860106">
              <w:rPr>
                <w:rFonts w:ascii="Avenir" w:eastAsia="Avenir" w:hAnsi="Avenir" w:cs="Avenir"/>
                <w:bCs/>
                <w:sz w:val="16"/>
                <w:szCs w:val="16"/>
                <w:vertAlign w:val="superscript"/>
              </w:rPr>
              <w:t>ère</w:t>
            </w:r>
            <w:r>
              <w:rPr>
                <w:rFonts w:ascii="Avenir" w:eastAsia="Avenir" w:hAnsi="Avenir" w:cs="Avenir"/>
                <w:bCs/>
                <w:sz w:val="16"/>
                <w:szCs w:val="16"/>
              </w:rPr>
              <w:t xml:space="preserve"> tranche</w:t>
            </w:r>
          </w:p>
          <w:p w14:paraId="388BE932"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w:t>
            </w:r>
          </w:p>
          <w:p w14:paraId="6A7DFD9A"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w:t>
            </w:r>
          </w:p>
          <w:p w14:paraId="4DCD5428" w14:textId="7E76DFFF"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w:t>
            </w:r>
          </w:p>
        </w:tc>
      </w:tr>
      <w:tr w:rsidR="00860106" w:rsidRPr="002142A2" w14:paraId="533A10C3" w14:textId="77777777" w:rsidTr="00860106">
        <w:trPr>
          <w:trHeight w:val="286"/>
          <w:jc w:val="center"/>
        </w:trPr>
        <w:tc>
          <w:tcPr>
            <w:tcW w:w="562" w:type="dxa"/>
            <w:vAlign w:val="center"/>
          </w:tcPr>
          <w:p w14:paraId="19075A1D" w14:textId="77777777" w:rsidR="00860106" w:rsidRPr="0000443E" w:rsidRDefault="00860106" w:rsidP="003A6DE1">
            <w:pPr>
              <w:rPr>
                <w:rFonts w:ascii="Avenir" w:eastAsia="Avenir" w:hAnsi="Avenir" w:cs="Avenir"/>
                <w:b/>
                <w:sz w:val="16"/>
                <w:szCs w:val="16"/>
              </w:rPr>
            </w:pPr>
            <w:r w:rsidRPr="0000443E">
              <w:rPr>
                <w:rFonts w:ascii="Avenir" w:eastAsia="Avenir" w:hAnsi="Avenir" w:cs="Avenir"/>
                <w:b/>
                <w:sz w:val="16"/>
                <w:szCs w:val="16"/>
              </w:rPr>
              <w:t> </w:t>
            </w:r>
          </w:p>
        </w:tc>
        <w:tc>
          <w:tcPr>
            <w:tcW w:w="810" w:type="dxa"/>
            <w:vAlign w:val="center"/>
          </w:tcPr>
          <w:p w14:paraId="4A18CB59"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Agriculture</w:t>
            </w:r>
          </w:p>
        </w:tc>
        <w:tc>
          <w:tcPr>
            <w:tcW w:w="1357" w:type="dxa"/>
            <w:vAlign w:val="center"/>
          </w:tcPr>
          <w:p w14:paraId="343DF3BE"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47BC94C4"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28A40DC1"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448 150</w:t>
            </w:r>
          </w:p>
        </w:tc>
        <w:tc>
          <w:tcPr>
            <w:tcW w:w="992" w:type="dxa"/>
            <w:vAlign w:val="center"/>
          </w:tcPr>
          <w:p w14:paraId="38B063D4"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2 juin 2025</w:t>
            </w:r>
          </w:p>
        </w:tc>
        <w:tc>
          <w:tcPr>
            <w:tcW w:w="869" w:type="dxa"/>
            <w:vAlign w:val="center"/>
          </w:tcPr>
          <w:p w14:paraId="61F29720"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Avril 2025</w:t>
            </w:r>
          </w:p>
        </w:tc>
        <w:tc>
          <w:tcPr>
            <w:tcW w:w="1317" w:type="dxa"/>
            <w:vAlign w:val="center"/>
          </w:tcPr>
          <w:p w14:paraId="329CA208"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3E00ECF7"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448F9453" w14:textId="577D4D0A" w:rsidR="00860106" w:rsidRPr="0000443E" w:rsidRDefault="00860106" w:rsidP="003A6DE1">
            <w:pPr>
              <w:rPr>
                <w:rFonts w:ascii="Avenir" w:eastAsia="Avenir" w:hAnsi="Avenir" w:cs="Avenir"/>
                <w:bCs/>
                <w:sz w:val="16"/>
                <w:szCs w:val="16"/>
              </w:rPr>
            </w:pPr>
          </w:p>
        </w:tc>
      </w:tr>
      <w:tr w:rsidR="00860106" w:rsidRPr="002142A2" w14:paraId="08CAE24E" w14:textId="77777777" w:rsidTr="00860106">
        <w:trPr>
          <w:trHeight w:val="286"/>
          <w:jc w:val="center"/>
        </w:trPr>
        <w:tc>
          <w:tcPr>
            <w:tcW w:w="562" w:type="dxa"/>
            <w:vAlign w:val="center"/>
          </w:tcPr>
          <w:p w14:paraId="75A1F628" w14:textId="77777777" w:rsidR="00860106" w:rsidRPr="0000443E" w:rsidRDefault="00860106" w:rsidP="003A6DE1">
            <w:pPr>
              <w:rPr>
                <w:rFonts w:ascii="Avenir" w:eastAsia="Avenir" w:hAnsi="Avenir" w:cs="Avenir"/>
                <w:b/>
                <w:sz w:val="16"/>
                <w:szCs w:val="16"/>
              </w:rPr>
            </w:pPr>
            <w:r w:rsidRPr="0000443E">
              <w:rPr>
                <w:rFonts w:ascii="Avenir" w:eastAsia="Avenir" w:hAnsi="Avenir" w:cs="Avenir"/>
                <w:b/>
                <w:sz w:val="16"/>
                <w:szCs w:val="16"/>
              </w:rPr>
              <w:t> </w:t>
            </w:r>
          </w:p>
        </w:tc>
        <w:tc>
          <w:tcPr>
            <w:tcW w:w="810" w:type="dxa"/>
            <w:vAlign w:val="center"/>
          </w:tcPr>
          <w:p w14:paraId="616D5D42"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Forêt et ACE</w:t>
            </w:r>
          </w:p>
        </w:tc>
        <w:tc>
          <w:tcPr>
            <w:tcW w:w="1357" w:type="dxa"/>
            <w:vAlign w:val="center"/>
          </w:tcPr>
          <w:p w14:paraId="3B9F8937"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725FCD75"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6059F079"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998 087,00</w:t>
            </w:r>
          </w:p>
        </w:tc>
        <w:tc>
          <w:tcPr>
            <w:tcW w:w="992" w:type="dxa"/>
            <w:vAlign w:val="center"/>
          </w:tcPr>
          <w:p w14:paraId="756B2C3E"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30 juin 2025</w:t>
            </w:r>
          </w:p>
        </w:tc>
        <w:tc>
          <w:tcPr>
            <w:tcW w:w="869" w:type="dxa"/>
            <w:vAlign w:val="center"/>
          </w:tcPr>
          <w:p w14:paraId="2B8D4202"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Avril 2025</w:t>
            </w:r>
          </w:p>
        </w:tc>
        <w:tc>
          <w:tcPr>
            <w:tcW w:w="1317" w:type="dxa"/>
            <w:vAlign w:val="center"/>
          </w:tcPr>
          <w:p w14:paraId="652A0763"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186A57CE"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42B73075" w14:textId="6A650360" w:rsidR="00860106" w:rsidRPr="0000443E" w:rsidRDefault="00860106" w:rsidP="003A6DE1">
            <w:pPr>
              <w:rPr>
                <w:rFonts w:ascii="Avenir" w:eastAsia="Avenir" w:hAnsi="Avenir" w:cs="Avenir"/>
                <w:bCs/>
                <w:sz w:val="16"/>
                <w:szCs w:val="16"/>
              </w:rPr>
            </w:pPr>
          </w:p>
        </w:tc>
      </w:tr>
      <w:tr w:rsidR="00860106" w:rsidRPr="002142A2" w14:paraId="3DEB0CD4" w14:textId="77777777" w:rsidTr="00860106">
        <w:trPr>
          <w:trHeight w:val="286"/>
          <w:jc w:val="center"/>
        </w:trPr>
        <w:tc>
          <w:tcPr>
            <w:tcW w:w="562" w:type="dxa"/>
            <w:vAlign w:val="center"/>
          </w:tcPr>
          <w:p w14:paraId="6A589018" w14:textId="77777777" w:rsidR="00860106" w:rsidRPr="0000443E" w:rsidRDefault="00860106" w:rsidP="003A6DE1">
            <w:pPr>
              <w:rPr>
                <w:rFonts w:ascii="Avenir" w:eastAsia="Avenir" w:hAnsi="Avenir" w:cs="Avenir"/>
                <w:b/>
                <w:sz w:val="16"/>
                <w:szCs w:val="16"/>
              </w:rPr>
            </w:pPr>
            <w:r w:rsidRPr="0000443E">
              <w:rPr>
                <w:rFonts w:ascii="Avenir" w:eastAsia="Avenir" w:hAnsi="Avenir" w:cs="Avenir"/>
                <w:b/>
                <w:sz w:val="16"/>
                <w:szCs w:val="16"/>
              </w:rPr>
              <w:t> </w:t>
            </w:r>
          </w:p>
        </w:tc>
        <w:tc>
          <w:tcPr>
            <w:tcW w:w="810" w:type="dxa"/>
            <w:vAlign w:val="center"/>
          </w:tcPr>
          <w:p w14:paraId="629CC6AD"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Démographie</w:t>
            </w:r>
          </w:p>
        </w:tc>
        <w:tc>
          <w:tcPr>
            <w:tcW w:w="1357" w:type="dxa"/>
            <w:vAlign w:val="center"/>
          </w:tcPr>
          <w:p w14:paraId="337ED282"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235EA224"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007EFB8D"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430 300</w:t>
            </w:r>
          </w:p>
        </w:tc>
        <w:tc>
          <w:tcPr>
            <w:tcW w:w="992" w:type="dxa"/>
            <w:vAlign w:val="center"/>
          </w:tcPr>
          <w:p w14:paraId="2284F3BE"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3 juin 2025</w:t>
            </w:r>
          </w:p>
        </w:tc>
        <w:tc>
          <w:tcPr>
            <w:tcW w:w="869" w:type="dxa"/>
            <w:vAlign w:val="center"/>
          </w:tcPr>
          <w:p w14:paraId="6187773F"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Avril 2025</w:t>
            </w:r>
          </w:p>
        </w:tc>
        <w:tc>
          <w:tcPr>
            <w:tcW w:w="1317" w:type="dxa"/>
            <w:vAlign w:val="center"/>
          </w:tcPr>
          <w:p w14:paraId="24F68C36"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216DA705"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06AD3586" w14:textId="16837AAB" w:rsidR="00860106" w:rsidRPr="0000443E" w:rsidRDefault="00860106" w:rsidP="003A6DE1">
            <w:pPr>
              <w:rPr>
                <w:rFonts w:ascii="Avenir" w:eastAsia="Avenir" w:hAnsi="Avenir" w:cs="Avenir"/>
                <w:bCs/>
                <w:sz w:val="16"/>
                <w:szCs w:val="16"/>
              </w:rPr>
            </w:pPr>
          </w:p>
        </w:tc>
      </w:tr>
      <w:tr w:rsidR="00860106" w:rsidRPr="002142A2" w14:paraId="40E77D41" w14:textId="77777777" w:rsidTr="00860106">
        <w:trPr>
          <w:trHeight w:val="286"/>
          <w:jc w:val="center"/>
        </w:trPr>
        <w:tc>
          <w:tcPr>
            <w:tcW w:w="562" w:type="dxa"/>
            <w:vAlign w:val="center"/>
          </w:tcPr>
          <w:p w14:paraId="7D57EEDD" w14:textId="77777777" w:rsidR="00860106" w:rsidRPr="0000443E" w:rsidRDefault="00860106" w:rsidP="003A6DE1">
            <w:pPr>
              <w:rPr>
                <w:rFonts w:ascii="Avenir" w:eastAsia="Avenir" w:hAnsi="Avenir" w:cs="Avenir"/>
                <w:b/>
                <w:sz w:val="16"/>
                <w:szCs w:val="16"/>
              </w:rPr>
            </w:pPr>
          </w:p>
        </w:tc>
        <w:tc>
          <w:tcPr>
            <w:tcW w:w="810" w:type="dxa"/>
            <w:vAlign w:val="center"/>
          </w:tcPr>
          <w:p w14:paraId="317389EC"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ITIE</w:t>
            </w:r>
          </w:p>
        </w:tc>
        <w:tc>
          <w:tcPr>
            <w:tcW w:w="1357" w:type="dxa"/>
            <w:vAlign w:val="center"/>
          </w:tcPr>
          <w:p w14:paraId="387F0378"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7BB4D92C"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63FC713B"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456 600,00</w:t>
            </w:r>
          </w:p>
        </w:tc>
        <w:tc>
          <w:tcPr>
            <w:tcW w:w="992" w:type="dxa"/>
            <w:vAlign w:val="center"/>
          </w:tcPr>
          <w:p w14:paraId="6690D533"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2 juin 2025</w:t>
            </w:r>
          </w:p>
        </w:tc>
        <w:tc>
          <w:tcPr>
            <w:tcW w:w="869" w:type="dxa"/>
            <w:vAlign w:val="center"/>
          </w:tcPr>
          <w:p w14:paraId="5D4FED87"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xml:space="preserve">Avril 2025 </w:t>
            </w:r>
          </w:p>
        </w:tc>
        <w:tc>
          <w:tcPr>
            <w:tcW w:w="1317" w:type="dxa"/>
            <w:vAlign w:val="center"/>
          </w:tcPr>
          <w:p w14:paraId="5E583260"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78918103"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010F3EC3" w14:textId="77777777" w:rsidR="00860106" w:rsidRPr="0000443E" w:rsidRDefault="00860106" w:rsidP="003A6DE1">
            <w:pPr>
              <w:rPr>
                <w:rFonts w:ascii="Avenir" w:eastAsia="Avenir" w:hAnsi="Avenir" w:cs="Avenir"/>
                <w:bCs/>
                <w:sz w:val="16"/>
                <w:szCs w:val="16"/>
              </w:rPr>
            </w:pPr>
          </w:p>
        </w:tc>
      </w:tr>
      <w:tr w:rsidR="00860106" w:rsidRPr="002142A2" w14:paraId="20D14B18" w14:textId="77777777" w:rsidTr="00860106">
        <w:trPr>
          <w:trHeight w:val="286"/>
          <w:jc w:val="center"/>
        </w:trPr>
        <w:tc>
          <w:tcPr>
            <w:tcW w:w="562" w:type="dxa"/>
            <w:vAlign w:val="center"/>
          </w:tcPr>
          <w:p w14:paraId="0BBD0C39" w14:textId="77777777" w:rsidR="00860106" w:rsidRPr="0000443E" w:rsidRDefault="00860106" w:rsidP="003A6DE1">
            <w:pPr>
              <w:rPr>
                <w:rFonts w:ascii="Avenir" w:eastAsia="Avenir" w:hAnsi="Avenir" w:cs="Avenir"/>
                <w:b/>
                <w:sz w:val="16"/>
                <w:szCs w:val="16"/>
              </w:rPr>
            </w:pPr>
          </w:p>
        </w:tc>
        <w:tc>
          <w:tcPr>
            <w:tcW w:w="810" w:type="dxa"/>
            <w:vAlign w:val="center"/>
          </w:tcPr>
          <w:p w14:paraId="6E8A8AF8"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CTR</w:t>
            </w:r>
          </w:p>
        </w:tc>
        <w:tc>
          <w:tcPr>
            <w:tcW w:w="1357" w:type="dxa"/>
            <w:vAlign w:val="center"/>
          </w:tcPr>
          <w:p w14:paraId="54024900"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76B7570B"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72933D39"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175 887,00</w:t>
            </w:r>
          </w:p>
        </w:tc>
        <w:tc>
          <w:tcPr>
            <w:tcW w:w="992" w:type="dxa"/>
            <w:vAlign w:val="center"/>
          </w:tcPr>
          <w:p w14:paraId="15A0BA35"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30 juin 2025</w:t>
            </w:r>
          </w:p>
        </w:tc>
        <w:tc>
          <w:tcPr>
            <w:tcW w:w="869" w:type="dxa"/>
            <w:vAlign w:val="center"/>
          </w:tcPr>
          <w:p w14:paraId="52143887"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xml:space="preserve">Avril 2025 </w:t>
            </w:r>
          </w:p>
        </w:tc>
        <w:tc>
          <w:tcPr>
            <w:tcW w:w="1317" w:type="dxa"/>
            <w:vAlign w:val="center"/>
          </w:tcPr>
          <w:p w14:paraId="6CC97280"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073A8214"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6A9CEA31" w14:textId="77777777" w:rsidR="00860106" w:rsidRPr="0000443E" w:rsidRDefault="00860106" w:rsidP="003A6DE1">
            <w:pPr>
              <w:rPr>
                <w:rFonts w:ascii="Avenir" w:eastAsia="Avenir" w:hAnsi="Avenir" w:cs="Avenir"/>
                <w:bCs/>
                <w:sz w:val="16"/>
                <w:szCs w:val="16"/>
              </w:rPr>
            </w:pPr>
          </w:p>
        </w:tc>
      </w:tr>
      <w:tr w:rsidR="00860106" w:rsidRPr="002142A2" w14:paraId="7C40E25B" w14:textId="77777777" w:rsidTr="00860106">
        <w:trPr>
          <w:trHeight w:val="286"/>
          <w:jc w:val="center"/>
        </w:trPr>
        <w:tc>
          <w:tcPr>
            <w:tcW w:w="562" w:type="dxa"/>
            <w:vAlign w:val="center"/>
          </w:tcPr>
          <w:p w14:paraId="183AA3C6" w14:textId="77777777" w:rsidR="00860106" w:rsidRPr="0000443E" w:rsidRDefault="00860106" w:rsidP="003A6DE1">
            <w:pPr>
              <w:rPr>
                <w:rFonts w:ascii="Avenir" w:eastAsia="Avenir" w:hAnsi="Avenir" w:cs="Avenir"/>
                <w:bCs/>
                <w:sz w:val="16"/>
                <w:szCs w:val="16"/>
              </w:rPr>
            </w:pPr>
          </w:p>
        </w:tc>
        <w:tc>
          <w:tcPr>
            <w:tcW w:w="810" w:type="dxa"/>
            <w:vAlign w:val="center"/>
          </w:tcPr>
          <w:p w14:paraId="1CA9A46B"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Mines</w:t>
            </w:r>
          </w:p>
        </w:tc>
        <w:tc>
          <w:tcPr>
            <w:tcW w:w="1357" w:type="dxa"/>
            <w:vAlign w:val="center"/>
          </w:tcPr>
          <w:p w14:paraId="33156D45"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580DC615"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2375018D"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85 725</w:t>
            </w:r>
          </w:p>
        </w:tc>
        <w:tc>
          <w:tcPr>
            <w:tcW w:w="992" w:type="dxa"/>
            <w:vAlign w:val="center"/>
          </w:tcPr>
          <w:p w14:paraId="5AC9439B"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17 juin 2025</w:t>
            </w:r>
          </w:p>
        </w:tc>
        <w:tc>
          <w:tcPr>
            <w:tcW w:w="869" w:type="dxa"/>
            <w:vAlign w:val="center"/>
          </w:tcPr>
          <w:p w14:paraId="763372CA"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Avril 2025</w:t>
            </w:r>
          </w:p>
        </w:tc>
        <w:tc>
          <w:tcPr>
            <w:tcW w:w="1317" w:type="dxa"/>
            <w:vAlign w:val="center"/>
          </w:tcPr>
          <w:p w14:paraId="2EC79549"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39B6EC8F"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399DF806" w14:textId="77777777" w:rsidR="00860106" w:rsidRPr="0000443E" w:rsidRDefault="00860106" w:rsidP="003A6DE1">
            <w:pPr>
              <w:rPr>
                <w:rFonts w:ascii="Avenir" w:eastAsia="Avenir" w:hAnsi="Avenir" w:cs="Avenir"/>
                <w:bCs/>
                <w:sz w:val="16"/>
                <w:szCs w:val="16"/>
              </w:rPr>
            </w:pPr>
          </w:p>
        </w:tc>
      </w:tr>
      <w:tr w:rsidR="00860106" w:rsidRPr="002142A2" w14:paraId="09808ADC" w14:textId="77777777" w:rsidTr="00860106">
        <w:trPr>
          <w:trHeight w:val="286"/>
          <w:jc w:val="center"/>
        </w:trPr>
        <w:tc>
          <w:tcPr>
            <w:tcW w:w="562" w:type="dxa"/>
            <w:vAlign w:val="center"/>
          </w:tcPr>
          <w:p w14:paraId="6038B7A4" w14:textId="77777777" w:rsidR="00860106" w:rsidRPr="0000443E" w:rsidRDefault="00860106" w:rsidP="003A6DE1">
            <w:pPr>
              <w:rPr>
                <w:rFonts w:ascii="Avenir" w:eastAsia="Avenir" w:hAnsi="Avenir" w:cs="Avenir"/>
                <w:bCs/>
                <w:sz w:val="16"/>
                <w:szCs w:val="16"/>
              </w:rPr>
            </w:pPr>
          </w:p>
        </w:tc>
        <w:tc>
          <w:tcPr>
            <w:tcW w:w="810" w:type="dxa"/>
            <w:vAlign w:val="center"/>
          </w:tcPr>
          <w:p w14:paraId="7AE9EEB5"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Hydrocarbures</w:t>
            </w:r>
          </w:p>
        </w:tc>
        <w:tc>
          <w:tcPr>
            <w:tcW w:w="1357" w:type="dxa"/>
            <w:vAlign w:val="center"/>
          </w:tcPr>
          <w:p w14:paraId="7B7797AD"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Entité publique</w:t>
            </w:r>
          </w:p>
        </w:tc>
        <w:tc>
          <w:tcPr>
            <w:tcW w:w="1405" w:type="dxa"/>
            <w:vAlign w:val="center"/>
          </w:tcPr>
          <w:p w14:paraId="3602C6DA" w14:textId="77777777" w:rsidR="00860106" w:rsidRPr="0000443E" w:rsidRDefault="00860106" w:rsidP="00860106">
            <w:pPr>
              <w:ind w:right="-118"/>
              <w:rPr>
                <w:rFonts w:ascii="Avenir" w:eastAsia="Avenir" w:hAnsi="Avenir" w:cs="Avenir"/>
                <w:bCs/>
                <w:sz w:val="16"/>
                <w:szCs w:val="16"/>
              </w:rPr>
            </w:pPr>
            <w:r w:rsidRPr="0000443E">
              <w:rPr>
                <w:rFonts w:ascii="Avenir" w:eastAsia="Avenir" w:hAnsi="Avenir" w:cs="Avenir"/>
                <w:bCs/>
                <w:sz w:val="16"/>
                <w:szCs w:val="16"/>
              </w:rPr>
              <w:t>Administration publique nationale</w:t>
            </w:r>
          </w:p>
        </w:tc>
        <w:tc>
          <w:tcPr>
            <w:tcW w:w="1075" w:type="dxa"/>
            <w:vAlign w:val="center"/>
          </w:tcPr>
          <w:p w14:paraId="23936E8A"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90 775,00</w:t>
            </w:r>
          </w:p>
        </w:tc>
        <w:tc>
          <w:tcPr>
            <w:tcW w:w="992" w:type="dxa"/>
            <w:vAlign w:val="center"/>
          </w:tcPr>
          <w:p w14:paraId="6A0479B3"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5 juin 2025</w:t>
            </w:r>
          </w:p>
        </w:tc>
        <w:tc>
          <w:tcPr>
            <w:tcW w:w="869" w:type="dxa"/>
            <w:vAlign w:val="center"/>
          </w:tcPr>
          <w:p w14:paraId="48BDB280"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Avril 2025</w:t>
            </w:r>
          </w:p>
        </w:tc>
        <w:tc>
          <w:tcPr>
            <w:tcW w:w="1317" w:type="dxa"/>
            <w:vAlign w:val="center"/>
          </w:tcPr>
          <w:p w14:paraId="3075B69C"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31 déc. 2025</w:t>
            </w:r>
          </w:p>
        </w:tc>
        <w:tc>
          <w:tcPr>
            <w:tcW w:w="1039" w:type="dxa"/>
            <w:vAlign w:val="center"/>
          </w:tcPr>
          <w:p w14:paraId="2EEB5DE8" w14:textId="77777777" w:rsidR="00860106" w:rsidRPr="0000443E" w:rsidRDefault="00860106" w:rsidP="003A6DE1">
            <w:pPr>
              <w:rPr>
                <w:rFonts w:ascii="Avenir" w:eastAsia="Avenir" w:hAnsi="Avenir" w:cs="Avenir"/>
                <w:bCs/>
                <w:sz w:val="16"/>
                <w:szCs w:val="16"/>
              </w:rPr>
            </w:pPr>
            <w:r w:rsidRPr="0000443E">
              <w:rPr>
                <w:rFonts w:ascii="Avenir" w:eastAsia="Avenir" w:hAnsi="Avenir" w:cs="Avenir"/>
                <w:bCs/>
                <w:sz w:val="16"/>
                <w:szCs w:val="16"/>
              </w:rPr>
              <w:t> 9 mois</w:t>
            </w:r>
          </w:p>
        </w:tc>
        <w:tc>
          <w:tcPr>
            <w:tcW w:w="1360" w:type="dxa"/>
            <w:vMerge/>
            <w:vAlign w:val="center"/>
          </w:tcPr>
          <w:p w14:paraId="167E61F4" w14:textId="77777777" w:rsidR="00860106" w:rsidRPr="0000443E" w:rsidRDefault="00860106" w:rsidP="003A6DE1">
            <w:pPr>
              <w:rPr>
                <w:rFonts w:ascii="Avenir" w:eastAsia="Avenir" w:hAnsi="Avenir" w:cs="Avenir"/>
                <w:bCs/>
                <w:sz w:val="16"/>
                <w:szCs w:val="16"/>
              </w:rPr>
            </w:pPr>
          </w:p>
        </w:tc>
      </w:tr>
    </w:tbl>
    <w:p w14:paraId="5FE58A14" w14:textId="77777777" w:rsidR="002C2A89" w:rsidRPr="00860106" w:rsidRDefault="002C2A89">
      <w:pPr>
        <w:spacing w:after="5" w:line="271" w:lineRule="auto"/>
        <w:ind w:left="20" w:right="28" w:hanging="10"/>
        <w:jc w:val="both"/>
        <w:rPr>
          <w:rFonts w:ascii="Avenir" w:eastAsia="Avenir" w:hAnsi="Avenir" w:cs="Avenir"/>
          <w:color w:val="000000"/>
          <w:sz w:val="14"/>
          <w:szCs w:val="14"/>
        </w:rPr>
      </w:pPr>
    </w:p>
    <w:p w14:paraId="013FD2BC" w14:textId="77777777" w:rsidR="0024617D" w:rsidRPr="00E11FFB" w:rsidRDefault="00C83F85">
      <w:pPr>
        <w:spacing w:after="5" w:line="271" w:lineRule="auto"/>
        <w:ind w:left="20" w:right="28" w:hanging="10"/>
        <w:jc w:val="both"/>
        <w:rPr>
          <w:rFonts w:ascii="Avenir" w:eastAsia="Avenir" w:hAnsi="Avenir" w:cs="Avenir"/>
          <w:color w:val="000000"/>
        </w:rPr>
      </w:pPr>
      <w:r w:rsidRPr="00E11FFB">
        <w:rPr>
          <w:rFonts w:ascii="Avenir" w:eastAsia="Avenir" w:hAnsi="Avenir" w:cs="Avenir"/>
          <w:color w:val="000000"/>
        </w:rPr>
        <w:t xml:space="preserve">Sous-type </w:t>
      </w:r>
    </w:p>
    <w:tbl>
      <w:tblPr>
        <w:tblStyle w:val="10"/>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3453"/>
        <w:gridCol w:w="1620"/>
      </w:tblGrid>
      <w:tr w:rsidR="0024617D" w:rsidRPr="00E11FFB" w14:paraId="245B43E1" w14:textId="77777777" w:rsidTr="00860106">
        <w:trPr>
          <w:trHeight w:val="48"/>
        </w:trPr>
        <w:tc>
          <w:tcPr>
            <w:tcW w:w="3681" w:type="dxa"/>
            <w:shd w:val="clear" w:color="auto" w:fill="4472C4"/>
            <w:vAlign w:val="center"/>
          </w:tcPr>
          <w:p w14:paraId="08841C37" w14:textId="77777777" w:rsidR="0024617D" w:rsidRPr="00E11FFB" w:rsidRDefault="00C83F85" w:rsidP="00860106">
            <w:pPr>
              <w:ind w:left="22" w:hanging="11"/>
              <w:rPr>
                <w:rFonts w:ascii="Avenir" w:eastAsia="Avenir" w:hAnsi="Avenir" w:cs="Avenir"/>
                <w:b/>
                <w:color w:val="FFFFFF"/>
                <w:sz w:val="16"/>
                <w:szCs w:val="16"/>
              </w:rPr>
            </w:pPr>
            <w:r w:rsidRPr="00E11FFB">
              <w:rPr>
                <w:rFonts w:ascii="Avenir" w:eastAsia="Avenir" w:hAnsi="Avenir" w:cs="Avenir"/>
                <w:b/>
                <w:color w:val="FFFFFF"/>
                <w:sz w:val="16"/>
                <w:szCs w:val="16"/>
              </w:rPr>
              <w:t>ONG Nationale</w:t>
            </w:r>
          </w:p>
        </w:tc>
        <w:tc>
          <w:tcPr>
            <w:tcW w:w="3453" w:type="dxa"/>
            <w:shd w:val="clear" w:color="auto" w:fill="4472C4"/>
            <w:vAlign w:val="center"/>
          </w:tcPr>
          <w:p w14:paraId="4F3B1A03" w14:textId="77777777" w:rsidR="0024617D" w:rsidRPr="00E11FFB" w:rsidRDefault="00C83F85" w:rsidP="00860106">
            <w:pPr>
              <w:ind w:left="22" w:hanging="11"/>
              <w:rPr>
                <w:rFonts w:ascii="Avenir" w:eastAsia="Avenir" w:hAnsi="Avenir" w:cs="Avenir"/>
                <w:b/>
                <w:color w:val="FFFFFF"/>
                <w:sz w:val="16"/>
                <w:szCs w:val="16"/>
              </w:rPr>
            </w:pPr>
            <w:r w:rsidRPr="00E11FFB">
              <w:rPr>
                <w:rFonts w:ascii="Avenir" w:eastAsia="Avenir" w:hAnsi="Avenir" w:cs="Avenir"/>
                <w:b/>
                <w:color w:val="FFFFFF"/>
                <w:sz w:val="16"/>
                <w:szCs w:val="16"/>
              </w:rPr>
              <w:t>Entité publique</w:t>
            </w:r>
          </w:p>
        </w:tc>
        <w:tc>
          <w:tcPr>
            <w:tcW w:w="1620" w:type="dxa"/>
            <w:shd w:val="clear" w:color="auto" w:fill="4472C4"/>
            <w:vAlign w:val="center"/>
          </w:tcPr>
          <w:p w14:paraId="2961B4A1" w14:textId="77777777" w:rsidR="0024617D" w:rsidRPr="00E11FFB" w:rsidRDefault="00C83F85" w:rsidP="00860106">
            <w:pPr>
              <w:ind w:left="22" w:hanging="11"/>
              <w:rPr>
                <w:rFonts w:ascii="Avenir" w:eastAsia="Avenir" w:hAnsi="Avenir" w:cs="Avenir"/>
                <w:b/>
                <w:color w:val="FFFFFF"/>
                <w:sz w:val="16"/>
                <w:szCs w:val="16"/>
              </w:rPr>
            </w:pPr>
            <w:r w:rsidRPr="00E11FFB">
              <w:rPr>
                <w:rFonts w:ascii="Avenir" w:eastAsia="Avenir" w:hAnsi="Avenir" w:cs="Avenir"/>
                <w:b/>
                <w:color w:val="FFFFFF"/>
                <w:sz w:val="16"/>
                <w:szCs w:val="16"/>
              </w:rPr>
              <w:t>Secteur privé</w:t>
            </w:r>
          </w:p>
        </w:tc>
      </w:tr>
      <w:tr w:rsidR="0024617D" w:rsidRPr="00E11FFB" w14:paraId="4233189E" w14:textId="77777777">
        <w:trPr>
          <w:trHeight w:val="390"/>
        </w:trPr>
        <w:tc>
          <w:tcPr>
            <w:tcW w:w="3681" w:type="dxa"/>
            <w:vAlign w:val="center"/>
          </w:tcPr>
          <w:p w14:paraId="3B4DB6CC" w14:textId="5A20DA8D" w:rsidR="0024617D" w:rsidRPr="00E11FFB" w:rsidRDefault="001A0E1A" w:rsidP="00860106">
            <w:pPr>
              <w:ind w:left="22" w:hanging="11"/>
              <w:rPr>
                <w:rFonts w:ascii="Avenir" w:eastAsia="Avenir" w:hAnsi="Avenir" w:cs="Avenir"/>
                <w:color w:val="000000"/>
                <w:sz w:val="16"/>
                <w:szCs w:val="16"/>
              </w:rPr>
            </w:pPr>
            <w:r w:rsidRPr="00E11FFB">
              <w:rPr>
                <w:rFonts w:ascii="Avenir" w:eastAsia="Avenir" w:hAnsi="Avenir" w:cs="Avenir"/>
                <w:color w:val="000000"/>
                <w:sz w:val="16"/>
                <w:szCs w:val="16"/>
              </w:rPr>
              <w:t>NA</w:t>
            </w:r>
          </w:p>
        </w:tc>
        <w:tc>
          <w:tcPr>
            <w:tcW w:w="3453" w:type="dxa"/>
            <w:vAlign w:val="center"/>
          </w:tcPr>
          <w:p w14:paraId="2F6A87ED" w14:textId="54C1B821" w:rsidR="0024617D" w:rsidRPr="00E11FFB" w:rsidRDefault="00E30E5A" w:rsidP="00860106">
            <w:pPr>
              <w:ind w:left="22" w:hanging="11"/>
              <w:rPr>
                <w:rFonts w:ascii="Avenir" w:eastAsia="Avenir" w:hAnsi="Avenir" w:cs="Avenir"/>
                <w:color w:val="000000"/>
                <w:sz w:val="16"/>
                <w:szCs w:val="16"/>
              </w:rPr>
            </w:pPr>
            <w:r w:rsidRPr="00E11FFB">
              <w:rPr>
                <w:rFonts w:ascii="Avenir" w:eastAsia="Avenir" w:hAnsi="Avenir" w:cs="Avenir"/>
                <w:color w:val="000000"/>
                <w:sz w:val="16"/>
                <w:szCs w:val="16"/>
              </w:rPr>
              <w:t>Université (Enseignant chercheur)</w:t>
            </w:r>
          </w:p>
        </w:tc>
        <w:tc>
          <w:tcPr>
            <w:tcW w:w="1620" w:type="dxa"/>
            <w:vAlign w:val="center"/>
          </w:tcPr>
          <w:p w14:paraId="24ED6471" w14:textId="77777777" w:rsidR="0024617D" w:rsidRPr="00E11FFB" w:rsidRDefault="00C83F85" w:rsidP="00860106">
            <w:pPr>
              <w:ind w:left="22" w:hanging="11"/>
              <w:rPr>
                <w:rFonts w:ascii="Avenir" w:eastAsia="Avenir" w:hAnsi="Avenir" w:cs="Avenir"/>
                <w:color w:val="000000"/>
                <w:sz w:val="16"/>
                <w:szCs w:val="16"/>
              </w:rPr>
            </w:pPr>
            <w:r w:rsidRPr="00E11FFB">
              <w:rPr>
                <w:rFonts w:ascii="Avenir" w:eastAsia="Avenir" w:hAnsi="Avenir" w:cs="Avenir"/>
                <w:color w:val="000000"/>
                <w:sz w:val="16"/>
                <w:szCs w:val="16"/>
              </w:rPr>
              <w:t>Bureau d’étude</w:t>
            </w:r>
          </w:p>
        </w:tc>
      </w:tr>
      <w:tr w:rsidR="00E30E5A" w:rsidRPr="00E11FFB" w14:paraId="315EACCF" w14:textId="77777777" w:rsidTr="00860106">
        <w:trPr>
          <w:trHeight w:val="268"/>
        </w:trPr>
        <w:tc>
          <w:tcPr>
            <w:tcW w:w="3681" w:type="dxa"/>
            <w:shd w:val="clear" w:color="auto" w:fill="D9E1F2"/>
            <w:vAlign w:val="center"/>
          </w:tcPr>
          <w:p w14:paraId="3D444FDF" w14:textId="523FC7D8" w:rsidR="00E30E5A" w:rsidRPr="00E11FFB" w:rsidRDefault="001A0E1A" w:rsidP="00860106">
            <w:pPr>
              <w:ind w:left="22" w:hanging="11"/>
              <w:rPr>
                <w:rFonts w:ascii="Avenir" w:eastAsia="Avenir" w:hAnsi="Avenir" w:cs="Avenir"/>
                <w:color w:val="000000"/>
                <w:sz w:val="16"/>
                <w:szCs w:val="16"/>
              </w:rPr>
            </w:pPr>
            <w:r w:rsidRPr="00E11FFB">
              <w:rPr>
                <w:rFonts w:ascii="Avenir" w:eastAsia="Avenir" w:hAnsi="Avenir" w:cs="Avenir"/>
                <w:color w:val="000000"/>
                <w:sz w:val="16"/>
                <w:szCs w:val="16"/>
              </w:rPr>
              <w:t>NA</w:t>
            </w:r>
          </w:p>
        </w:tc>
        <w:tc>
          <w:tcPr>
            <w:tcW w:w="3453" w:type="dxa"/>
            <w:shd w:val="clear" w:color="auto" w:fill="D9E1F2"/>
            <w:vAlign w:val="center"/>
          </w:tcPr>
          <w:p w14:paraId="00B8FC20" w14:textId="7FAC98A2" w:rsidR="00E30E5A" w:rsidRPr="00E11FFB" w:rsidRDefault="001A0E1A" w:rsidP="00860106">
            <w:pPr>
              <w:ind w:left="22" w:hanging="11"/>
              <w:rPr>
                <w:rFonts w:ascii="Avenir" w:eastAsia="Avenir" w:hAnsi="Avenir" w:cs="Avenir"/>
                <w:color w:val="000000"/>
                <w:sz w:val="16"/>
                <w:szCs w:val="16"/>
              </w:rPr>
            </w:pPr>
            <w:r w:rsidRPr="00E11FFB">
              <w:rPr>
                <w:rFonts w:ascii="Avenir" w:eastAsia="Avenir" w:hAnsi="Avenir" w:cs="Avenir"/>
                <w:color w:val="000000"/>
                <w:sz w:val="16"/>
                <w:szCs w:val="16"/>
              </w:rPr>
              <w:t>NA</w:t>
            </w:r>
          </w:p>
        </w:tc>
        <w:tc>
          <w:tcPr>
            <w:tcW w:w="1620" w:type="dxa"/>
            <w:shd w:val="clear" w:color="auto" w:fill="D9E1F2"/>
            <w:vAlign w:val="center"/>
          </w:tcPr>
          <w:p w14:paraId="53AD107F" w14:textId="44A507AE" w:rsidR="00E30E5A" w:rsidRPr="00E11FFB" w:rsidRDefault="00E30E5A" w:rsidP="00860106">
            <w:pPr>
              <w:ind w:left="22" w:hanging="11"/>
              <w:rPr>
                <w:rFonts w:ascii="Avenir" w:eastAsia="Avenir" w:hAnsi="Avenir" w:cs="Avenir"/>
                <w:color w:val="000000"/>
                <w:sz w:val="16"/>
                <w:szCs w:val="16"/>
              </w:rPr>
            </w:pPr>
            <w:r w:rsidRPr="00E11FFB">
              <w:rPr>
                <w:rFonts w:ascii="Avenir" w:eastAsia="Avenir" w:hAnsi="Avenir" w:cs="Avenir"/>
                <w:color w:val="000000"/>
                <w:sz w:val="16"/>
                <w:szCs w:val="16"/>
              </w:rPr>
              <w:t>Consultants indépendants</w:t>
            </w:r>
          </w:p>
        </w:tc>
      </w:tr>
    </w:tbl>
    <w:p w14:paraId="2EAC7085" w14:textId="77777777" w:rsidR="0024617D" w:rsidRPr="00E11FFB" w:rsidRDefault="0024617D">
      <w:pPr>
        <w:spacing w:after="5" w:line="271" w:lineRule="auto"/>
        <w:ind w:left="20" w:right="28" w:hanging="10"/>
        <w:jc w:val="both"/>
        <w:rPr>
          <w:rFonts w:ascii="Avenir" w:eastAsia="Avenir" w:hAnsi="Avenir" w:cs="Avenir"/>
          <w:color w:val="000000"/>
          <w:sz w:val="14"/>
          <w:szCs w:val="14"/>
        </w:rPr>
      </w:pPr>
    </w:p>
    <w:p w14:paraId="2865735D" w14:textId="77777777" w:rsidR="0024617D" w:rsidRPr="00E11FFB" w:rsidRDefault="00C83F85">
      <w:pPr>
        <w:pStyle w:val="Titre2"/>
      </w:pPr>
      <w:bookmarkStart w:id="30" w:name="_Toc224044719"/>
      <w:r w:rsidRPr="00E11FFB">
        <w:t>7.3 Gestion financière, approvisionnement et ressources humaines</w:t>
      </w:r>
      <w:bookmarkEnd w:id="30"/>
      <w:r w:rsidRPr="00E11FFB">
        <w:t xml:space="preserve"> </w:t>
      </w:r>
    </w:p>
    <w:p w14:paraId="5707707B" w14:textId="77777777" w:rsidR="0024617D" w:rsidRPr="00E11FFB" w:rsidRDefault="0024617D">
      <w:pPr>
        <w:pBdr>
          <w:top w:val="nil"/>
          <w:left w:val="nil"/>
          <w:bottom w:val="nil"/>
          <w:right w:val="nil"/>
          <w:between w:val="nil"/>
        </w:pBdr>
        <w:spacing w:line="271" w:lineRule="auto"/>
        <w:ind w:left="20" w:right="28" w:hanging="10"/>
        <w:jc w:val="both"/>
        <w:rPr>
          <w:rFonts w:ascii="Avenir" w:eastAsia="Avenir" w:hAnsi="Avenir" w:cs="Avenir"/>
          <w:color w:val="000000"/>
          <w:sz w:val="20"/>
          <w:szCs w:val="20"/>
        </w:rPr>
      </w:pPr>
    </w:p>
    <w:p w14:paraId="1CBF8315" w14:textId="77777777" w:rsidR="00EF4D4E" w:rsidRPr="00C460FF" w:rsidRDefault="00EF4D4E" w:rsidP="00C460FF">
      <w:pPr>
        <w:pBdr>
          <w:top w:val="nil"/>
          <w:left w:val="nil"/>
          <w:bottom w:val="nil"/>
          <w:right w:val="nil"/>
          <w:between w:val="nil"/>
        </w:pBdr>
        <w:spacing w:line="259" w:lineRule="auto"/>
        <w:jc w:val="both"/>
        <w:rPr>
          <w:rFonts w:ascii="Avenir" w:eastAsia="Avenir" w:hAnsi="Avenir" w:cs="Avenir"/>
          <w:sz w:val="22"/>
          <w:szCs w:val="22"/>
        </w:rPr>
      </w:pPr>
      <w:r w:rsidRPr="00C460FF">
        <w:rPr>
          <w:rFonts w:ascii="Avenir" w:eastAsia="Avenir" w:hAnsi="Avenir" w:cs="Avenir"/>
          <w:sz w:val="22"/>
          <w:szCs w:val="22"/>
        </w:rPr>
        <w:t>Les dépenses ont été exécutées conformément aux procédures du PNUD, à travers les lettres d’accord. Elles sont alignées sur les dispositions du PTBA adopté en avril 2025. Toutefois, un retard a été observé dans le démarrage des activités, essentiellement dû au temps nécessaire à la signature des accords entre le PNUD et les partenaires. En conséquence, seules les activités du dernier trimestre n’ont pas pu être finalisées.</w:t>
      </w:r>
    </w:p>
    <w:p w14:paraId="7A147D4A" w14:textId="77777777" w:rsidR="00EF4D4E" w:rsidRPr="00C460FF" w:rsidRDefault="00EF4D4E" w:rsidP="00C460FF">
      <w:pPr>
        <w:pBdr>
          <w:top w:val="nil"/>
          <w:left w:val="nil"/>
          <w:bottom w:val="nil"/>
          <w:right w:val="nil"/>
          <w:between w:val="nil"/>
        </w:pBdr>
        <w:spacing w:line="259" w:lineRule="auto"/>
        <w:rPr>
          <w:rFonts w:ascii="Avenir" w:eastAsia="Avenir" w:hAnsi="Avenir" w:cs="Avenir"/>
          <w:sz w:val="22"/>
          <w:szCs w:val="22"/>
        </w:rPr>
      </w:pPr>
    </w:p>
    <w:p w14:paraId="7F1776B7" w14:textId="77777777" w:rsidR="00EF4D4E" w:rsidRPr="00C460FF" w:rsidRDefault="00EF4D4E" w:rsidP="00C460FF">
      <w:pPr>
        <w:pBdr>
          <w:top w:val="nil"/>
          <w:left w:val="nil"/>
          <w:bottom w:val="nil"/>
          <w:right w:val="nil"/>
          <w:between w:val="nil"/>
        </w:pBdr>
        <w:spacing w:line="259" w:lineRule="auto"/>
        <w:jc w:val="both"/>
        <w:rPr>
          <w:rFonts w:ascii="Avenir" w:eastAsia="Avenir" w:hAnsi="Avenir" w:cs="Avenir"/>
          <w:sz w:val="22"/>
          <w:szCs w:val="22"/>
        </w:rPr>
      </w:pPr>
      <w:r w:rsidRPr="00C460FF">
        <w:rPr>
          <w:rFonts w:ascii="Avenir" w:eastAsia="Avenir" w:hAnsi="Avenir" w:cs="Avenir"/>
          <w:sz w:val="22"/>
          <w:szCs w:val="22"/>
        </w:rPr>
        <w:t>L’ensemble des accords a été amendé afin d’éviter toute rupture. Les derniers transferts seront effectués en janvier, afin de permettre la finalisation des activités restantes de la première tranche.</w:t>
      </w:r>
    </w:p>
    <w:p w14:paraId="42324DFB" w14:textId="77777777" w:rsidR="00EF4D4E" w:rsidRPr="00C460FF" w:rsidRDefault="00EF4D4E" w:rsidP="00C460FF">
      <w:pPr>
        <w:pBdr>
          <w:top w:val="nil"/>
          <w:left w:val="nil"/>
          <w:bottom w:val="nil"/>
          <w:right w:val="nil"/>
          <w:between w:val="nil"/>
        </w:pBdr>
        <w:spacing w:line="259" w:lineRule="auto"/>
        <w:rPr>
          <w:rFonts w:ascii="Avenir" w:eastAsia="Avenir" w:hAnsi="Avenir" w:cs="Avenir"/>
          <w:sz w:val="22"/>
          <w:szCs w:val="22"/>
        </w:rPr>
      </w:pPr>
    </w:p>
    <w:p w14:paraId="3C9AEB66" w14:textId="1EE667A2" w:rsidR="004834A1" w:rsidRPr="00C460FF" w:rsidRDefault="00EF4D4E" w:rsidP="00C460FF">
      <w:pPr>
        <w:pBdr>
          <w:top w:val="nil"/>
          <w:left w:val="nil"/>
          <w:bottom w:val="nil"/>
          <w:right w:val="nil"/>
          <w:between w:val="nil"/>
        </w:pBdr>
        <w:spacing w:line="259" w:lineRule="auto"/>
        <w:jc w:val="both"/>
        <w:rPr>
          <w:rFonts w:ascii="Avenir" w:eastAsia="Avenir" w:hAnsi="Avenir" w:cs="Avenir"/>
          <w:sz w:val="22"/>
          <w:szCs w:val="22"/>
        </w:rPr>
      </w:pPr>
      <w:r w:rsidRPr="00C460FF">
        <w:rPr>
          <w:rFonts w:ascii="Avenir" w:eastAsia="Avenir" w:hAnsi="Avenir" w:cs="Avenir"/>
          <w:sz w:val="22"/>
          <w:szCs w:val="22"/>
        </w:rPr>
        <w:t>La deuxième tranche du projet sera sollicitée d’ici fin février 2026, accompagnée d’une demande d’extension sans coût du projet.</w:t>
      </w:r>
    </w:p>
    <w:p w14:paraId="6D2BBA87" w14:textId="77777777" w:rsidR="004834A1" w:rsidRPr="00E11FFB" w:rsidRDefault="004834A1" w:rsidP="00C460FF">
      <w:pPr>
        <w:pBdr>
          <w:top w:val="nil"/>
          <w:left w:val="nil"/>
          <w:bottom w:val="nil"/>
          <w:right w:val="nil"/>
          <w:between w:val="nil"/>
        </w:pBdr>
        <w:rPr>
          <w:rFonts w:ascii="Avenir" w:eastAsia="Avenir" w:hAnsi="Avenir" w:cs="Avenir"/>
          <w:color w:val="000000"/>
        </w:rPr>
      </w:pPr>
    </w:p>
    <w:p w14:paraId="6820B54C" w14:textId="77777777" w:rsidR="0024617D" w:rsidRPr="00E11FFB" w:rsidRDefault="00C83F85">
      <w:pPr>
        <w:pStyle w:val="Titre2"/>
      </w:pPr>
      <w:bookmarkStart w:id="31" w:name="_Toc224044720"/>
      <w:r w:rsidRPr="00E11FFB">
        <w:t>7.4 Mobilisation de ressources</w:t>
      </w:r>
      <w:bookmarkEnd w:id="31"/>
      <w:r w:rsidRPr="00E11FFB">
        <w:t xml:space="preserve"> </w:t>
      </w:r>
    </w:p>
    <w:p w14:paraId="7989C2F9" w14:textId="77777777" w:rsidR="00E30E5A" w:rsidRPr="00E11FFB" w:rsidRDefault="00E30E5A" w:rsidP="00E30E5A">
      <w:pPr>
        <w:pBdr>
          <w:top w:val="nil"/>
          <w:left w:val="nil"/>
          <w:bottom w:val="nil"/>
          <w:right w:val="nil"/>
          <w:between w:val="nil"/>
        </w:pBdr>
        <w:spacing w:line="259" w:lineRule="auto"/>
        <w:rPr>
          <w:rFonts w:ascii="Avenir" w:eastAsia="Avenir" w:hAnsi="Avenir" w:cs="Avenir"/>
          <w:sz w:val="22"/>
          <w:szCs w:val="22"/>
        </w:rPr>
      </w:pPr>
    </w:p>
    <w:p w14:paraId="63531CE0" w14:textId="50DAEB82" w:rsidR="00E30E5A" w:rsidRPr="00E11FFB" w:rsidRDefault="00E30E5A" w:rsidP="00E30E5A">
      <w:pPr>
        <w:pBdr>
          <w:top w:val="nil"/>
          <w:left w:val="nil"/>
          <w:bottom w:val="nil"/>
          <w:right w:val="nil"/>
          <w:between w:val="nil"/>
        </w:pBdr>
        <w:spacing w:line="259" w:lineRule="auto"/>
        <w:rPr>
          <w:rFonts w:ascii="Avenir" w:eastAsia="Avenir" w:hAnsi="Avenir" w:cs="Avenir"/>
          <w:sz w:val="22"/>
          <w:szCs w:val="22"/>
        </w:rPr>
      </w:pPr>
      <w:r w:rsidRPr="00E11FFB">
        <w:rPr>
          <w:rFonts w:ascii="Avenir" w:eastAsia="Avenir" w:hAnsi="Avenir" w:cs="Avenir"/>
          <w:sz w:val="22"/>
          <w:szCs w:val="22"/>
        </w:rPr>
        <w:t xml:space="preserve">Aucune ressource supplémentaire n’a été mobilisé jusqu’à ce jour. </w:t>
      </w:r>
    </w:p>
    <w:p w14:paraId="47CA4327" w14:textId="77777777" w:rsidR="00E30E5A" w:rsidRPr="00E11FFB" w:rsidRDefault="00E30E5A" w:rsidP="00E30E5A">
      <w:pPr>
        <w:pBdr>
          <w:top w:val="nil"/>
          <w:left w:val="nil"/>
          <w:bottom w:val="nil"/>
          <w:right w:val="nil"/>
          <w:between w:val="nil"/>
        </w:pBdr>
        <w:spacing w:line="271" w:lineRule="auto"/>
        <w:ind w:right="28"/>
        <w:jc w:val="both"/>
        <w:rPr>
          <w:rFonts w:ascii="Avenir" w:eastAsia="Avenir" w:hAnsi="Avenir" w:cs="Avenir"/>
          <w:color w:val="000000"/>
          <w:sz w:val="20"/>
          <w:szCs w:val="20"/>
        </w:rPr>
      </w:pPr>
    </w:p>
    <w:p w14:paraId="44228444" w14:textId="77777777" w:rsidR="0024617D" w:rsidRPr="00E11FFB" w:rsidRDefault="00C83F85">
      <w:pPr>
        <w:pStyle w:val="Titre2"/>
      </w:pPr>
      <w:bookmarkStart w:id="32" w:name="_Toc224044721"/>
      <w:r w:rsidRPr="00E11FFB">
        <w:t>7.5 Audits</w:t>
      </w:r>
      <w:bookmarkEnd w:id="32"/>
    </w:p>
    <w:p w14:paraId="6BFA3876" w14:textId="0495511B" w:rsidR="0024617D" w:rsidRPr="00E11FFB" w:rsidRDefault="00E30E5A" w:rsidP="00177367">
      <w:pPr>
        <w:pBdr>
          <w:top w:val="nil"/>
          <w:left w:val="nil"/>
          <w:bottom w:val="nil"/>
          <w:right w:val="nil"/>
          <w:between w:val="nil"/>
        </w:pBdr>
        <w:spacing w:before="240" w:line="259" w:lineRule="auto"/>
        <w:rPr>
          <w:rFonts w:ascii="Avenir" w:eastAsia="Avenir" w:hAnsi="Avenir" w:cs="Avenir"/>
          <w:sz w:val="22"/>
          <w:szCs w:val="22"/>
        </w:rPr>
      </w:pPr>
      <w:r w:rsidRPr="00E11FFB">
        <w:rPr>
          <w:rFonts w:ascii="Avenir" w:eastAsia="Avenir" w:hAnsi="Avenir" w:cs="Avenir"/>
          <w:sz w:val="22"/>
          <w:szCs w:val="22"/>
        </w:rPr>
        <w:t>Aucun Audit a été réalisé jusqu’à ce jour.</w:t>
      </w:r>
    </w:p>
    <w:p w14:paraId="79550AAA" w14:textId="77777777" w:rsidR="0024617D" w:rsidRPr="00E11FFB" w:rsidRDefault="0024617D">
      <w:pPr>
        <w:pBdr>
          <w:top w:val="nil"/>
          <w:left w:val="nil"/>
          <w:bottom w:val="nil"/>
          <w:right w:val="nil"/>
          <w:between w:val="nil"/>
        </w:pBdr>
        <w:spacing w:line="271" w:lineRule="auto"/>
        <w:ind w:left="1090" w:right="28"/>
        <w:jc w:val="both"/>
        <w:rPr>
          <w:rFonts w:ascii="Avenir" w:eastAsia="Avenir" w:hAnsi="Avenir" w:cs="Avenir"/>
          <w:color w:val="000000"/>
          <w:sz w:val="20"/>
          <w:szCs w:val="20"/>
        </w:rPr>
      </w:pPr>
    </w:p>
    <w:p w14:paraId="4E870914" w14:textId="77777777" w:rsidR="0024617D" w:rsidRPr="00E11FFB" w:rsidRDefault="00C83F85">
      <w:pPr>
        <w:pStyle w:val="Titre2"/>
      </w:pPr>
      <w:bookmarkStart w:id="33" w:name="_Toc224044722"/>
      <w:r w:rsidRPr="00E11FFB">
        <w:t>7.6 Révisions budgétaires</w:t>
      </w:r>
      <w:bookmarkEnd w:id="33"/>
      <w:r w:rsidRPr="00E11FFB">
        <w:t xml:space="preserve"> </w:t>
      </w:r>
    </w:p>
    <w:p w14:paraId="0FAFBF08" w14:textId="77777777" w:rsidR="00C460FF" w:rsidRDefault="00C460FF" w:rsidP="00C460FF">
      <w:pPr>
        <w:pBdr>
          <w:top w:val="nil"/>
          <w:left w:val="nil"/>
          <w:bottom w:val="nil"/>
          <w:right w:val="nil"/>
          <w:between w:val="nil"/>
        </w:pBdr>
        <w:spacing w:line="259" w:lineRule="auto"/>
        <w:jc w:val="both"/>
        <w:rPr>
          <w:rFonts w:ascii="Avenir" w:eastAsia="Avenir" w:hAnsi="Avenir" w:cs="Avenir"/>
          <w:sz w:val="22"/>
          <w:szCs w:val="22"/>
        </w:rPr>
      </w:pPr>
    </w:p>
    <w:p w14:paraId="2D741EB5" w14:textId="1E4D1F20" w:rsidR="0024617D" w:rsidRPr="00C460FF" w:rsidRDefault="00C460FF" w:rsidP="00C460FF">
      <w:pPr>
        <w:pBdr>
          <w:top w:val="nil"/>
          <w:left w:val="nil"/>
          <w:bottom w:val="nil"/>
          <w:right w:val="nil"/>
          <w:between w:val="nil"/>
        </w:pBdr>
        <w:spacing w:line="259" w:lineRule="auto"/>
        <w:jc w:val="both"/>
        <w:rPr>
          <w:rFonts w:ascii="Avenir" w:eastAsia="Avenir" w:hAnsi="Avenir" w:cs="Avenir"/>
          <w:sz w:val="22"/>
          <w:szCs w:val="22"/>
        </w:rPr>
      </w:pPr>
      <w:r w:rsidRPr="00C460FF">
        <w:rPr>
          <w:rFonts w:ascii="Avenir" w:eastAsia="Avenir" w:hAnsi="Avenir" w:cs="Avenir"/>
          <w:sz w:val="22"/>
          <w:szCs w:val="22"/>
        </w:rPr>
        <w:t>Il</w:t>
      </w:r>
      <w:r w:rsidR="00EF4D4E" w:rsidRPr="00C460FF">
        <w:rPr>
          <w:rFonts w:ascii="Avenir" w:eastAsia="Avenir" w:hAnsi="Avenir" w:cs="Avenir"/>
          <w:sz w:val="22"/>
          <w:szCs w:val="22"/>
        </w:rPr>
        <w:t xml:space="preserve"> y n’a pas eu de révision budgétaire majeur entre les produits. Cependant, pour le reste des activités de la 2</w:t>
      </w:r>
      <w:r w:rsidR="00EF4D4E" w:rsidRPr="002142A2">
        <w:rPr>
          <w:rFonts w:ascii="Avenir" w:eastAsia="Avenir" w:hAnsi="Avenir" w:cs="Avenir"/>
          <w:sz w:val="22"/>
          <w:szCs w:val="22"/>
        </w:rPr>
        <w:t>e</w:t>
      </w:r>
      <w:r w:rsidR="00EF4D4E" w:rsidRPr="00C460FF">
        <w:rPr>
          <w:rFonts w:ascii="Avenir" w:eastAsia="Avenir" w:hAnsi="Avenir" w:cs="Avenir"/>
          <w:sz w:val="22"/>
          <w:szCs w:val="22"/>
        </w:rPr>
        <w:t xml:space="preserve"> tranche une révision budgétaire s’impose. En effet, la première tranche n’a pas suivi la priorité des activités et les jalons. Elle a été faite sur une base simple de division euclidienne du budget total, alors que certaines activités ne sont pas scindable. </w:t>
      </w:r>
    </w:p>
    <w:p w14:paraId="5ACAC272" w14:textId="77777777" w:rsidR="0024617D" w:rsidRPr="00E11FFB" w:rsidRDefault="0024617D">
      <w:pPr>
        <w:spacing w:after="5"/>
        <w:ind w:left="20" w:right="28" w:hanging="10"/>
        <w:jc w:val="both"/>
        <w:rPr>
          <w:rFonts w:ascii="Avenir" w:eastAsia="Avenir" w:hAnsi="Avenir" w:cs="Avenir"/>
          <w:color w:val="000000"/>
        </w:rPr>
      </w:pPr>
    </w:p>
    <w:p w14:paraId="2F926E33" w14:textId="77777777" w:rsidR="0024617D" w:rsidRPr="00E11FFB" w:rsidRDefault="00C83F85">
      <w:pPr>
        <w:pStyle w:val="Titre1"/>
        <w:numPr>
          <w:ilvl w:val="0"/>
          <w:numId w:val="1"/>
        </w:numPr>
      </w:pPr>
      <w:bookmarkStart w:id="34" w:name="_Toc224044723"/>
      <w:r w:rsidRPr="00E11FFB">
        <w:t>Suivi évaluation et apprentissage du projet</w:t>
      </w:r>
      <w:bookmarkEnd w:id="34"/>
    </w:p>
    <w:p w14:paraId="3595DCED" w14:textId="71D2DDDD" w:rsidR="001A0E1A" w:rsidRPr="00C460FF" w:rsidRDefault="00310889" w:rsidP="00917FFB">
      <w:pPr>
        <w:pBdr>
          <w:top w:val="nil"/>
          <w:left w:val="nil"/>
          <w:bottom w:val="nil"/>
          <w:right w:val="nil"/>
          <w:between w:val="nil"/>
        </w:pBdr>
        <w:spacing w:line="259" w:lineRule="auto"/>
        <w:jc w:val="both"/>
        <w:rPr>
          <w:rFonts w:ascii="Avenir" w:eastAsia="Avenir" w:hAnsi="Avenir" w:cs="Avenir"/>
          <w:sz w:val="22"/>
          <w:szCs w:val="22"/>
        </w:rPr>
      </w:pPr>
      <w:r w:rsidRPr="00C460FF">
        <w:rPr>
          <w:rFonts w:ascii="Avenir" w:eastAsia="Avenir" w:hAnsi="Avenir" w:cs="Avenir"/>
          <w:sz w:val="22"/>
          <w:szCs w:val="22"/>
        </w:rPr>
        <w:t>Le projet a mis en œuvre toutes les activités de suivi et évaluation prévues pour l’année. Étant donné le fait que l’année 2025 était celle de démarrage du projet, les méthodes et les outils de suivi évaluation ont été développés. Une matrice de suivi des indicateurs, les modèles de rapportages, les fiches de suivi ont été développés par l’unité de coordination du projet et proposé aux partenaires. Dans ce cadre, le projet a réalisé les actions suivantes :</w:t>
      </w:r>
    </w:p>
    <w:p w14:paraId="1D424218" w14:textId="77777777" w:rsidR="00310889" w:rsidRPr="00C460FF" w:rsidRDefault="00310889" w:rsidP="00C460FF">
      <w:pPr>
        <w:pBdr>
          <w:top w:val="nil"/>
          <w:left w:val="nil"/>
          <w:bottom w:val="nil"/>
          <w:right w:val="nil"/>
          <w:between w:val="nil"/>
        </w:pBdr>
        <w:spacing w:line="259" w:lineRule="auto"/>
        <w:jc w:val="both"/>
        <w:rPr>
          <w:rFonts w:ascii="Avenir" w:eastAsia="Avenir" w:hAnsi="Avenir" w:cs="Avenir"/>
          <w:sz w:val="22"/>
          <w:szCs w:val="22"/>
        </w:rPr>
      </w:pPr>
    </w:p>
    <w:p w14:paraId="301AFDE6" w14:textId="2781A81F" w:rsidR="001A0E1A" w:rsidRPr="00103B6C" w:rsidRDefault="00A242A7" w:rsidP="00A242A7">
      <w:pPr>
        <w:numPr>
          <w:ilvl w:val="0"/>
          <w:numId w:val="31"/>
        </w:numPr>
        <w:spacing w:line="259" w:lineRule="auto"/>
        <w:ind w:hanging="436"/>
        <w:jc w:val="both"/>
        <w:rPr>
          <w:rFonts w:ascii="Avenir" w:hAnsi="Avenir"/>
          <w:sz w:val="22"/>
          <w:szCs w:val="22"/>
        </w:rPr>
      </w:pPr>
      <w:r w:rsidRPr="00103B6C">
        <w:rPr>
          <w:rFonts w:ascii="Avenir" w:hAnsi="Avenir"/>
          <w:sz w:val="22"/>
          <w:szCs w:val="22"/>
        </w:rPr>
        <w:t>R</w:t>
      </w:r>
      <w:r w:rsidR="001A0E1A" w:rsidRPr="00103B6C">
        <w:rPr>
          <w:rFonts w:ascii="Avenir" w:hAnsi="Avenir" w:hint="eastAsia"/>
          <w:sz w:val="22"/>
          <w:szCs w:val="22"/>
        </w:rPr>
        <w:t>é</w:t>
      </w:r>
      <w:r w:rsidR="001A0E1A" w:rsidRPr="00103B6C">
        <w:rPr>
          <w:rFonts w:ascii="Avenir" w:hAnsi="Avenir"/>
          <w:sz w:val="22"/>
          <w:szCs w:val="22"/>
        </w:rPr>
        <w:t>union de planification annuelle conjointe</w:t>
      </w:r>
      <w:r w:rsidRPr="00103B6C">
        <w:rPr>
          <w:rFonts w:ascii="Avenir" w:hAnsi="Avenir" w:hint="eastAsia"/>
          <w:sz w:val="22"/>
          <w:szCs w:val="22"/>
        </w:rPr>
        <w:t> </w:t>
      </w:r>
      <w:r w:rsidRPr="00103B6C">
        <w:rPr>
          <w:rFonts w:ascii="Avenir" w:hAnsi="Avenir"/>
          <w:sz w:val="22"/>
          <w:szCs w:val="22"/>
        </w:rPr>
        <w:t>: une r</w:t>
      </w:r>
      <w:r w:rsidRPr="00103B6C">
        <w:rPr>
          <w:rFonts w:ascii="Avenir" w:hAnsi="Avenir" w:hint="eastAsia"/>
          <w:sz w:val="22"/>
          <w:szCs w:val="22"/>
        </w:rPr>
        <w:t>é</w:t>
      </w:r>
      <w:r w:rsidRPr="00103B6C">
        <w:rPr>
          <w:rFonts w:ascii="Avenir" w:hAnsi="Avenir"/>
          <w:sz w:val="22"/>
          <w:szCs w:val="22"/>
        </w:rPr>
        <w:t xml:space="preserve">union a </w:t>
      </w:r>
      <w:r w:rsidRPr="00103B6C">
        <w:rPr>
          <w:rFonts w:ascii="Avenir" w:hAnsi="Avenir" w:hint="eastAsia"/>
          <w:sz w:val="22"/>
          <w:szCs w:val="22"/>
        </w:rPr>
        <w:t>é</w:t>
      </w:r>
      <w:r w:rsidRPr="00103B6C">
        <w:rPr>
          <w:rFonts w:ascii="Avenir" w:hAnsi="Avenir"/>
          <w:sz w:val="22"/>
          <w:szCs w:val="22"/>
        </w:rPr>
        <w:t>t</w:t>
      </w:r>
      <w:r w:rsidRPr="00103B6C">
        <w:rPr>
          <w:rFonts w:ascii="Avenir" w:hAnsi="Avenir" w:hint="eastAsia"/>
          <w:sz w:val="22"/>
          <w:szCs w:val="22"/>
        </w:rPr>
        <w:t>é</w:t>
      </w:r>
      <w:r w:rsidRPr="00103B6C">
        <w:rPr>
          <w:rFonts w:ascii="Avenir" w:hAnsi="Avenir"/>
          <w:sz w:val="22"/>
          <w:szCs w:val="22"/>
        </w:rPr>
        <w:t xml:space="preserve"> r</w:t>
      </w:r>
      <w:r w:rsidRPr="00103B6C">
        <w:rPr>
          <w:rFonts w:ascii="Avenir" w:hAnsi="Avenir" w:hint="eastAsia"/>
          <w:sz w:val="22"/>
          <w:szCs w:val="22"/>
        </w:rPr>
        <w:t>é</w:t>
      </w:r>
      <w:r w:rsidRPr="00103B6C">
        <w:rPr>
          <w:rFonts w:ascii="Avenir" w:hAnsi="Avenir"/>
          <w:sz w:val="22"/>
          <w:szCs w:val="22"/>
        </w:rPr>
        <w:t>alis</w:t>
      </w:r>
      <w:r w:rsidRPr="00103B6C">
        <w:rPr>
          <w:rFonts w:ascii="Avenir" w:hAnsi="Avenir" w:hint="eastAsia"/>
          <w:sz w:val="22"/>
          <w:szCs w:val="22"/>
        </w:rPr>
        <w:t>é</w:t>
      </w:r>
      <w:r w:rsidRPr="00103B6C">
        <w:rPr>
          <w:rFonts w:ascii="Avenir" w:hAnsi="Avenir"/>
          <w:sz w:val="22"/>
          <w:szCs w:val="22"/>
        </w:rPr>
        <w:t xml:space="preserve">e </w:t>
      </w:r>
      <w:r w:rsidR="00AA4C55" w:rsidRPr="00103B6C">
        <w:rPr>
          <w:rFonts w:ascii="Avenir" w:hAnsi="Avenir"/>
          <w:sz w:val="22"/>
          <w:szCs w:val="22"/>
        </w:rPr>
        <w:t xml:space="preserve">avec chaque task-force entre mai et juin 2025 faisant suite au premier COPIL tenu en avril 2025 </w:t>
      </w:r>
      <w:r w:rsidR="001A0E1A" w:rsidRPr="00103B6C">
        <w:rPr>
          <w:rFonts w:ascii="Avenir" w:hAnsi="Avenir"/>
          <w:sz w:val="22"/>
          <w:szCs w:val="22"/>
        </w:rPr>
        <w:t>;</w:t>
      </w:r>
    </w:p>
    <w:p w14:paraId="04C7ED2F" w14:textId="77777777" w:rsidR="00AA4C55" w:rsidRPr="00103B6C" w:rsidRDefault="001A0E1A" w:rsidP="00A242A7">
      <w:pPr>
        <w:numPr>
          <w:ilvl w:val="0"/>
          <w:numId w:val="31"/>
        </w:numPr>
        <w:spacing w:line="259" w:lineRule="auto"/>
        <w:ind w:hanging="436"/>
        <w:jc w:val="both"/>
        <w:rPr>
          <w:rFonts w:ascii="Avenir" w:hAnsi="Avenir"/>
          <w:sz w:val="22"/>
          <w:szCs w:val="22"/>
        </w:rPr>
      </w:pPr>
      <w:r w:rsidRPr="00103B6C">
        <w:rPr>
          <w:rFonts w:ascii="Avenir" w:hAnsi="Avenir"/>
          <w:sz w:val="22"/>
          <w:szCs w:val="22"/>
        </w:rPr>
        <w:t>Rapportages des activit</w:t>
      </w:r>
      <w:r w:rsidRPr="00103B6C">
        <w:rPr>
          <w:rFonts w:ascii="Avenir" w:hAnsi="Avenir" w:hint="eastAsia"/>
          <w:sz w:val="22"/>
          <w:szCs w:val="22"/>
        </w:rPr>
        <w:t>é</w:t>
      </w:r>
      <w:r w:rsidRPr="00103B6C">
        <w:rPr>
          <w:rFonts w:ascii="Avenir" w:hAnsi="Avenir"/>
          <w:sz w:val="22"/>
          <w:szCs w:val="22"/>
        </w:rPr>
        <w:t>s</w:t>
      </w:r>
      <w:r w:rsidR="00AA4C55" w:rsidRPr="00103B6C">
        <w:rPr>
          <w:rFonts w:ascii="Avenir" w:hAnsi="Avenir" w:hint="eastAsia"/>
          <w:sz w:val="22"/>
          <w:szCs w:val="22"/>
        </w:rPr>
        <w:t> </w:t>
      </w:r>
      <w:r w:rsidR="00AA4C55" w:rsidRPr="00103B6C">
        <w:rPr>
          <w:rFonts w:ascii="Avenir" w:hAnsi="Avenir"/>
          <w:sz w:val="22"/>
          <w:szCs w:val="22"/>
        </w:rPr>
        <w:t>: tous les membres de la task-force ont fait mensuellement le rapport sur les activit</w:t>
      </w:r>
      <w:r w:rsidR="00AA4C55" w:rsidRPr="00103B6C">
        <w:rPr>
          <w:rFonts w:ascii="Avenir" w:hAnsi="Avenir" w:hint="eastAsia"/>
          <w:sz w:val="22"/>
          <w:szCs w:val="22"/>
        </w:rPr>
        <w:t>é</w:t>
      </w:r>
      <w:r w:rsidR="00AA4C55" w:rsidRPr="00103B6C">
        <w:rPr>
          <w:rFonts w:ascii="Avenir" w:hAnsi="Avenir"/>
          <w:sz w:val="22"/>
          <w:szCs w:val="22"/>
        </w:rPr>
        <w:t>s de l</w:t>
      </w:r>
      <w:r w:rsidR="00AA4C55" w:rsidRPr="00103B6C">
        <w:rPr>
          <w:rFonts w:ascii="Avenir" w:hAnsi="Avenir" w:hint="eastAsia"/>
          <w:sz w:val="22"/>
          <w:szCs w:val="22"/>
        </w:rPr>
        <w:t>’</w:t>
      </w:r>
      <w:r w:rsidR="00AA4C55" w:rsidRPr="00103B6C">
        <w:rPr>
          <w:rFonts w:ascii="Avenir" w:hAnsi="Avenir"/>
          <w:sz w:val="22"/>
          <w:szCs w:val="22"/>
        </w:rPr>
        <w:t>entit</w:t>
      </w:r>
      <w:r w:rsidR="00AA4C55" w:rsidRPr="00103B6C">
        <w:rPr>
          <w:rFonts w:ascii="Avenir" w:hAnsi="Avenir" w:hint="eastAsia"/>
          <w:sz w:val="22"/>
          <w:szCs w:val="22"/>
        </w:rPr>
        <w:t>é</w:t>
      </w:r>
      <w:r w:rsidR="00AA4C55" w:rsidRPr="00103B6C">
        <w:rPr>
          <w:rFonts w:ascii="Avenir" w:hAnsi="Avenir"/>
          <w:sz w:val="22"/>
          <w:szCs w:val="22"/>
        </w:rPr>
        <w:t xml:space="preserve"> par rapport aux jalons port</w:t>
      </w:r>
      <w:r w:rsidR="00AA4C55" w:rsidRPr="00103B6C">
        <w:rPr>
          <w:rFonts w:ascii="Avenir" w:hAnsi="Avenir" w:hint="eastAsia"/>
          <w:sz w:val="22"/>
          <w:szCs w:val="22"/>
        </w:rPr>
        <w:t>é</w:t>
      </w:r>
      <w:r w:rsidR="00AA4C55" w:rsidRPr="00103B6C">
        <w:rPr>
          <w:rFonts w:ascii="Avenir" w:hAnsi="Avenir"/>
          <w:sz w:val="22"/>
          <w:szCs w:val="22"/>
        </w:rPr>
        <w:t xml:space="preserve">s. </w:t>
      </w:r>
    </w:p>
    <w:p w14:paraId="168B3899" w14:textId="298CA2A3" w:rsidR="001A0E1A" w:rsidRPr="00103B6C" w:rsidRDefault="00AA4C55" w:rsidP="003A6DE1">
      <w:pPr>
        <w:numPr>
          <w:ilvl w:val="0"/>
          <w:numId w:val="31"/>
        </w:numPr>
        <w:spacing w:line="259" w:lineRule="auto"/>
        <w:ind w:hanging="436"/>
        <w:jc w:val="both"/>
        <w:rPr>
          <w:rFonts w:ascii="Avenir" w:hAnsi="Avenir"/>
          <w:sz w:val="22"/>
          <w:szCs w:val="22"/>
        </w:rPr>
      </w:pPr>
      <w:r w:rsidRPr="00103B6C">
        <w:rPr>
          <w:rFonts w:ascii="Avenir" w:hAnsi="Avenir"/>
          <w:sz w:val="22"/>
          <w:szCs w:val="22"/>
        </w:rPr>
        <w:t>Pour le suivi des jalons, une r</w:t>
      </w:r>
      <w:r w:rsidRPr="00103B6C">
        <w:rPr>
          <w:rFonts w:ascii="Avenir" w:hAnsi="Avenir" w:hint="eastAsia"/>
          <w:sz w:val="22"/>
          <w:szCs w:val="22"/>
        </w:rPr>
        <w:t>é</w:t>
      </w:r>
      <w:r w:rsidRPr="00103B6C">
        <w:rPr>
          <w:rFonts w:ascii="Avenir" w:hAnsi="Avenir"/>
          <w:sz w:val="22"/>
          <w:szCs w:val="22"/>
        </w:rPr>
        <w:t xml:space="preserve">union a </w:t>
      </w:r>
      <w:r w:rsidRPr="00103B6C">
        <w:rPr>
          <w:rFonts w:ascii="Avenir" w:hAnsi="Avenir" w:hint="eastAsia"/>
          <w:sz w:val="22"/>
          <w:szCs w:val="22"/>
        </w:rPr>
        <w:t>é</w:t>
      </w:r>
      <w:r w:rsidRPr="00103B6C">
        <w:rPr>
          <w:rFonts w:ascii="Avenir" w:hAnsi="Avenir"/>
          <w:sz w:val="22"/>
          <w:szCs w:val="22"/>
        </w:rPr>
        <w:t>t</w:t>
      </w:r>
      <w:r w:rsidRPr="00103B6C">
        <w:rPr>
          <w:rFonts w:ascii="Avenir" w:hAnsi="Avenir" w:hint="eastAsia"/>
          <w:sz w:val="22"/>
          <w:szCs w:val="22"/>
        </w:rPr>
        <w:t>é</w:t>
      </w:r>
      <w:r w:rsidRPr="00103B6C">
        <w:rPr>
          <w:rFonts w:ascii="Avenir" w:hAnsi="Avenir"/>
          <w:sz w:val="22"/>
          <w:szCs w:val="22"/>
        </w:rPr>
        <w:t xml:space="preserve"> r</w:t>
      </w:r>
      <w:r w:rsidRPr="00103B6C">
        <w:rPr>
          <w:rFonts w:ascii="Avenir" w:hAnsi="Avenir" w:hint="eastAsia"/>
          <w:sz w:val="22"/>
          <w:szCs w:val="22"/>
        </w:rPr>
        <w:t>é</w:t>
      </w:r>
      <w:r w:rsidRPr="00103B6C">
        <w:rPr>
          <w:rFonts w:ascii="Avenir" w:hAnsi="Avenir"/>
          <w:sz w:val="22"/>
          <w:szCs w:val="22"/>
        </w:rPr>
        <w:t>alis</w:t>
      </w:r>
      <w:r w:rsidRPr="00103B6C">
        <w:rPr>
          <w:rFonts w:ascii="Avenir" w:hAnsi="Avenir" w:hint="eastAsia"/>
          <w:sz w:val="22"/>
          <w:szCs w:val="22"/>
        </w:rPr>
        <w:t>é</w:t>
      </w:r>
      <w:r w:rsidRPr="00103B6C">
        <w:rPr>
          <w:rFonts w:ascii="Avenir" w:hAnsi="Avenir"/>
          <w:sz w:val="22"/>
          <w:szCs w:val="22"/>
        </w:rPr>
        <w:t xml:space="preserve"> </w:t>
      </w:r>
      <w:r w:rsidR="001A0E1A" w:rsidRPr="00103B6C">
        <w:rPr>
          <w:rFonts w:ascii="Avenir" w:hAnsi="Avenir"/>
          <w:sz w:val="22"/>
          <w:szCs w:val="22"/>
        </w:rPr>
        <w:t>semestriel</w:t>
      </w:r>
      <w:r w:rsidRPr="00103B6C">
        <w:rPr>
          <w:rFonts w:ascii="Avenir" w:hAnsi="Avenir"/>
          <w:sz w:val="22"/>
          <w:szCs w:val="22"/>
        </w:rPr>
        <w:t xml:space="preserve">lement avec </w:t>
      </w:r>
      <w:r w:rsidR="001A0E1A" w:rsidRPr="00103B6C">
        <w:rPr>
          <w:rFonts w:ascii="Avenir" w:hAnsi="Avenir"/>
          <w:sz w:val="22"/>
          <w:szCs w:val="22"/>
        </w:rPr>
        <w:t>toutes les entit</w:t>
      </w:r>
      <w:r w:rsidR="001A0E1A" w:rsidRPr="00103B6C">
        <w:rPr>
          <w:rFonts w:ascii="Avenir" w:hAnsi="Avenir" w:hint="eastAsia"/>
          <w:sz w:val="22"/>
          <w:szCs w:val="22"/>
        </w:rPr>
        <w:t>é</w:t>
      </w:r>
      <w:r w:rsidR="001A0E1A" w:rsidRPr="00103B6C">
        <w:rPr>
          <w:rFonts w:ascii="Avenir" w:hAnsi="Avenir"/>
          <w:sz w:val="22"/>
          <w:szCs w:val="22"/>
        </w:rPr>
        <w:t>s b</w:t>
      </w:r>
      <w:r w:rsidR="001A0E1A" w:rsidRPr="00103B6C">
        <w:rPr>
          <w:rFonts w:ascii="Avenir" w:hAnsi="Avenir" w:hint="eastAsia"/>
          <w:sz w:val="22"/>
          <w:szCs w:val="22"/>
        </w:rPr>
        <w:t>é</w:t>
      </w:r>
      <w:r w:rsidR="001A0E1A" w:rsidRPr="00103B6C">
        <w:rPr>
          <w:rFonts w:ascii="Avenir" w:hAnsi="Avenir"/>
          <w:sz w:val="22"/>
          <w:szCs w:val="22"/>
        </w:rPr>
        <w:t>n</w:t>
      </w:r>
      <w:r w:rsidR="001A0E1A" w:rsidRPr="00103B6C">
        <w:rPr>
          <w:rFonts w:ascii="Avenir" w:hAnsi="Avenir" w:hint="eastAsia"/>
          <w:sz w:val="22"/>
          <w:szCs w:val="22"/>
        </w:rPr>
        <w:t>é</w:t>
      </w:r>
      <w:r w:rsidR="001A0E1A" w:rsidRPr="00103B6C">
        <w:rPr>
          <w:rFonts w:ascii="Avenir" w:hAnsi="Avenir"/>
          <w:sz w:val="22"/>
          <w:szCs w:val="22"/>
        </w:rPr>
        <w:t>ficiaires du projet. La soumission des fiches jalons actualis</w:t>
      </w:r>
      <w:r w:rsidR="001A0E1A" w:rsidRPr="00103B6C">
        <w:rPr>
          <w:rFonts w:ascii="Avenir" w:hAnsi="Avenir" w:hint="eastAsia"/>
          <w:sz w:val="22"/>
          <w:szCs w:val="22"/>
        </w:rPr>
        <w:t>é</w:t>
      </w:r>
      <w:r w:rsidR="001A0E1A" w:rsidRPr="00103B6C">
        <w:rPr>
          <w:rFonts w:ascii="Avenir" w:hAnsi="Avenir"/>
          <w:sz w:val="22"/>
          <w:szCs w:val="22"/>
        </w:rPr>
        <w:t>es avec des d</w:t>
      </w:r>
      <w:r w:rsidR="001A0E1A" w:rsidRPr="00103B6C">
        <w:rPr>
          <w:rFonts w:ascii="Avenir" w:hAnsi="Avenir" w:hint="eastAsia"/>
          <w:sz w:val="22"/>
          <w:szCs w:val="22"/>
        </w:rPr>
        <w:t>é</w:t>
      </w:r>
      <w:r w:rsidR="001A0E1A" w:rsidRPr="00103B6C">
        <w:rPr>
          <w:rFonts w:ascii="Avenir" w:hAnsi="Avenir"/>
          <w:sz w:val="22"/>
          <w:szCs w:val="22"/>
        </w:rPr>
        <w:t xml:space="preserve">tails et </w:t>
      </w:r>
      <w:r w:rsidR="001A0E1A" w:rsidRPr="00103B6C">
        <w:rPr>
          <w:rFonts w:ascii="Avenir" w:hAnsi="Avenir" w:hint="eastAsia"/>
          <w:sz w:val="22"/>
          <w:szCs w:val="22"/>
        </w:rPr>
        <w:t>é</w:t>
      </w:r>
      <w:r w:rsidR="001A0E1A" w:rsidRPr="00103B6C">
        <w:rPr>
          <w:rFonts w:ascii="Avenir" w:hAnsi="Avenir"/>
          <w:sz w:val="22"/>
          <w:szCs w:val="22"/>
        </w:rPr>
        <w:t>vidence sur les progr</w:t>
      </w:r>
      <w:r w:rsidR="001A0E1A" w:rsidRPr="00103B6C">
        <w:rPr>
          <w:rFonts w:ascii="Avenir" w:hAnsi="Avenir" w:hint="eastAsia"/>
          <w:sz w:val="22"/>
          <w:szCs w:val="22"/>
        </w:rPr>
        <w:t>è</w:t>
      </w:r>
      <w:r w:rsidR="001A0E1A" w:rsidRPr="00103B6C">
        <w:rPr>
          <w:rFonts w:ascii="Avenir" w:hAnsi="Avenir"/>
          <w:sz w:val="22"/>
          <w:szCs w:val="22"/>
        </w:rPr>
        <w:t>s effectu</w:t>
      </w:r>
      <w:r w:rsidR="001A0E1A" w:rsidRPr="00103B6C">
        <w:rPr>
          <w:rFonts w:ascii="Avenir" w:hAnsi="Avenir" w:hint="eastAsia"/>
          <w:sz w:val="22"/>
          <w:szCs w:val="22"/>
        </w:rPr>
        <w:t>é</w:t>
      </w:r>
      <w:r w:rsidR="001A0E1A" w:rsidRPr="00103B6C">
        <w:rPr>
          <w:rFonts w:ascii="Avenir" w:hAnsi="Avenir"/>
          <w:sz w:val="22"/>
          <w:szCs w:val="22"/>
        </w:rPr>
        <w:t>s, les livrables produits, les contraintes rencontr</w:t>
      </w:r>
      <w:r w:rsidR="001A0E1A" w:rsidRPr="00103B6C">
        <w:rPr>
          <w:rFonts w:ascii="Avenir" w:hAnsi="Avenir" w:hint="eastAsia"/>
          <w:sz w:val="22"/>
          <w:szCs w:val="22"/>
        </w:rPr>
        <w:t>é</w:t>
      </w:r>
      <w:r w:rsidR="001A0E1A" w:rsidRPr="00103B6C">
        <w:rPr>
          <w:rFonts w:ascii="Avenir" w:hAnsi="Avenir"/>
          <w:sz w:val="22"/>
          <w:szCs w:val="22"/>
        </w:rPr>
        <w:t xml:space="preserve">es </w:t>
      </w:r>
      <w:r w:rsidRPr="00103B6C">
        <w:rPr>
          <w:rFonts w:ascii="Avenir" w:hAnsi="Avenir"/>
          <w:sz w:val="22"/>
          <w:szCs w:val="22"/>
        </w:rPr>
        <w:t xml:space="preserve">ont </w:t>
      </w:r>
      <w:r w:rsidRPr="00103B6C">
        <w:rPr>
          <w:rFonts w:ascii="Avenir" w:hAnsi="Avenir" w:hint="eastAsia"/>
          <w:sz w:val="22"/>
          <w:szCs w:val="22"/>
        </w:rPr>
        <w:t>é</w:t>
      </w:r>
      <w:r w:rsidRPr="00103B6C">
        <w:rPr>
          <w:rFonts w:ascii="Avenir" w:hAnsi="Avenir"/>
          <w:sz w:val="22"/>
          <w:szCs w:val="22"/>
        </w:rPr>
        <w:t>t</w:t>
      </w:r>
      <w:r w:rsidRPr="00103B6C">
        <w:rPr>
          <w:rFonts w:ascii="Avenir" w:hAnsi="Avenir" w:hint="eastAsia"/>
          <w:sz w:val="22"/>
          <w:szCs w:val="22"/>
        </w:rPr>
        <w:t>é</w:t>
      </w:r>
      <w:r w:rsidRPr="00103B6C">
        <w:rPr>
          <w:rFonts w:ascii="Avenir" w:hAnsi="Avenir"/>
          <w:sz w:val="22"/>
          <w:szCs w:val="22"/>
        </w:rPr>
        <w:t xml:space="preserve"> pr</w:t>
      </w:r>
      <w:r w:rsidRPr="00103B6C">
        <w:rPr>
          <w:rFonts w:ascii="Avenir" w:hAnsi="Avenir" w:hint="eastAsia"/>
          <w:sz w:val="22"/>
          <w:szCs w:val="22"/>
        </w:rPr>
        <w:t>é</w:t>
      </w:r>
      <w:r w:rsidRPr="00103B6C">
        <w:rPr>
          <w:rFonts w:ascii="Avenir" w:hAnsi="Avenir"/>
          <w:sz w:val="22"/>
          <w:szCs w:val="22"/>
        </w:rPr>
        <w:t>sent</w:t>
      </w:r>
      <w:r w:rsidRPr="00103B6C">
        <w:rPr>
          <w:rFonts w:ascii="Avenir" w:hAnsi="Avenir" w:hint="eastAsia"/>
          <w:sz w:val="22"/>
          <w:szCs w:val="22"/>
        </w:rPr>
        <w:t>é</w:t>
      </w:r>
      <w:r w:rsidRPr="00103B6C">
        <w:rPr>
          <w:rFonts w:ascii="Avenir" w:hAnsi="Avenir"/>
          <w:sz w:val="22"/>
          <w:szCs w:val="22"/>
        </w:rPr>
        <w:t xml:space="preserve">s aux </w:t>
      </w:r>
      <w:r w:rsidRPr="00103B6C">
        <w:rPr>
          <w:rFonts w:ascii="Avenir" w:hAnsi="Avenir" w:hint="eastAsia"/>
          <w:sz w:val="22"/>
          <w:szCs w:val="22"/>
        </w:rPr>
        <w:t>é</w:t>
      </w:r>
      <w:r w:rsidRPr="00103B6C">
        <w:rPr>
          <w:rFonts w:ascii="Avenir" w:hAnsi="Avenir"/>
          <w:sz w:val="22"/>
          <w:szCs w:val="22"/>
        </w:rPr>
        <w:t>quipes de PNUD, FONAREDD</w:t>
      </w:r>
      <w:r w:rsidR="001A0E1A" w:rsidRPr="00103B6C">
        <w:rPr>
          <w:rFonts w:ascii="Avenir" w:hAnsi="Avenir"/>
          <w:sz w:val="22"/>
          <w:szCs w:val="22"/>
        </w:rPr>
        <w:t>.</w:t>
      </w:r>
      <w:r w:rsidR="006A2690" w:rsidRPr="00103B6C">
        <w:rPr>
          <w:rFonts w:ascii="Avenir" w:hAnsi="Avenir"/>
          <w:sz w:val="22"/>
          <w:szCs w:val="22"/>
        </w:rPr>
        <w:t xml:space="preserve"> </w:t>
      </w:r>
    </w:p>
    <w:p w14:paraId="76070977" w14:textId="65BF5EE4" w:rsidR="001A0E1A" w:rsidRPr="00103B6C" w:rsidRDefault="00D4453D" w:rsidP="00A242A7">
      <w:pPr>
        <w:numPr>
          <w:ilvl w:val="0"/>
          <w:numId w:val="31"/>
        </w:numPr>
        <w:spacing w:line="259" w:lineRule="auto"/>
        <w:ind w:hanging="436"/>
        <w:jc w:val="both"/>
        <w:rPr>
          <w:rFonts w:ascii="Avenir" w:hAnsi="Avenir"/>
          <w:sz w:val="22"/>
          <w:szCs w:val="22"/>
        </w:rPr>
      </w:pPr>
      <w:r w:rsidRPr="00103B6C">
        <w:rPr>
          <w:rFonts w:ascii="Avenir" w:hAnsi="Avenir"/>
          <w:sz w:val="22"/>
          <w:szCs w:val="22"/>
        </w:rPr>
        <w:t>Les concertations permanentes et r</w:t>
      </w:r>
      <w:r w:rsidR="001A0E1A" w:rsidRPr="00103B6C">
        <w:rPr>
          <w:rFonts w:ascii="Avenir" w:hAnsi="Avenir" w:hint="eastAsia"/>
          <w:sz w:val="22"/>
          <w:szCs w:val="22"/>
        </w:rPr>
        <w:t>é</w:t>
      </w:r>
      <w:r w:rsidR="001A0E1A" w:rsidRPr="00103B6C">
        <w:rPr>
          <w:rFonts w:ascii="Avenir" w:hAnsi="Avenir"/>
          <w:sz w:val="22"/>
          <w:szCs w:val="22"/>
        </w:rPr>
        <w:t>union</w:t>
      </w:r>
      <w:r w:rsidRPr="00103B6C">
        <w:rPr>
          <w:rFonts w:ascii="Avenir" w:hAnsi="Avenir"/>
          <w:sz w:val="22"/>
          <w:szCs w:val="22"/>
        </w:rPr>
        <w:t>s r</w:t>
      </w:r>
      <w:r w:rsidRPr="00103B6C">
        <w:rPr>
          <w:rFonts w:ascii="Avenir" w:hAnsi="Avenir" w:hint="eastAsia"/>
          <w:sz w:val="22"/>
          <w:szCs w:val="22"/>
        </w:rPr>
        <w:t>é</w:t>
      </w:r>
      <w:r w:rsidRPr="00103B6C">
        <w:rPr>
          <w:rFonts w:ascii="Avenir" w:hAnsi="Avenir"/>
          <w:sz w:val="22"/>
          <w:szCs w:val="22"/>
        </w:rPr>
        <w:t>guli</w:t>
      </w:r>
      <w:r w:rsidRPr="00103B6C">
        <w:rPr>
          <w:rFonts w:ascii="Avenir" w:hAnsi="Avenir" w:hint="eastAsia"/>
          <w:sz w:val="22"/>
          <w:szCs w:val="22"/>
        </w:rPr>
        <w:t>è</w:t>
      </w:r>
      <w:r w:rsidRPr="00103B6C">
        <w:rPr>
          <w:rFonts w:ascii="Avenir" w:hAnsi="Avenir"/>
          <w:sz w:val="22"/>
          <w:szCs w:val="22"/>
        </w:rPr>
        <w:t xml:space="preserve">res </w:t>
      </w:r>
      <w:r w:rsidR="001A0E1A" w:rsidRPr="00103B6C">
        <w:rPr>
          <w:rFonts w:ascii="Avenir" w:hAnsi="Avenir"/>
          <w:sz w:val="22"/>
          <w:szCs w:val="22"/>
        </w:rPr>
        <w:t>de suivi</w:t>
      </w:r>
      <w:r w:rsidR="001A0E1A" w:rsidRPr="00103B6C">
        <w:rPr>
          <w:rFonts w:ascii="Avenir" w:hAnsi="Avenir" w:hint="eastAsia"/>
          <w:sz w:val="22"/>
          <w:szCs w:val="22"/>
        </w:rPr>
        <w:t> </w:t>
      </w:r>
      <w:r w:rsidRPr="00103B6C">
        <w:rPr>
          <w:rFonts w:ascii="Avenir" w:hAnsi="Avenir"/>
          <w:sz w:val="22"/>
          <w:szCs w:val="22"/>
        </w:rPr>
        <w:t xml:space="preserve">ont </w:t>
      </w:r>
      <w:r w:rsidRPr="00103B6C">
        <w:rPr>
          <w:rFonts w:ascii="Avenir" w:hAnsi="Avenir" w:hint="eastAsia"/>
          <w:sz w:val="22"/>
          <w:szCs w:val="22"/>
        </w:rPr>
        <w:t>é</w:t>
      </w:r>
      <w:r w:rsidRPr="00103B6C">
        <w:rPr>
          <w:rFonts w:ascii="Avenir" w:hAnsi="Avenir"/>
          <w:sz w:val="22"/>
          <w:szCs w:val="22"/>
        </w:rPr>
        <w:t>t</w:t>
      </w:r>
      <w:r w:rsidRPr="00103B6C">
        <w:rPr>
          <w:rFonts w:ascii="Avenir" w:hAnsi="Avenir" w:hint="eastAsia"/>
          <w:sz w:val="22"/>
          <w:szCs w:val="22"/>
        </w:rPr>
        <w:t>é</w:t>
      </w:r>
      <w:r w:rsidRPr="00103B6C">
        <w:rPr>
          <w:rFonts w:ascii="Avenir" w:hAnsi="Avenir"/>
          <w:sz w:val="22"/>
          <w:szCs w:val="22"/>
        </w:rPr>
        <w:t xml:space="preserve"> tenues </w:t>
      </w:r>
      <w:r w:rsidR="001A0E1A" w:rsidRPr="00103B6C">
        <w:rPr>
          <w:rFonts w:ascii="Avenir" w:hAnsi="Avenir"/>
          <w:sz w:val="22"/>
          <w:szCs w:val="22"/>
        </w:rPr>
        <w:t>aupr</w:t>
      </w:r>
      <w:r w:rsidR="001A0E1A" w:rsidRPr="00103B6C">
        <w:rPr>
          <w:rFonts w:ascii="Avenir" w:hAnsi="Avenir" w:hint="eastAsia"/>
          <w:sz w:val="22"/>
          <w:szCs w:val="22"/>
        </w:rPr>
        <w:t>è</w:t>
      </w:r>
      <w:r w:rsidR="001A0E1A" w:rsidRPr="00103B6C">
        <w:rPr>
          <w:rFonts w:ascii="Avenir" w:hAnsi="Avenir"/>
          <w:sz w:val="22"/>
          <w:szCs w:val="22"/>
        </w:rPr>
        <w:t>s de diff</w:t>
      </w:r>
      <w:r w:rsidR="001A0E1A" w:rsidRPr="00103B6C">
        <w:rPr>
          <w:rFonts w:ascii="Avenir" w:hAnsi="Avenir" w:hint="eastAsia"/>
          <w:sz w:val="22"/>
          <w:szCs w:val="22"/>
        </w:rPr>
        <w:t>é</w:t>
      </w:r>
      <w:r w:rsidR="001A0E1A" w:rsidRPr="00103B6C">
        <w:rPr>
          <w:rFonts w:ascii="Avenir" w:hAnsi="Avenir"/>
          <w:sz w:val="22"/>
          <w:szCs w:val="22"/>
        </w:rPr>
        <w:t>rentes Task forces mises en place dans chaque minist</w:t>
      </w:r>
      <w:r w:rsidR="001A0E1A" w:rsidRPr="00103B6C">
        <w:rPr>
          <w:rFonts w:ascii="Avenir" w:hAnsi="Avenir" w:hint="eastAsia"/>
          <w:sz w:val="22"/>
          <w:szCs w:val="22"/>
        </w:rPr>
        <w:t>è</w:t>
      </w:r>
      <w:r w:rsidR="001A0E1A" w:rsidRPr="00103B6C">
        <w:rPr>
          <w:rFonts w:ascii="Avenir" w:hAnsi="Avenir"/>
          <w:sz w:val="22"/>
          <w:szCs w:val="22"/>
        </w:rPr>
        <w:t>re pour s</w:t>
      </w:r>
      <w:r w:rsidR="001A0E1A" w:rsidRPr="00103B6C">
        <w:rPr>
          <w:rFonts w:ascii="Avenir" w:hAnsi="Avenir" w:hint="eastAsia"/>
          <w:sz w:val="22"/>
          <w:szCs w:val="22"/>
        </w:rPr>
        <w:t>’</w:t>
      </w:r>
      <w:r w:rsidR="001A0E1A" w:rsidRPr="00103B6C">
        <w:rPr>
          <w:rFonts w:ascii="Avenir" w:hAnsi="Avenir"/>
          <w:sz w:val="22"/>
          <w:szCs w:val="22"/>
        </w:rPr>
        <w:t>assurer et am</w:t>
      </w:r>
      <w:r w:rsidR="001A0E1A" w:rsidRPr="00103B6C">
        <w:rPr>
          <w:rFonts w:ascii="Avenir" w:hAnsi="Avenir" w:hint="eastAsia"/>
          <w:sz w:val="22"/>
          <w:szCs w:val="22"/>
        </w:rPr>
        <w:t>é</w:t>
      </w:r>
      <w:r w:rsidR="001A0E1A" w:rsidRPr="00103B6C">
        <w:rPr>
          <w:rFonts w:ascii="Avenir" w:hAnsi="Avenir"/>
          <w:sz w:val="22"/>
          <w:szCs w:val="22"/>
        </w:rPr>
        <w:t>liorer le contenu des rapports, des livrables, des outils de communication ou d</w:t>
      </w:r>
      <w:r w:rsidR="001A0E1A" w:rsidRPr="00103B6C">
        <w:rPr>
          <w:rFonts w:ascii="Avenir" w:hAnsi="Avenir" w:hint="eastAsia"/>
          <w:sz w:val="22"/>
          <w:szCs w:val="22"/>
        </w:rPr>
        <w:t>’</w:t>
      </w:r>
      <w:r w:rsidR="001A0E1A" w:rsidRPr="00103B6C">
        <w:rPr>
          <w:rFonts w:ascii="Avenir" w:hAnsi="Avenir"/>
          <w:sz w:val="22"/>
          <w:szCs w:val="22"/>
        </w:rPr>
        <w:t xml:space="preserve">engagement des parties prenantes, et examiner les mesures </w:t>
      </w:r>
      <w:r w:rsidR="001A0E1A" w:rsidRPr="00103B6C">
        <w:rPr>
          <w:rFonts w:ascii="Avenir" w:hAnsi="Avenir" w:hint="eastAsia"/>
          <w:sz w:val="22"/>
          <w:szCs w:val="22"/>
        </w:rPr>
        <w:t>à</w:t>
      </w:r>
      <w:r w:rsidR="001A0E1A" w:rsidRPr="00103B6C">
        <w:rPr>
          <w:rFonts w:ascii="Avenir" w:hAnsi="Avenir"/>
          <w:sz w:val="22"/>
          <w:szCs w:val="22"/>
        </w:rPr>
        <w:t xml:space="preserve"> prendre pour faire face aux difficult</w:t>
      </w:r>
      <w:r w:rsidR="001A0E1A" w:rsidRPr="00103B6C">
        <w:rPr>
          <w:rFonts w:ascii="Avenir" w:hAnsi="Avenir" w:hint="eastAsia"/>
          <w:sz w:val="22"/>
          <w:szCs w:val="22"/>
        </w:rPr>
        <w:t>é</w:t>
      </w:r>
      <w:r w:rsidR="001A0E1A" w:rsidRPr="00103B6C">
        <w:rPr>
          <w:rFonts w:ascii="Avenir" w:hAnsi="Avenir"/>
          <w:sz w:val="22"/>
          <w:szCs w:val="22"/>
        </w:rPr>
        <w:t>s</w:t>
      </w:r>
      <w:r w:rsidRPr="00103B6C">
        <w:rPr>
          <w:rFonts w:ascii="Avenir" w:hAnsi="Avenir"/>
          <w:sz w:val="22"/>
          <w:szCs w:val="22"/>
        </w:rPr>
        <w:t>. Ces r</w:t>
      </w:r>
      <w:r w:rsidRPr="00103B6C">
        <w:rPr>
          <w:rFonts w:ascii="Avenir" w:hAnsi="Avenir" w:hint="eastAsia"/>
          <w:sz w:val="22"/>
          <w:szCs w:val="22"/>
        </w:rPr>
        <w:t>é</w:t>
      </w:r>
      <w:r w:rsidRPr="00103B6C">
        <w:rPr>
          <w:rFonts w:ascii="Avenir" w:hAnsi="Avenir"/>
          <w:sz w:val="22"/>
          <w:szCs w:val="22"/>
        </w:rPr>
        <w:t xml:space="preserve">unions </w:t>
      </w:r>
      <w:r w:rsidRPr="00103B6C">
        <w:rPr>
          <w:rFonts w:ascii="Avenir" w:hAnsi="Avenir" w:hint="eastAsia"/>
          <w:sz w:val="22"/>
          <w:szCs w:val="22"/>
        </w:rPr>
        <w:t>é</w:t>
      </w:r>
      <w:r w:rsidRPr="00103B6C">
        <w:rPr>
          <w:rFonts w:ascii="Avenir" w:hAnsi="Avenir"/>
          <w:sz w:val="22"/>
          <w:szCs w:val="22"/>
        </w:rPr>
        <w:t>t</w:t>
      </w:r>
      <w:r w:rsidRPr="00103B6C">
        <w:rPr>
          <w:rFonts w:ascii="Avenir" w:hAnsi="Avenir" w:hint="eastAsia"/>
          <w:sz w:val="22"/>
          <w:szCs w:val="22"/>
        </w:rPr>
        <w:t>é</w:t>
      </w:r>
      <w:r w:rsidRPr="00103B6C">
        <w:rPr>
          <w:rFonts w:ascii="Avenir" w:hAnsi="Avenir"/>
          <w:sz w:val="22"/>
          <w:szCs w:val="22"/>
        </w:rPr>
        <w:t xml:space="preserve"> organis</w:t>
      </w:r>
      <w:r w:rsidRPr="00103B6C">
        <w:rPr>
          <w:rFonts w:ascii="Avenir" w:hAnsi="Avenir" w:hint="eastAsia"/>
          <w:sz w:val="22"/>
          <w:szCs w:val="22"/>
        </w:rPr>
        <w:t>é</w:t>
      </w:r>
      <w:r w:rsidRPr="00103B6C">
        <w:rPr>
          <w:rFonts w:ascii="Avenir" w:hAnsi="Avenir"/>
          <w:sz w:val="22"/>
          <w:szCs w:val="22"/>
        </w:rPr>
        <w:t xml:space="preserve">es par le Conseiller Technique du Projet et par moment sur demande de la task-force selon le besoin. </w:t>
      </w:r>
    </w:p>
    <w:p w14:paraId="1A9BC2C9" w14:textId="3D470168" w:rsidR="001A0E1A" w:rsidRPr="00103B6C" w:rsidRDefault="00D4453D" w:rsidP="003736C9">
      <w:pPr>
        <w:pBdr>
          <w:top w:val="nil"/>
          <w:left w:val="nil"/>
          <w:bottom w:val="nil"/>
          <w:right w:val="nil"/>
          <w:between w:val="nil"/>
        </w:pBdr>
        <w:spacing w:before="240" w:line="259" w:lineRule="auto"/>
        <w:jc w:val="both"/>
        <w:rPr>
          <w:rFonts w:ascii="Avenir" w:eastAsia="Avenir" w:hAnsi="Avenir" w:cs="Avenir"/>
          <w:sz w:val="22"/>
          <w:szCs w:val="22"/>
        </w:rPr>
      </w:pPr>
      <w:r w:rsidRPr="00103B6C">
        <w:rPr>
          <w:rFonts w:ascii="Avenir" w:eastAsia="Avenir" w:hAnsi="Avenir" w:cs="Avenir"/>
          <w:sz w:val="22"/>
          <w:szCs w:val="22"/>
        </w:rPr>
        <w:t xml:space="preserve">La </w:t>
      </w:r>
      <w:r w:rsidR="003736C9" w:rsidRPr="00103B6C">
        <w:rPr>
          <w:rFonts w:ascii="Avenir" w:eastAsia="Avenir" w:hAnsi="Avenir" w:cs="Avenir"/>
          <w:sz w:val="22"/>
          <w:szCs w:val="22"/>
        </w:rPr>
        <w:t>revue</w:t>
      </w:r>
      <w:r w:rsidRPr="00103B6C">
        <w:rPr>
          <w:rFonts w:ascii="Avenir" w:eastAsia="Avenir" w:hAnsi="Avenir" w:cs="Avenir"/>
          <w:sz w:val="22"/>
          <w:szCs w:val="22"/>
        </w:rPr>
        <w:t xml:space="preserve"> annuelle de jalons n’a pas été réalisée en 2025 étant donné le démarrage en retard dans la mise en œuvre des activités. Elle est prévue en début de l’année 2026 pour apprécier l’évolution des jalons.</w:t>
      </w:r>
      <w:r w:rsidR="003736C9" w:rsidRPr="00103B6C">
        <w:rPr>
          <w:rFonts w:ascii="Avenir" w:eastAsia="Avenir" w:hAnsi="Avenir" w:cs="Avenir"/>
          <w:sz w:val="22"/>
          <w:szCs w:val="22"/>
        </w:rPr>
        <w:t xml:space="preserve"> </w:t>
      </w:r>
      <w:r w:rsidR="00C251C0" w:rsidRPr="00103B6C">
        <w:rPr>
          <w:rFonts w:ascii="Avenir" w:eastAsia="Avenir" w:hAnsi="Avenir" w:cs="Avenir"/>
          <w:sz w:val="22"/>
          <w:szCs w:val="22"/>
        </w:rPr>
        <w:t>Cependant</w:t>
      </w:r>
      <w:r w:rsidR="003736C9" w:rsidRPr="00103B6C">
        <w:rPr>
          <w:rFonts w:ascii="Avenir" w:eastAsia="Avenir" w:hAnsi="Avenir" w:cs="Avenir"/>
          <w:sz w:val="22"/>
          <w:szCs w:val="22"/>
        </w:rPr>
        <w:t xml:space="preserve">, la matrice de suivi de jalons a été actualisées de manière permanente en concertation avec l’équipe de CAFI. </w:t>
      </w:r>
    </w:p>
    <w:p w14:paraId="6E36E148" w14:textId="77777777" w:rsidR="00A242A7" w:rsidRPr="00103B6C" w:rsidRDefault="00A242A7" w:rsidP="00A242A7">
      <w:pPr>
        <w:pBdr>
          <w:top w:val="nil"/>
          <w:left w:val="nil"/>
          <w:bottom w:val="nil"/>
          <w:right w:val="nil"/>
          <w:between w:val="nil"/>
        </w:pBdr>
        <w:spacing w:before="120"/>
        <w:ind w:left="10" w:hanging="10"/>
        <w:jc w:val="both"/>
        <w:rPr>
          <w:rFonts w:ascii="Avenir" w:hAnsi="Avenir" w:cstheme="minorHAnsi"/>
          <w:color w:val="000000"/>
          <w:sz w:val="22"/>
          <w:szCs w:val="22"/>
        </w:rPr>
      </w:pPr>
      <w:r w:rsidRPr="00103B6C">
        <w:rPr>
          <w:rFonts w:ascii="Avenir" w:hAnsi="Avenir" w:cstheme="minorHAnsi"/>
          <w:color w:val="000000"/>
          <w:sz w:val="22"/>
          <w:szCs w:val="22"/>
        </w:rPr>
        <w:t>Travail des structures de gouvernance :</w:t>
      </w:r>
    </w:p>
    <w:p w14:paraId="2C5C67DF" w14:textId="05A76AF5" w:rsidR="001A0E1A" w:rsidRPr="00103B6C" w:rsidRDefault="001A0E1A" w:rsidP="00570CBC">
      <w:pPr>
        <w:numPr>
          <w:ilvl w:val="0"/>
          <w:numId w:val="31"/>
        </w:numPr>
        <w:spacing w:line="259" w:lineRule="auto"/>
        <w:ind w:hanging="436"/>
        <w:jc w:val="both"/>
        <w:rPr>
          <w:rFonts w:ascii="Avenir" w:hAnsi="Avenir"/>
          <w:sz w:val="22"/>
          <w:szCs w:val="22"/>
        </w:rPr>
      </w:pPr>
      <w:r w:rsidRPr="00103B6C">
        <w:rPr>
          <w:rFonts w:ascii="Avenir" w:hAnsi="Avenir"/>
          <w:sz w:val="22"/>
          <w:szCs w:val="22"/>
        </w:rPr>
        <w:t xml:space="preserve">Le SE FONAREDD et le PNUD </w:t>
      </w:r>
      <w:r w:rsidRPr="00103B6C">
        <w:rPr>
          <w:rFonts w:ascii="Avenir" w:hAnsi="Avenir" w:hint="eastAsia"/>
          <w:sz w:val="22"/>
          <w:szCs w:val="22"/>
        </w:rPr>
        <w:t>é</w:t>
      </w:r>
      <w:r w:rsidRPr="00103B6C">
        <w:rPr>
          <w:rFonts w:ascii="Avenir" w:hAnsi="Avenir"/>
          <w:sz w:val="22"/>
          <w:szCs w:val="22"/>
        </w:rPr>
        <w:t xml:space="preserve">laborent le cadre de suivi </w:t>
      </w:r>
      <w:r w:rsidRPr="00103B6C">
        <w:rPr>
          <w:rFonts w:ascii="Avenir" w:hAnsi="Avenir" w:hint="eastAsia"/>
          <w:sz w:val="22"/>
          <w:szCs w:val="22"/>
        </w:rPr>
        <w:t>é</w:t>
      </w:r>
      <w:r w:rsidRPr="00103B6C">
        <w:rPr>
          <w:rFonts w:ascii="Avenir" w:hAnsi="Avenir"/>
          <w:sz w:val="22"/>
          <w:szCs w:val="22"/>
        </w:rPr>
        <w:t>valuation en collaboration avec les entit</w:t>
      </w:r>
      <w:r w:rsidRPr="00103B6C">
        <w:rPr>
          <w:rFonts w:ascii="Avenir" w:hAnsi="Avenir" w:hint="eastAsia"/>
          <w:sz w:val="22"/>
          <w:szCs w:val="22"/>
        </w:rPr>
        <w:t>é</w:t>
      </w:r>
      <w:r w:rsidRPr="00103B6C">
        <w:rPr>
          <w:rFonts w:ascii="Avenir" w:hAnsi="Avenir"/>
          <w:sz w:val="22"/>
          <w:szCs w:val="22"/>
        </w:rPr>
        <w:t>s b</w:t>
      </w:r>
      <w:r w:rsidRPr="00103B6C">
        <w:rPr>
          <w:rFonts w:ascii="Avenir" w:hAnsi="Avenir" w:hint="eastAsia"/>
          <w:sz w:val="22"/>
          <w:szCs w:val="22"/>
        </w:rPr>
        <w:t>é</w:t>
      </w:r>
      <w:r w:rsidRPr="00103B6C">
        <w:rPr>
          <w:rFonts w:ascii="Avenir" w:hAnsi="Avenir"/>
          <w:sz w:val="22"/>
          <w:szCs w:val="22"/>
        </w:rPr>
        <w:t>n</w:t>
      </w:r>
      <w:r w:rsidRPr="00103B6C">
        <w:rPr>
          <w:rFonts w:ascii="Avenir" w:hAnsi="Avenir" w:hint="eastAsia"/>
          <w:sz w:val="22"/>
          <w:szCs w:val="22"/>
        </w:rPr>
        <w:t>é</w:t>
      </w:r>
      <w:r w:rsidRPr="00103B6C">
        <w:rPr>
          <w:rFonts w:ascii="Avenir" w:hAnsi="Avenir"/>
          <w:sz w:val="22"/>
          <w:szCs w:val="22"/>
        </w:rPr>
        <w:t>ficiaires</w:t>
      </w:r>
      <w:r w:rsidR="00570CBC" w:rsidRPr="00103B6C">
        <w:rPr>
          <w:rFonts w:ascii="Avenir" w:hAnsi="Avenir"/>
          <w:sz w:val="22"/>
          <w:szCs w:val="22"/>
        </w:rPr>
        <w:t>. Les outils de suivi sont partag</w:t>
      </w:r>
      <w:r w:rsidR="00570CBC" w:rsidRPr="00103B6C">
        <w:rPr>
          <w:rFonts w:ascii="Avenir" w:hAnsi="Avenir" w:hint="eastAsia"/>
          <w:sz w:val="22"/>
          <w:szCs w:val="22"/>
        </w:rPr>
        <w:t>é</w:t>
      </w:r>
      <w:r w:rsidR="00570CBC" w:rsidRPr="00103B6C">
        <w:rPr>
          <w:rFonts w:ascii="Avenir" w:hAnsi="Avenir"/>
          <w:sz w:val="22"/>
          <w:szCs w:val="22"/>
        </w:rPr>
        <w:t>s aux entit</w:t>
      </w:r>
      <w:r w:rsidR="00570CBC" w:rsidRPr="00103B6C">
        <w:rPr>
          <w:rFonts w:ascii="Avenir" w:hAnsi="Avenir" w:hint="eastAsia"/>
          <w:sz w:val="22"/>
          <w:szCs w:val="22"/>
        </w:rPr>
        <w:t>é</w:t>
      </w:r>
      <w:r w:rsidR="00570CBC" w:rsidRPr="00103B6C">
        <w:rPr>
          <w:rFonts w:ascii="Avenir" w:hAnsi="Avenir"/>
          <w:sz w:val="22"/>
          <w:szCs w:val="22"/>
        </w:rPr>
        <w:t>s pour une actualisation permanentes</w:t>
      </w:r>
      <w:r w:rsidR="00570CBC" w:rsidRPr="00103B6C">
        <w:rPr>
          <w:rFonts w:ascii="Avenir" w:hAnsi="Avenir" w:hint="eastAsia"/>
          <w:sz w:val="22"/>
          <w:szCs w:val="22"/>
        </w:rPr>
        <w:t> </w:t>
      </w:r>
      <w:r w:rsidR="00570CBC" w:rsidRPr="00103B6C">
        <w:rPr>
          <w:rFonts w:ascii="Avenir" w:hAnsi="Avenir"/>
          <w:sz w:val="22"/>
          <w:szCs w:val="22"/>
        </w:rPr>
        <w:t xml:space="preserve">; </w:t>
      </w:r>
    </w:p>
    <w:p w14:paraId="7009A249" w14:textId="6FD24148" w:rsidR="001A0E1A" w:rsidRPr="00103B6C" w:rsidRDefault="001A0E1A" w:rsidP="00570CBC">
      <w:pPr>
        <w:numPr>
          <w:ilvl w:val="0"/>
          <w:numId w:val="31"/>
        </w:numPr>
        <w:spacing w:line="259" w:lineRule="auto"/>
        <w:ind w:hanging="436"/>
        <w:jc w:val="both"/>
        <w:rPr>
          <w:rFonts w:ascii="Avenir" w:hAnsi="Avenir"/>
          <w:sz w:val="22"/>
          <w:szCs w:val="22"/>
        </w:rPr>
      </w:pPr>
      <w:r w:rsidRPr="00103B6C">
        <w:rPr>
          <w:rFonts w:ascii="Avenir" w:hAnsi="Avenir"/>
          <w:sz w:val="22"/>
          <w:szCs w:val="22"/>
        </w:rPr>
        <w:t>Le Comit</w:t>
      </w:r>
      <w:r w:rsidRPr="00103B6C">
        <w:rPr>
          <w:rFonts w:ascii="Avenir" w:hAnsi="Avenir" w:hint="eastAsia"/>
          <w:sz w:val="22"/>
          <w:szCs w:val="22"/>
        </w:rPr>
        <w:t>é</w:t>
      </w:r>
      <w:r w:rsidRPr="00103B6C">
        <w:rPr>
          <w:rFonts w:ascii="Avenir" w:hAnsi="Avenir"/>
          <w:sz w:val="22"/>
          <w:szCs w:val="22"/>
        </w:rPr>
        <w:t xml:space="preserve"> de pilotage approuve le cadre de suivi </w:t>
      </w:r>
      <w:r w:rsidRPr="00103B6C">
        <w:rPr>
          <w:rFonts w:ascii="Avenir" w:hAnsi="Avenir" w:hint="eastAsia"/>
          <w:sz w:val="22"/>
          <w:szCs w:val="22"/>
        </w:rPr>
        <w:t>é</w:t>
      </w:r>
      <w:r w:rsidRPr="00103B6C">
        <w:rPr>
          <w:rFonts w:ascii="Avenir" w:hAnsi="Avenir"/>
          <w:sz w:val="22"/>
          <w:szCs w:val="22"/>
        </w:rPr>
        <w:t>valuation du projet</w:t>
      </w:r>
      <w:r w:rsidR="00570CBC" w:rsidRPr="00103B6C">
        <w:rPr>
          <w:rFonts w:ascii="Avenir" w:hAnsi="Avenir"/>
          <w:sz w:val="22"/>
          <w:szCs w:val="22"/>
        </w:rPr>
        <w:t>, le PTBA</w:t>
      </w:r>
      <w:r w:rsidRPr="00103B6C">
        <w:rPr>
          <w:rFonts w:ascii="Avenir" w:hAnsi="Avenir"/>
          <w:sz w:val="22"/>
          <w:szCs w:val="22"/>
        </w:rPr>
        <w:t xml:space="preserve"> et transmet copie au SE FONAREDD pour consid</w:t>
      </w:r>
      <w:r w:rsidRPr="00103B6C">
        <w:rPr>
          <w:rFonts w:ascii="Avenir" w:hAnsi="Avenir" w:hint="eastAsia"/>
          <w:sz w:val="22"/>
          <w:szCs w:val="22"/>
        </w:rPr>
        <w:t>é</w:t>
      </w:r>
      <w:r w:rsidRPr="00103B6C">
        <w:rPr>
          <w:rFonts w:ascii="Avenir" w:hAnsi="Avenir"/>
          <w:sz w:val="22"/>
          <w:szCs w:val="22"/>
        </w:rPr>
        <w:t>ration</w:t>
      </w:r>
      <w:r w:rsidRPr="00103B6C">
        <w:rPr>
          <w:rFonts w:ascii="Avenir" w:hAnsi="Avenir" w:hint="eastAsia"/>
          <w:sz w:val="22"/>
          <w:szCs w:val="22"/>
        </w:rPr>
        <w:t> </w:t>
      </w:r>
      <w:r w:rsidRPr="00103B6C">
        <w:rPr>
          <w:rFonts w:ascii="Avenir" w:hAnsi="Avenir"/>
          <w:sz w:val="22"/>
          <w:szCs w:val="22"/>
        </w:rPr>
        <w:t>;</w:t>
      </w:r>
    </w:p>
    <w:p w14:paraId="3CA3C747" w14:textId="3F1191EE" w:rsidR="001A0E1A" w:rsidRPr="00103B6C" w:rsidRDefault="001A0E1A" w:rsidP="00570CBC">
      <w:pPr>
        <w:numPr>
          <w:ilvl w:val="0"/>
          <w:numId w:val="31"/>
        </w:numPr>
        <w:spacing w:line="259" w:lineRule="auto"/>
        <w:ind w:hanging="436"/>
        <w:jc w:val="both"/>
        <w:rPr>
          <w:rFonts w:ascii="Avenir" w:hAnsi="Avenir"/>
          <w:sz w:val="22"/>
          <w:szCs w:val="22"/>
        </w:rPr>
      </w:pPr>
      <w:r w:rsidRPr="00103B6C">
        <w:rPr>
          <w:rFonts w:ascii="Avenir" w:hAnsi="Avenir"/>
          <w:sz w:val="22"/>
          <w:szCs w:val="22"/>
        </w:rPr>
        <w:t>Les Task forces install</w:t>
      </w:r>
      <w:r w:rsidRPr="00103B6C">
        <w:rPr>
          <w:rFonts w:ascii="Avenir" w:hAnsi="Avenir" w:hint="eastAsia"/>
          <w:sz w:val="22"/>
          <w:szCs w:val="22"/>
        </w:rPr>
        <w:t>é</w:t>
      </w:r>
      <w:r w:rsidRPr="00103B6C">
        <w:rPr>
          <w:rFonts w:ascii="Avenir" w:hAnsi="Avenir"/>
          <w:sz w:val="22"/>
          <w:szCs w:val="22"/>
        </w:rPr>
        <w:t>es dans chaque entit</w:t>
      </w:r>
      <w:r w:rsidRPr="00103B6C">
        <w:rPr>
          <w:rFonts w:ascii="Avenir" w:hAnsi="Avenir" w:hint="eastAsia"/>
          <w:sz w:val="22"/>
          <w:szCs w:val="22"/>
        </w:rPr>
        <w:t>é</w:t>
      </w:r>
      <w:r w:rsidRPr="00103B6C">
        <w:rPr>
          <w:rFonts w:ascii="Avenir" w:hAnsi="Avenir"/>
          <w:sz w:val="22"/>
          <w:szCs w:val="22"/>
        </w:rPr>
        <w:t xml:space="preserve"> b</w:t>
      </w:r>
      <w:r w:rsidRPr="00103B6C">
        <w:rPr>
          <w:rFonts w:ascii="Avenir" w:hAnsi="Avenir" w:hint="eastAsia"/>
          <w:sz w:val="22"/>
          <w:szCs w:val="22"/>
        </w:rPr>
        <w:t>é</w:t>
      </w:r>
      <w:r w:rsidRPr="00103B6C">
        <w:rPr>
          <w:rFonts w:ascii="Avenir" w:hAnsi="Avenir"/>
          <w:sz w:val="22"/>
          <w:szCs w:val="22"/>
        </w:rPr>
        <w:t>n</w:t>
      </w:r>
      <w:r w:rsidRPr="00103B6C">
        <w:rPr>
          <w:rFonts w:ascii="Avenir" w:hAnsi="Avenir" w:hint="eastAsia"/>
          <w:sz w:val="22"/>
          <w:szCs w:val="22"/>
        </w:rPr>
        <w:t>é</w:t>
      </w:r>
      <w:r w:rsidRPr="00103B6C">
        <w:rPr>
          <w:rFonts w:ascii="Avenir" w:hAnsi="Avenir"/>
          <w:sz w:val="22"/>
          <w:szCs w:val="22"/>
        </w:rPr>
        <w:t>ficiaire m</w:t>
      </w:r>
      <w:r w:rsidRPr="00103B6C">
        <w:rPr>
          <w:rFonts w:ascii="Avenir" w:hAnsi="Avenir" w:hint="eastAsia"/>
          <w:sz w:val="22"/>
          <w:szCs w:val="22"/>
        </w:rPr>
        <w:t>è</w:t>
      </w:r>
      <w:r w:rsidRPr="00103B6C">
        <w:rPr>
          <w:rFonts w:ascii="Avenir" w:hAnsi="Avenir"/>
          <w:sz w:val="22"/>
          <w:szCs w:val="22"/>
        </w:rPr>
        <w:t>nent des actions de suivi et de rapportage des indicateurs suivant leurs plans de travail individuel.</w:t>
      </w:r>
      <w:r w:rsidR="00570CBC" w:rsidRPr="00103B6C">
        <w:rPr>
          <w:rFonts w:ascii="Avenir" w:hAnsi="Avenir"/>
          <w:sz w:val="22"/>
          <w:szCs w:val="22"/>
        </w:rPr>
        <w:t xml:space="preserve"> Les feuilles de route partielles sont </w:t>
      </w:r>
      <w:r w:rsidR="00570CBC" w:rsidRPr="00103B6C">
        <w:rPr>
          <w:rFonts w:ascii="Avenir" w:hAnsi="Avenir" w:hint="eastAsia"/>
          <w:sz w:val="22"/>
          <w:szCs w:val="22"/>
        </w:rPr>
        <w:t>é</w:t>
      </w:r>
      <w:r w:rsidR="00570CBC" w:rsidRPr="00103B6C">
        <w:rPr>
          <w:rFonts w:ascii="Avenir" w:hAnsi="Avenir"/>
          <w:sz w:val="22"/>
          <w:szCs w:val="22"/>
        </w:rPr>
        <w:t>labor</w:t>
      </w:r>
      <w:r w:rsidR="00570CBC" w:rsidRPr="00103B6C">
        <w:rPr>
          <w:rFonts w:ascii="Avenir" w:hAnsi="Avenir" w:hint="eastAsia"/>
          <w:sz w:val="22"/>
          <w:szCs w:val="22"/>
        </w:rPr>
        <w:t>é</w:t>
      </w:r>
      <w:r w:rsidR="00570CBC" w:rsidRPr="00103B6C">
        <w:rPr>
          <w:rFonts w:ascii="Avenir" w:hAnsi="Avenir"/>
          <w:sz w:val="22"/>
          <w:szCs w:val="22"/>
        </w:rPr>
        <w:t xml:space="preserve">es en collaboration avec le Conseiller technique principal du projet. </w:t>
      </w:r>
    </w:p>
    <w:p w14:paraId="03974A02" w14:textId="52684D00" w:rsidR="001A0E1A" w:rsidRPr="00103B6C" w:rsidRDefault="006A2690" w:rsidP="00C251C0">
      <w:pPr>
        <w:pBdr>
          <w:top w:val="nil"/>
          <w:left w:val="nil"/>
          <w:bottom w:val="nil"/>
          <w:right w:val="nil"/>
          <w:between w:val="nil"/>
        </w:pBdr>
        <w:spacing w:before="120"/>
        <w:ind w:left="10" w:hanging="10"/>
        <w:jc w:val="both"/>
        <w:rPr>
          <w:rFonts w:ascii="Avenir" w:hAnsi="Avenir"/>
          <w:color w:val="000000"/>
          <w:sz w:val="22"/>
          <w:szCs w:val="22"/>
        </w:rPr>
      </w:pPr>
      <w:r w:rsidRPr="00103B6C">
        <w:rPr>
          <w:rFonts w:ascii="Avenir" w:hAnsi="Avenir"/>
          <w:color w:val="000000"/>
          <w:sz w:val="22"/>
          <w:szCs w:val="22"/>
        </w:rPr>
        <w:t xml:space="preserve">En raison de la </w:t>
      </w:r>
      <w:r w:rsidR="001A0E1A" w:rsidRPr="00103B6C">
        <w:rPr>
          <w:rFonts w:ascii="Avenir" w:hAnsi="Avenir"/>
          <w:color w:val="000000"/>
          <w:sz w:val="22"/>
          <w:szCs w:val="22"/>
        </w:rPr>
        <w:t>dur</w:t>
      </w:r>
      <w:r w:rsidR="001A0E1A" w:rsidRPr="00103B6C">
        <w:rPr>
          <w:rFonts w:ascii="Avenir" w:hAnsi="Avenir" w:hint="eastAsia"/>
          <w:color w:val="000000"/>
          <w:sz w:val="22"/>
          <w:szCs w:val="22"/>
        </w:rPr>
        <w:t>é</w:t>
      </w:r>
      <w:r w:rsidR="001A0E1A" w:rsidRPr="00103B6C">
        <w:rPr>
          <w:rFonts w:ascii="Avenir" w:hAnsi="Avenir"/>
          <w:color w:val="000000"/>
          <w:sz w:val="22"/>
          <w:szCs w:val="22"/>
        </w:rPr>
        <w:t xml:space="preserve">e relativement courte du projet (18 mois), une seule </w:t>
      </w:r>
      <w:r w:rsidR="001A0E1A" w:rsidRPr="00103B6C">
        <w:rPr>
          <w:rFonts w:ascii="Avenir" w:hAnsi="Avenir" w:hint="eastAsia"/>
          <w:color w:val="000000"/>
          <w:sz w:val="22"/>
          <w:szCs w:val="22"/>
        </w:rPr>
        <w:t>é</w:t>
      </w:r>
      <w:r w:rsidR="001A0E1A" w:rsidRPr="00103B6C">
        <w:rPr>
          <w:rFonts w:ascii="Avenir" w:hAnsi="Avenir"/>
          <w:color w:val="000000"/>
          <w:sz w:val="22"/>
          <w:szCs w:val="22"/>
        </w:rPr>
        <w:t>valuation ind</w:t>
      </w:r>
      <w:r w:rsidR="001A0E1A" w:rsidRPr="00103B6C">
        <w:rPr>
          <w:rFonts w:ascii="Avenir" w:hAnsi="Avenir" w:hint="eastAsia"/>
          <w:color w:val="000000"/>
          <w:sz w:val="22"/>
          <w:szCs w:val="22"/>
        </w:rPr>
        <w:t>é</w:t>
      </w:r>
      <w:r w:rsidR="001A0E1A" w:rsidRPr="00103B6C">
        <w:rPr>
          <w:rFonts w:ascii="Avenir" w:hAnsi="Avenir"/>
          <w:color w:val="000000"/>
          <w:sz w:val="22"/>
          <w:szCs w:val="22"/>
        </w:rPr>
        <w:t xml:space="preserve">pendante </w:t>
      </w:r>
      <w:r w:rsidRPr="00103B6C">
        <w:rPr>
          <w:rFonts w:ascii="Avenir" w:hAnsi="Avenir"/>
          <w:color w:val="000000"/>
          <w:sz w:val="22"/>
          <w:szCs w:val="22"/>
        </w:rPr>
        <w:t>est pr</w:t>
      </w:r>
      <w:r w:rsidRPr="00103B6C">
        <w:rPr>
          <w:rFonts w:ascii="Avenir" w:hAnsi="Avenir" w:hint="eastAsia"/>
          <w:color w:val="000000"/>
          <w:sz w:val="22"/>
          <w:szCs w:val="22"/>
        </w:rPr>
        <w:t>é</w:t>
      </w:r>
      <w:r w:rsidRPr="00103B6C">
        <w:rPr>
          <w:rFonts w:ascii="Avenir" w:hAnsi="Avenir"/>
          <w:color w:val="000000"/>
          <w:sz w:val="22"/>
          <w:szCs w:val="22"/>
        </w:rPr>
        <w:t xml:space="preserve">vue pour ce projet. Les </w:t>
      </w:r>
      <w:hyperlink r:id="rId72" w:history="1">
        <w:r w:rsidRPr="00103B6C">
          <w:rPr>
            <w:rStyle w:val="Lienhypertexte"/>
            <w:rFonts w:ascii="Avenir" w:hAnsi="Avenir"/>
            <w:sz w:val="22"/>
            <w:szCs w:val="22"/>
          </w:rPr>
          <w:t>Termes de r</w:t>
        </w:r>
        <w:r w:rsidRPr="00103B6C">
          <w:rPr>
            <w:rStyle w:val="Lienhypertexte"/>
            <w:rFonts w:ascii="Avenir" w:hAnsi="Avenir" w:hint="eastAsia"/>
            <w:sz w:val="22"/>
            <w:szCs w:val="22"/>
          </w:rPr>
          <w:t>é</w:t>
        </w:r>
        <w:r w:rsidRPr="00103B6C">
          <w:rPr>
            <w:rStyle w:val="Lienhypertexte"/>
            <w:rFonts w:ascii="Avenir" w:hAnsi="Avenir"/>
            <w:sz w:val="22"/>
            <w:szCs w:val="22"/>
          </w:rPr>
          <w:t>f</w:t>
        </w:r>
        <w:r w:rsidRPr="00103B6C">
          <w:rPr>
            <w:rStyle w:val="Lienhypertexte"/>
            <w:rFonts w:ascii="Avenir" w:hAnsi="Avenir" w:hint="eastAsia"/>
            <w:sz w:val="22"/>
            <w:szCs w:val="22"/>
          </w:rPr>
          <w:t>é</w:t>
        </w:r>
        <w:r w:rsidRPr="00103B6C">
          <w:rPr>
            <w:rStyle w:val="Lienhypertexte"/>
            <w:rFonts w:ascii="Avenir" w:hAnsi="Avenir"/>
            <w:sz w:val="22"/>
            <w:szCs w:val="22"/>
          </w:rPr>
          <w:t xml:space="preserve">rence </w:t>
        </w:r>
      </w:hyperlink>
      <w:r w:rsidRPr="00103B6C">
        <w:rPr>
          <w:rFonts w:ascii="Avenir" w:hAnsi="Avenir"/>
          <w:color w:val="000000"/>
          <w:sz w:val="22"/>
          <w:szCs w:val="22"/>
        </w:rPr>
        <w:t xml:space="preserve">de cette </w:t>
      </w:r>
      <w:r w:rsidRPr="00103B6C">
        <w:rPr>
          <w:rFonts w:ascii="Avenir" w:hAnsi="Avenir" w:hint="eastAsia"/>
          <w:color w:val="000000"/>
          <w:sz w:val="22"/>
          <w:szCs w:val="22"/>
        </w:rPr>
        <w:t>é</w:t>
      </w:r>
      <w:r w:rsidRPr="00103B6C">
        <w:rPr>
          <w:rFonts w:ascii="Avenir" w:hAnsi="Avenir"/>
          <w:color w:val="000000"/>
          <w:sz w:val="22"/>
          <w:szCs w:val="22"/>
        </w:rPr>
        <w:t xml:space="preserve">valuation ont </w:t>
      </w:r>
      <w:r w:rsidRPr="00103B6C">
        <w:rPr>
          <w:rFonts w:ascii="Avenir" w:hAnsi="Avenir" w:hint="eastAsia"/>
          <w:color w:val="000000"/>
          <w:sz w:val="22"/>
          <w:szCs w:val="22"/>
        </w:rPr>
        <w:t>é</w:t>
      </w:r>
      <w:r w:rsidRPr="00103B6C">
        <w:rPr>
          <w:rFonts w:ascii="Avenir" w:hAnsi="Avenir"/>
          <w:color w:val="000000"/>
          <w:sz w:val="22"/>
          <w:szCs w:val="22"/>
        </w:rPr>
        <w:t>t</w:t>
      </w:r>
      <w:r w:rsidRPr="00103B6C">
        <w:rPr>
          <w:rFonts w:ascii="Avenir" w:hAnsi="Avenir" w:hint="eastAsia"/>
          <w:color w:val="000000"/>
          <w:sz w:val="22"/>
          <w:szCs w:val="22"/>
        </w:rPr>
        <w:t>é</w:t>
      </w:r>
      <w:r w:rsidRPr="00103B6C">
        <w:rPr>
          <w:rFonts w:ascii="Avenir" w:hAnsi="Avenir"/>
          <w:color w:val="000000"/>
          <w:sz w:val="22"/>
          <w:szCs w:val="22"/>
        </w:rPr>
        <w:t xml:space="preserve"> </w:t>
      </w:r>
      <w:r w:rsidRPr="00103B6C">
        <w:rPr>
          <w:rFonts w:ascii="Avenir" w:hAnsi="Avenir" w:hint="eastAsia"/>
          <w:color w:val="000000"/>
          <w:sz w:val="22"/>
          <w:szCs w:val="22"/>
        </w:rPr>
        <w:t>é</w:t>
      </w:r>
      <w:r w:rsidRPr="00103B6C">
        <w:rPr>
          <w:rFonts w:ascii="Avenir" w:hAnsi="Avenir"/>
          <w:color w:val="000000"/>
          <w:sz w:val="22"/>
          <w:szCs w:val="22"/>
        </w:rPr>
        <w:t>labor</w:t>
      </w:r>
      <w:r w:rsidRPr="00103B6C">
        <w:rPr>
          <w:rFonts w:ascii="Avenir" w:hAnsi="Avenir" w:hint="eastAsia"/>
          <w:color w:val="000000"/>
          <w:sz w:val="22"/>
          <w:szCs w:val="22"/>
        </w:rPr>
        <w:t>é</w:t>
      </w:r>
      <w:r w:rsidRPr="00103B6C">
        <w:rPr>
          <w:rFonts w:ascii="Avenir" w:hAnsi="Avenir"/>
          <w:color w:val="000000"/>
          <w:sz w:val="22"/>
          <w:szCs w:val="22"/>
        </w:rPr>
        <w:t>s et soumis au FONAREDD et CAFI pour coordonner l</w:t>
      </w:r>
      <w:r w:rsidRPr="00103B6C">
        <w:rPr>
          <w:rFonts w:ascii="Avenir" w:hAnsi="Avenir" w:hint="eastAsia"/>
          <w:color w:val="000000"/>
          <w:sz w:val="22"/>
          <w:szCs w:val="22"/>
        </w:rPr>
        <w:t>’é</w:t>
      </w:r>
      <w:r w:rsidRPr="00103B6C">
        <w:rPr>
          <w:rFonts w:ascii="Avenir" w:hAnsi="Avenir"/>
          <w:color w:val="000000"/>
          <w:sz w:val="22"/>
          <w:szCs w:val="22"/>
        </w:rPr>
        <w:t>tude</w:t>
      </w:r>
      <w:r w:rsidR="001A0E1A" w:rsidRPr="00103B6C">
        <w:rPr>
          <w:rFonts w:ascii="Avenir" w:hAnsi="Avenir"/>
          <w:color w:val="000000"/>
          <w:sz w:val="22"/>
          <w:szCs w:val="22"/>
        </w:rPr>
        <w:t xml:space="preserve">. </w:t>
      </w:r>
      <w:r w:rsidR="00C251C0" w:rsidRPr="00103B6C">
        <w:rPr>
          <w:rFonts w:ascii="Avenir" w:hAnsi="Avenir"/>
          <w:color w:val="000000"/>
          <w:sz w:val="22"/>
          <w:szCs w:val="22"/>
        </w:rPr>
        <w:t>A l</w:t>
      </w:r>
      <w:r w:rsidR="00C251C0" w:rsidRPr="00103B6C">
        <w:rPr>
          <w:rFonts w:ascii="Avenir" w:hAnsi="Avenir" w:hint="eastAsia"/>
          <w:color w:val="000000"/>
          <w:sz w:val="22"/>
          <w:szCs w:val="22"/>
        </w:rPr>
        <w:t>’</w:t>
      </w:r>
      <w:r w:rsidR="00C251C0" w:rsidRPr="00103B6C">
        <w:rPr>
          <w:rFonts w:ascii="Avenir" w:hAnsi="Avenir"/>
          <w:color w:val="000000"/>
          <w:sz w:val="22"/>
          <w:szCs w:val="22"/>
        </w:rPr>
        <w:t xml:space="preserve">issu de cette </w:t>
      </w:r>
      <w:r w:rsidR="00C251C0" w:rsidRPr="00103B6C">
        <w:rPr>
          <w:rFonts w:ascii="Avenir" w:hAnsi="Avenir" w:hint="eastAsia"/>
          <w:color w:val="000000"/>
          <w:sz w:val="22"/>
          <w:szCs w:val="22"/>
        </w:rPr>
        <w:t>é</w:t>
      </w:r>
      <w:r w:rsidR="00C251C0" w:rsidRPr="00103B6C">
        <w:rPr>
          <w:rFonts w:ascii="Avenir" w:hAnsi="Avenir"/>
          <w:color w:val="000000"/>
          <w:sz w:val="22"/>
          <w:szCs w:val="22"/>
        </w:rPr>
        <w:t>valuation, l</w:t>
      </w:r>
      <w:r w:rsidR="001A0E1A" w:rsidRPr="00103B6C">
        <w:rPr>
          <w:rFonts w:ascii="Avenir" w:hAnsi="Avenir"/>
          <w:color w:val="000000"/>
          <w:sz w:val="22"/>
          <w:szCs w:val="22"/>
        </w:rPr>
        <w:t xml:space="preserve">e PNUD et le FONAREDD </w:t>
      </w:r>
      <w:r w:rsidR="00C251C0" w:rsidRPr="00103B6C">
        <w:rPr>
          <w:rFonts w:ascii="Avenir" w:hAnsi="Avenir"/>
          <w:color w:val="000000"/>
          <w:sz w:val="22"/>
          <w:szCs w:val="22"/>
        </w:rPr>
        <w:t xml:space="preserve">/ CAFI </w:t>
      </w:r>
      <w:r w:rsidR="001A0E1A" w:rsidRPr="00103B6C">
        <w:rPr>
          <w:rFonts w:ascii="Avenir" w:hAnsi="Avenir"/>
          <w:color w:val="000000"/>
          <w:sz w:val="22"/>
          <w:szCs w:val="22"/>
        </w:rPr>
        <w:t xml:space="preserve">analyseront les conclusions et les recommandations </w:t>
      </w:r>
      <w:r w:rsidR="00C251C0" w:rsidRPr="00103B6C">
        <w:rPr>
          <w:rFonts w:ascii="Avenir" w:hAnsi="Avenir"/>
          <w:color w:val="000000"/>
          <w:sz w:val="22"/>
          <w:szCs w:val="22"/>
        </w:rPr>
        <w:t>pertinentes</w:t>
      </w:r>
      <w:r w:rsidR="001A0E1A" w:rsidRPr="00103B6C">
        <w:rPr>
          <w:rFonts w:ascii="Avenir" w:hAnsi="Avenir"/>
          <w:color w:val="000000"/>
          <w:sz w:val="22"/>
          <w:szCs w:val="22"/>
        </w:rPr>
        <w:t xml:space="preserve"> et d</w:t>
      </w:r>
      <w:r w:rsidR="001A0E1A" w:rsidRPr="00103B6C">
        <w:rPr>
          <w:rFonts w:ascii="Avenir" w:hAnsi="Avenir" w:hint="eastAsia"/>
          <w:color w:val="000000"/>
          <w:sz w:val="22"/>
          <w:szCs w:val="22"/>
        </w:rPr>
        <w:t>é</w:t>
      </w:r>
      <w:r w:rsidR="001A0E1A" w:rsidRPr="00103B6C">
        <w:rPr>
          <w:rFonts w:ascii="Avenir" w:hAnsi="Avenir"/>
          <w:color w:val="000000"/>
          <w:sz w:val="22"/>
          <w:szCs w:val="22"/>
        </w:rPr>
        <w:t>cideront d</w:t>
      </w:r>
      <w:r w:rsidR="001A0E1A" w:rsidRPr="00103B6C">
        <w:rPr>
          <w:rFonts w:ascii="Avenir" w:hAnsi="Avenir" w:hint="eastAsia"/>
          <w:color w:val="000000"/>
          <w:sz w:val="22"/>
          <w:szCs w:val="22"/>
        </w:rPr>
        <w:t>’</w:t>
      </w:r>
      <w:r w:rsidR="001A0E1A" w:rsidRPr="00103B6C">
        <w:rPr>
          <w:rFonts w:ascii="Avenir" w:hAnsi="Avenir"/>
          <w:color w:val="000000"/>
          <w:sz w:val="22"/>
          <w:szCs w:val="22"/>
        </w:rPr>
        <w:t xml:space="preserve">un commun accord, le cas </w:t>
      </w:r>
      <w:r w:rsidR="001A0E1A" w:rsidRPr="00103B6C">
        <w:rPr>
          <w:rFonts w:ascii="Avenir" w:hAnsi="Avenir" w:hint="eastAsia"/>
          <w:color w:val="000000"/>
          <w:sz w:val="22"/>
          <w:szCs w:val="22"/>
        </w:rPr>
        <w:t>é</w:t>
      </w:r>
      <w:r w:rsidR="001A0E1A" w:rsidRPr="00103B6C">
        <w:rPr>
          <w:rFonts w:ascii="Avenir" w:hAnsi="Avenir"/>
          <w:color w:val="000000"/>
          <w:sz w:val="22"/>
          <w:szCs w:val="22"/>
        </w:rPr>
        <w:t>ch</w:t>
      </w:r>
      <w:r w:rsidR="001A0E1A" w:rsidRPr="00103B6C">
        <w:rPr>
          <w:rFonts w:ascii="Avenir" w:hAnsi="Avenir" w:hint="eastAsia"/>
          <w:color w:val="000000"/>
          <w:sz w:val="22"/>
          <w:szCs w:val="22"/>
        </w:rPr>
        <w:t>é</w:t>
      </w:r>
      <w:r w:rsidR="001A0E1A" w:rsidRPr="00103B6C">
        <w:rPr>
          <w:rFonts w:ascii="Avenir" w:hAnsi="Avenir"/>
          <w:color w:val="000000"/>
          <w:sz w:val="22"/>
          <w:szCs w:val="22"/>
        </w:rPr>
        <w:t xml:space="preserve">ant en accord avec le gouvernement, des actions de suivi </w:t>
      </w:r>
      <w:r w:rsidR="001A0E1A" w:rsidRPr="00103B6C">
        <w:rPr>
          <w:rFonts w:ascii="Avenir" w:hAnsi="Avenir" w:hint="eastAsia"/>
          <w:color w:val="000000"/>
          <w:sz w:val="22"/>
          <w:szCs w:val="22"/>
        </w:rPr>
        <w:t>à</w:t>
      </w:r>
      <w:r w:rsidR="001A0E1A" w:rsidRPr="00103B6C">
        <w:rPr>
          <w:rFonts w:ascii="Avenir" w:hAnsi="Avenir"/>
          <w:color w:val="000000"/>
          <w:sz w:val="22"/>
          <w:szCs w:val="22"/>
        </w:rPr>
        <w:t xml:space="preserve"> mener et de toute adaptation n</w:t>
      </w:r>
      <w:r w:rsidR="001A0E1A" w:rsidRPr="00103B6C">
        <w:rPr>
          <w:rFonts w:ascii="Avenir" w:hAnsi="Avenir" w:hint="eastAsia"/>
          <w:color w:val="000000"/>
          <w:sz w:val="22"/>
          <w:szCs w:val="22"/>
        </w:rPr>
        <w:t>é</w:t>
      </w:r>
      <w:r w:rsidR="001A0E1A" w:rsidRPr="00103B6C">
        <w:rPr>
          <w:rFonts w:ascii="Avenir" w:hAnsi="Avenir"/>
          <w:color w:val="000000"/>
          <w:sz w:val="22"/>
          <w:szCs w:val="22"/>
        </w:rPr>
        <w:t>cessaire et notamment, s</w:t>
      </w:r>
      <w:r w:rsidR="001A0E1A" w:rsidRPr="00103B6C">
        <w:rPr>
          <w:rFonts w:ascii="Avenir" w:hAnsi="Avenir" w:hint="eastAsia"/>
          <w:color w:val="000000"/>
          <w:sz w:val="22"/>
          <w:szCs w:val="22"/>
        </w:rPr>
        <w:t>’</w:t>
      </w:r>
      <w:r w:rsidR="001A0E1A" w:rsidRPr="00103B6C">
        <w:rPr>
          <w:rFonts w:ascii="Avenir" w:hAnsi="Avenir"/>
          <w:color w:val="000000"/>
          <w:sz w:val="22"/>
          <w:szCs w:val="22"/>
        </w:rPr>
        <w:t>il y a lieu, de la r</w:t>
      </w:r>
      <w:r w:rsidR="001A0E1A" w:rsidRPr="00103B6C">
        <w:rPr>
          <w:rFonts w:ascii="Avenir" w:hAnsi="Avenir" w:hint="eastAsia"/>
          <w:color w:val="000000"/>
          <w:sz w:val="22"/>
          <w:szCs w:val="22"/>
        </w:rPr>
        <w:t>é</w:t>
      </w:r>
      <w:r w:rsidR="001A0E1A" w:rsidRPr="00103B6C">
        <w:rPr>
          <w:rFonts w:ascii="Avenir" w:hAnsi="Avenir"/>
          <w:color w:val="000000"/>
          <w:sz w:val="22"/>
          <w:szCs w:val="22"/>
        </w:rPr>
        <w:t xml:space="preserve">orientation du projet pour la seconde phase du projet. </w:t>
      </w:r>
    </w:p>
    <w:p w14:paraId="66DAD83C" w14:textId="77777777" w:rsidR="00307BD7" w:rsidRPr="00E11FFB" w:rsidRDefault="00307BD7">
      <w:pPr>
        <w:pStyle w:val="Titre2"/>
      </w:pPr>
    </w:p>
    <w:p w14:paraId="4C83BF40" w14:textId="42FFB54B" w:rsidR="0024617D" w:rsidRPr="00E11FFB" w:rsidRDefault="00C83F85">
      <w:pPr>
        <w:pStyle w:val="Titre2"/>
      </w:pPr>
      <w:bookmarkStart w:id="35" w:name="_Toc224044724"/>
      <w:r w:rsidRPr="00E11FFB">
        <w:t>8.1 Etat d’avancement du plan de suivi du projet</w:t>
      </w:r>
      <w:bookmarkEnd w:id="35"/>
    </w:p>
    <w:p w14:paraId="754CEA1E" w14:textId="77777777" w:rsidR="0024617D" w:rsidRPr="00E11FFB" w:rsidRDefault="0024617D">
      <w:pPr>
        <w:spacing w:after="5"/>
        <w:ind w:left="20" w:right="28" w:hanging="10"/>
        <w:jc w:val="both"/>
        <w:rPr>
          <w:rFonts w:ascii="Avenir" w:eastAsia="Avenir" w:hAnsi="Avenir" w:cs="Avenir"/>
          <w:i/>
          <w:color w:val="000000"/>
          <w:sz w:val="20"/>
          <w:szCs w:val="20"/>
        </w:rPr>
      </w:pPr>
    </w:p>
    <w:tbl>
      <w:tblPr>
        <w:tblStyle w:val="9"/>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900"/>
        <w:gridCol w:w="900"/>
        <w:gridCol w:w="2430"/>
        <w:gridCol w:w="3240"/>
      </w:tblGrid>
      <w:tr w:rsidR="0024617D" w:rsidRPr="00E11FFB" w14:paraId="60BBDA24" w14:textId="77777777" w:rsidTr="004C7F2C">
        <w:trPr>
          <w:trHeight w:val="875"/>
        </w:trPr>
        <w:tc>
          <w:tcPr>
            <w:tcW w:w="2245" w:type="dxa"/>
            <w:shd w:val="clear" w:color="auto" w:fill="A9D5E7"/>
          </w:tcPr>
          <w:p w14:paraId="116C4FF8"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Activité de suivi et évaluation</w:t>
            </w:r>
          </w:p>
        </w:tc>
        <w:tc>
          <w:tcPr>
            <w:tcW w:w="900" w:type="dxa"/>
            <w:shd w:val="clear" w:color="auto" w:fill="A9D5E7"/>
          </w:tcPr>
          <w:p w14:paraId="0344A51B"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Nombre prévu</w:t>
            </w:r>
          </w:p>
        </w:tc>
        <w:tc>
          <w:tcPr>
            <w:tcW w:w="900" w:type="dxa"/>
            <w:shd w:val="clear" w:color="auto" w:fill="A9D5E7"/>
          </w:tcPr>
          <w:p w14:paraId="7B7EADA4"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Nombre réalisé</w:t>
            </w:r>
          </w:p>
        </w:tc>
        <w:tc>
          <w:tcPr>
            <w:tcW w:w="2430" w:type="dxa"/>
            <w:shd w:val="clear" w:color="auto" w:fill="A9D5E7"/>
          </w:tcPr>
          <w:p w14:paraId="45D85EC1"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Date(s)</w:t>
            </w:r>
          </w:p>
        </w:tc>
        <w:tc>
          <w:tcPr>
            <w:tcW w:w="3240" w:type="dxa"/>
            <w:shd w:val="clear" w:color="auto" w:fill="A9D5E7"/>
          </w:tcPr>
          <w:p w14:paraId="18B7DD92" w14:textId="77777777" w:rsidR="0024617D" w:rsidRPr="00E11FFB" w:rsidRDefault="00C83F85">
            <w:pPr>
              <w:spacing w:after="5" w:line="271" w:lineRule="auto"/>
              <w:ind w:left="10" w:right="35"/>
              <w:rPr>
                <w:rFonts w:ascii="Avenir" w:eastAsia="Avenir" w:hAnsi="Avenir" w:cs="Avenir"/>
                <w:b/>
                <w:color w:val="000000"/>
                <w:sz w:val="16"/>
                <w:szCs w:val="16"/>
              </w:rPr>
            </w:pPr>
            <w:r w:rsidRPr="00E11FFB">
              <w:rPr>
                <w:rFonts w:ascii="Avenir" w:eastAsia="Avenir" w:hAnsi="Avenir" w:cs="Avenir"/>
                <w:b/>
                <w:sz w:val="16"/>
                <w:szCs w:val="16"/>
              </w:rPr>
              <w:t>C</w:t>
            </w:r>
            <w:r w:rsidRPr="00E11FFB">
              <w:rPr>
                <w:rFonts w:ascii="Avenir" w:eastAsia="Avenir" w:hAnsi="Avenir" w:cs="Avenir"/>
                <w:b/>
                <w:color w:val="000000"/>
                <w:sz w:val="16"/>
                <w:szCs w:val="16"/>
              </w:rPr>
              <w:t>ompte-rendu</w:t>
            </w:r>
            <w:r w:rsidRPr="00E11FFB">
              <w:rPr>
                <w:rFonts w:ascii="Avenir" w:eastAsia="Avenir" w:hAnsi="Avenir" w:cs="Avenir"/>
                <w:b/>
                <w:sz w:val="16"/>
                <w:szCs w:val="16"/>
              </w:rPr>
              <w:t xml:space="preserve"> avec</w:t>
            </w:r>
            <w:r w:rsidRPr="00E11FFB">
              <w:rPr>
                <w:rFonts w:ascii="Avenir" w:eastAsia="Avenir" w:hAnsi="Avenir" w:cs="Avenir"/>
                <w:b/>
                <w:color w:val="000000"/>
                <w:sz w:val="16"/>
                <w:szCs w:val="16"/>
              </w:rPr>
              <w:t xml:space="preserve"> hyperlien (doit notamment figurer le suivi des décisions prises dans les instances de décision du projet) </w:t>
            </w:r>
          </w:p>
        </w:tc>
      </w:tr>
      <w:tr w:rsidR="0024617D" w:rsidRPr="00E11FFB" w14:paraId="535B8D13" w14:textId="77777777" w:rsidTr="004C7F2C">
        <w:trPr>
          <w:trHeight w:val="225"/>
        </w:trPr>
        <w:tc>
          <w:tcPr>
            <w:tcW w:w="2245" w:type="dxa"/>
          </w:tcPr>
          <w:p w14:paraId="21AC8872" w14:textId="77777777" w:rsidR="0024617D" w:rsidRPr="00E11FFB" w:rsidRDefault="00C83F85">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COPIL de projet</w:t>
            </w:r>
          </w:p>
        </w:tc>
        <w:tc>
          <w:tcPr>
            <w:tcW w:w="900" w:type="dxa"/>
          </w:tcPr>
          <w:p w14:paraId="72FB506F" w14:textId="562EDA6C" w:rsidR="0024617D" w:rsidRPr="00E11FFB" w:rsidRDefault="006F7629">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900" w:type="dxa"/>
          </w:tcPr>
          <w:p w14:paraId="2E49960E" w14:textId="5E7E5659" w:rsidR="0024617D" w:rsidRPr="00E11FFB" w:rsidRDefault="006F7629">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1</w:t>
            </w:r>
          </w:p>
        </w:tc>
        <w:tc>
          <w:tcPr>
            <w:tcW w:w="2430" w:type="dxa"/>
          </w:tcPr>
          <w:p w14:paraId="580E67EF" w14:textId="71A08EF9" w:rsidR="0024617D" w:rsidRPr="00E11FFB" w:rsidRDefault="00250386">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8 avril 2025</w:t>
            </w:r>
          </w:p>
        </w:tc>
        <w:tc>
          <w:tcPr>
            <w:tcW w:w="3240" w:type="dxa"/>
          </w:tcPr>
          <w:p w14:paraId="3BB6154A" w14:textId="4CC238A7" w:rsidR="0024617D" w:rsidRPr="00E11FFB" w:rsidRDefault="006F7629">
            <w:pPr>
              <w:spacing w:after="5" w:line="271" w:lineRule="auto"/>
              <w:ind w:right="35"/>
              <w:rPr>
                <w:rFonts w:ascii="Avenir" w:eastAsia="Avenir" w:hAnsi="Avenir" w:cs="Avenir"/>
                <w:color w:val="000000"/>
                <w:sz w:val="16"/>
                <w:szCs w:val="16"/>
              </w:rPr>
            </w:pPr>
            <w:hyperlink r:id="rId73" w:history="1">
              <w:r w:rsidRPr="00E11FFB">
                <w:rPr>
                  <w:rStyle w:val="Lienhypertexte"/>
                  <w:rFonts w:ascii="Avenir" w:eastAsia="Avenir" w:hAnsi="Avenir" w:cs="Avenir"/>
                  <w:sz w:val="16"/>
                  <w:szCs w:val="16"/>
                </w:rPr>
                <w:t xml:space="preserve">Compte Rendu du COPIL </w:t>
              </w:r>
              <w:r w:rsidR="00DE0BE1" w:rsidRPr="00E11FFB">
                <w:rPr>
                  <w:rStyle w:val="Lienhypertexte"/>
                  <w:rFonts w:ascii="Avenir" w:eastAsia="Avenir" w:hAnsi="Avenir" w:cs="Avenir"/>
                  <w:sz w:val="16"/>
                  <w:szCs w:val="16"/>
                </w:rPr>
                <w:t xml:space="preserve">8 avril </w:t>
              </w:r>
              <w:r w:rsidRPr="00E11FFB">
                <w:rPr>
                  <w:rStyle w:val="Lienhypertexte"/>
                  <w:rFonts w:ascii="Avenir" w:eastAsia="Avenir" w:hAnsi="Avenir" w:cs="Avenir"/>
                  <w:sz w:val="16"/>
                  <w:szCs w:val="16"/>
                </w:rPr>
                <w:t>2025</w:t>
              </w:r>
            </w:hyperlink>
          </w:p>
        </w:tc>
      </w:tr>
      <w:tr w:rsidR="0024617D" w:rsidRPr="00E11FFB" w14:paraId="0B9319AF" w14:textId="77777777" w:rsidTr="004C7F2C">
        <w:trPr>
          <w:trHeight w:val="468"/>
        </w:trPr>
        <w:tc>
          <w:tcPr>
            <w:tcW w:w="2245" w:type="dxa"/>
          </w:tcPr>
          <w:p w14:paraId="7A3FFFE5" w14:textId="1F001427" w:rsidR="0024617D" w:rsidRPr="00E11FFB" w:rsidRDefault="00250386">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Réunions semestrielles task-force</w:t>
            </w:r>
            <w:r w:rsidR="00DE0BE1" w:rsidRPr="00E11FFB">
              <w:rPr>
                <w:rFonts w:ascii="Avenir" w:eastAsia="Avenir" w:hAnsi="Avenir" w:cs="Avenir"/>
                <w:color w:val="000000"/>
                <w:sz w:val="16"/>
                <w:szCs w:val="16"/>
              </w:rPr>
              <w:t xml:space="preserve"> (évaluation des avancements)</w:t>
            </w:r>
          </w:p>
        </w:tc>
        <w:tc>
          <w:tcPr>
            <w:tcW w:w="900" w:type="dxa"/>
          </w:tcPr>
          <w:p w14:paraId="0448E6E9" w14:textId="06C99D8C" w:rsidR="0024617D" w:rsidRPr="00E11FFB" w:rsidRDefault="00250386">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900" w:type="dxa"/>
          </w:tcPr>
          <w:p w14:paraId="7BCF2FB7" w14:textId="7FADB336" w:rsidR="0024617D" w:rsidRPr="00E11FFB" w:rsidRDefault="00250386">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w:t>
            </w:r>
          </w:p>
        </w:tc>
        <w:tc>
          <w:tcPr>
            <w:tcW w:w="2430" w:type="dxa"/>
          </w:tcPr>
          <w:p w14:paraId="7FBDC3EC" w14:textId="77777777" w:rsidR="00250386" w:rsidRPr="00E11FFB" w:rsidRDefault="007E0A67" w:rsidP="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Session juin 2025</w:t>
            </w:r>
          </w:p>
          <w:p w14:paraId="56666CBA" w14:textId="0047C71D" w:rsidR="007E0A67" w:rsidRPr="00E11FFB" w:rsidRDefault="007E0A67" w:rsidP="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Session octobre-novembre 2025</w:t>
            </w:r>
          </w:p>
        </w:tc>
        <w:tc>
          <w:tcPr>
            <w:tcW w:w="3240" w:type="dxa"/>
          </w:tcPr>
          <w:p w14:paraId="328EEE6B" w14:textId="703429DD" w:rsidR="007E0A67" w:rsidRPr="00E11FFB" w:rsidRDefault="007E0A67" w:rsidP="007E0A67">
            <w:pPr>
              <w:spacing w:after="5" w:line="271" w:lineRule="auto"/>
              <w:ind w:right="35"/>
              <w:rPr>
                <w:rFonts w:ascii="Avenir" w:eastAsia="Avenir" w:hAnsi="Avenir" w:cs="Avenir"/>
                <w:color w:val="000000"/>
                <w:sz w:val="16"/>
                <w:szCs w:val="16"/>
              </w:rPr>
            </w:pPr>
            <w:hyperlink r:id="rId74" w:history="1">
              <w:r w:rsidRPr="00E11FFB">
                <w:rPr>
                  <w:rStyle w:val="Lienhypertexte"/>
                  <w:rFonts w:ascii="Avenir" w:eastAsia="Avenir" w:hAnsi="Avenir" w:cs="Avenir"/>
                  <w:sz w:val="16"/>
                  <w:szCs w:val="16"/>
                </w:rPr>
                <w:t>Compte rendus session juin 2025</w:t>
              </w:r>
            </w:hyperlink>
          </w:p>
          <w:p w14:paraId="3265EF1E" w14:textId="548AA27C" w:rsidR="0024617D" w:rsidRPr="00E11FFB" w:rsidRDefault="007E0A67" w:rsidP="00D62684">
            <w:pPr>
              <w:spacing w:after="5" w:line="271" w:lineRule="auto"/>
              <w:ind w:right="35"/>
              <w:rPr>
                <w:rFonts w:ascii="Avenir" w:eastAsia="Avenir" w:hAnsi="Avenir" w:cs="Avenir"/>
                <w:color w:val="000000"/>
                <w:sz w:val="16"/>
                <w:szCs w:val="16"/>
              </w:rPr>
            </w:pPr>
            <w:hyperlink r:id="rId75" w:history="1">
              <w:r w:rsidRPr="00E11FFB">
                <w:rPr>
                  <w:rStyle w:val="Lienhypertexte"/>
                  <w:rFonts w:ascii="Avenir" w:eastAsia="Avenir" w:hAnsi="Avenir" w:cs="Avenir"/>
                  <w:sz w:val="16"/>
                  <w:szCs w:val="16"/>
                </w:rPr>
                <w:t>Compte rendus session novembre 2025</w:t>
              </w:r>
            </w:hyperlink>
          </w:p>
        </w:tc>
      </w:tr>
      <w:tr w:rsidR="0024617D" w:rsidRPr="00E11FFB" w14:paraId="5763F87A" w14:textId="77777777" w:rsidTr="004C7F2C">
        <w:trPr>
          <w:trHeight w:val="1134"/>
        </w:trPr>
        <w:tc>
          <w:tcPr>
            <w:tcW w:w="2245" w:type="dxa"/>
          </w:tcPr>
          <w:p w14:paraId="254D0280" w14:textId="77777777" w:rsidR="0024617D" w:rsidRPr="00E11FFB" w:rsidRDefault="00C83F85">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Missions de suivi terrain</w:t>
            </w:r>
          </w:p>
        </w:tc>
        <w:tc>
          <w:tcPr>
            <w:tcW w:w="900" w:type="dxa"/>
          </w:tcPr>
          <w:p w14:paraId="1665BD9F" w14:textId="34FEE2B7" w:rsidR="0024617D" w:rsidRPr="00E11FFB" w:rsidRDefault="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00" w:type="dxa"/>
          </w:tcPr>
          <w:p w14:paraId="58283D6C" w14:textId="54074FFC" w:rsidR="0024617D" w:rsidRPr="00E11FFB" w:rsidRDefault="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3</w:t>
            </w:r>
          </w:p>
        </w:tc>
        <w:tc>
          <w:tcPr>
            <w:tcW w:w="2430" w:type="dxa"/>
          </w:tcPr>
          <w:p w14:paraId="41AE3B41" w14:textId="77777777" w:rsidR="0024617D" w:rsidRPr="00E11FFB" w:rsidRDefault="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28/10 au 01/ 11/2025</w:t>
            </w:r>
          </w:p>
          <w:p w14:paraId="0BF55926" w14:textId="7F2E0B33" w:rsidR="007E0A67" w:rsidRPr="00E11FFB" w:rsidRDefault="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21 au 28 /09/2025</w:t>
            </w:r>
          </w:p>
          <w:p w14:paraId="1C7C6673" w14:textId="77777777" w:rsidR="007E0A67" w:rsidRPr="00E11FFB" w:rsidRDefault="007E0A67">
            <w:pPr>
              <w:spacing w:after="5" w:line="271" w:lineRule="auto"/>
              <w:ind w:right="35"/>
              <w:rPr>
                <w:rFonts w:ascii="Avenir" w:eastAsia="Avenir" w:hAnsi="Avenir" w:cs="Avenir"/>
                <w:color w:val="000000"/>
                <w:sz w:val="16"/>
                <w:szCs w:val="16"/>
              </w:rPr>
            </w:pPr>
          </w:p>
          <w:p w14:paraId="388C7434" w14:textId="26083E50" w:rsidR="007E0A67" w:rsidRPr="00E11FFB" w:rsidRDefault="007E0A67">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21 au 28 /09/2025</w:t>
            </w:r>
          </w:p>
          <w:p w14:paraId="1AC94F13" w14:textId="2ADF2A84" w:rsidR="007E0A67" w:rsidRPr="00E11FFB" w:rsidRDefault="007E0A67">
            <w:pPr>
              <w:spacing w:after="5" w:line="271" w:lineRule="auto"/>
              <w:ind w:right="35"/>
              <w:rPr>
                <w:rFonts w:ascii="Avenir" w:eastAsia="Avenir" w:hAnsi="Avenir" w:cs="Avenir"/>
                <w:color w:val="000000"/>
                <w:sz w:val="16"/>
                <w:szCs w:val="16"/>
              </w:rPr>
            </w:pPr>
          </w:p>
        </w:tc>
        <w:tc>
          <w:tcPr>
            <w:tcW w:w="3240" w:type="dxa"/>
          </w:tcPr>
          <w:p w14:paraId="53AAB7D4" w14:textId="327263F7" w:rsidR="007E0A67" w:rsidRPr="00E11FFB" w:rsidRDefault="007E0A67">
            <w:pPr>
              <w:spacing w:after="5" w:line="271" w:lineRule="auto"/>
              <w:ind w:right="35"/>
              <w:rPr>
                <w:rFonts w:ascii="Avenir" w:eastAsia="Avenir" w:hAnsi="Avenir" w:cs="Avenir"/>
                <w:color w:val="000000"/>
                <w:sz w:val="16"/>
                <w:szCs w:val="16"/>
              </w:rPr>
            </w:pPr>
            <w:hyperlink r:id="rId76" w:history="1">
              <w:r w:rsidRPr="00E11FFB">
                <w:rPr>
                  <w:rStyle w:val="Lienhypertexte"/>
                  <w:rFonts w:ascii="Avenir" w:eastAsia="Avenir" w:hAnsi="Avenir" w:cs="Avenir"/>
                  <w:sz w:val="16"/>
                  <w:szCs w:val="16"/>
                </w:rPr>
                <w:t>Rapport retraite Kisantu sur la PFN</w:t>
              </w:r>
            </w:hyperlink>
          </w:p>
          <w:p w14:paraId="0A7E93F5" w14:textId="2B7C5B9E" w:rsidR="007E0A67" w:rsidRPr="00E11FFB" w:rsidRDefault="007E0A67">
            <w:pPr>
              <w:spacing w:after="5" w:line="271" w:lineRule="auto"/>
              <w:ind w:right="35"/>
              <w:rPr>
                <w:rFonts w:ascii="Avenir" w:eastAsia="Avenir" w:hAnsi="Avenir" w:cs="Avenir"/>
                <w:color w:val="000000"/>
                <w:sz w:val="16"/>
                <w:szCs w:val="16"/>
              </w:rPr>
            </w:pPr>
            <w:hyperlink r:id="rId77" w:history="1">
              <w:r w:rsidRPr="00E11FFB">
                <w:rPr>
                  <w:rStyle w:val="Lienhypertexte"/>
                  <w:rFonts w:ascii="Avenir" w:eastAsia="Avenir" w:hAnsi="Avenir" w:cs="Avenir"/>
                  <w:sz w:val="16"/>
                  <w:szCs w:val="16"/>
                </w:rPr>
                <w:t>Rapport succinct de la mission PFN Maniema</w:t>
              </w:r>
            </w:hyperlink>
          </w:p>
          <w:p w14:paraId="37EB4287" w14:textId="65885399" w:rsidR="007E0A67" w:rsidRPr="00E11FFB" w:rsidRDefault="007E0A67">
            <w:pPr>
              <w:spacing w:after="5" w:line="271" w:lineRule="auto"/>
              <w:ind w:right="35"/>
              <w:rPr>
                <w:rFonts w:ascii="Avenir" w:eastAsia="Avenir" w:hAnsi="Avenir" w:cs="Avenir"/>
                <w:color w:val="000000"/>
                <w:sz w:val="16"/>
                <w:szCs w:val="16"/>
              </w:rPr>
            </w:pPr>
            <w:hyperlink r:id="rId78" w:history="1">
              <w:r w:rsidRPr="00E11FFB">
                <w:rPr>
                  <w:rStyle w:val="Lienhypertexte"/>
                  <w:rFonts w:ascii="Avenir" w:eastAsia="Avenir" w:hAnsi="Avenir" w:cs="Avenir"/>
                  <w:sz w:val="16"/>
                  <w:szCs w:val="16"/>
                </w:rPr>
                <w:t>Rapport succinct de la mission MINAGRI au Maniema</w:t>
              </w:r>
            </w:hyperlink>
          </w:p>
        </w:tc>
      </w:tr>
      <w:tr w:rsidR="0062695E" w:rsidRPr="00E11FFB" w14:paraId="458CD1DE" w14:textId="77777777" w:rsidTr="004C7F2C">
        <w:trPr>
          <w:trHeight w:val="442"/>
        </w:trPr>
        <w:tc>
          <w:tcPr>
            <w:tcW w:w="2245" w:type="dxa"/>
          </w:tcPr>
          <w:p w14:paraId="49C11527" w14:textId="7F29E3C0" w:rsidR="0062695E" w:rsidRPr="00E11FFB" w:rsidRDefault="0062695E">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Suivi régulier des activités des task-force</w:t>
            </w:r>
          </w:p>
        </w:tc>
        <w:tc>
          <w:tcPr>
            <w:tcW w:w="900" w:type="dxa"/>
          </w:tcPr>
          <w:p w14:paraId="0F556225" w14:textId="0513480C" w:rsidR="0062695E" w:rsidRPr="00E11FFB" w:rsidRDefault="0062695E">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900" w:type="dxa"/>
          </w:tcPr>
          <w:p w14:paraId="59A2EB46" w14:textId="04B3A425" w:rsidR="0062695E" w:rsidRPr="00E11FFB" w:rsidRDefault="0062695E">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25</w:t>
            </w:r>
          </w:p>
        </w:tc>
        <w:tc>
          <w:tcPr>
            <w:tcW w:w="2430" w:type="dxa"/>
          </w:tcPr>
          <w:p w14:paraId="5A28C15B" w14:textId="4A8D36EB" w:rsidR="0062695E" w:rsidRPr="00E11FFB" w:rsidRDefault="0062695E">
            <w:pPr>
              <w:spacing w:after="5" w:line="271" w:lineRule="auto"/>
              <w:ind w:right="35"/>
              <w:rPr>
                <w:rFonts w:ascii="Avenir" w:eastAsia="Avenir" w:hAnsi="Avenir" w:cs="Avenir"/>
                <w:color w:val="000000"/>
                <w:sz w:val="16"/>
                <w:szCs w:val="16"/>
              </w:rPr>
            </w:pPr>
            <w:r w:rsidRPr="00E11FFB">
              <w:rPr>
                <w:rFonts w:ascii="Avenir" w:eastAsia="Avenir" w:hAnsi="Avenir" w:cs="Avenir"/>
                <w:color w:val="000000"/>
                <w:sz w:val="16"/>
                <w:szCs w:val="16"/>
              </w:rPr>
              <w:t>avril et décembre 2025</w:t>
            </w:r>
          </w:p>
        </w:tc>
        <w:tc>
          <w:tcPr>
            <w:tcW w:w="3240" w:type="dxa"/>
          </w:tcPr>
          <w:p w14:paraId="688EB399" w14:textId="55C2D1F6" w:rsidR="0062695E" w:rsidRPr="00E11FFB" w:rsidRDefault="0062695E">
            <w:pPr>
              <w:spacing w:after="5" w:line="271" w:lineRule="auto"/>
              <w:ind w:right="35"/>
              <w:rPr>
                <w:rFonts w:ascii="Avenir" w:eastAsia="Avenir" w:hAnsi="Avenir" w:cs="Avenir"/>
                <w:color w:val="000000"/>
                <w:sz w:val="16"/>
                <w:szCs w:val="16"/>
              </w:rPr>
            </w:pPr>
            <w:hyperlink r:id="rId79" w:history="1">
              <w:r w:rsidRPr="00E11FFB">
                <w:rPr>
                  <w:rStyle w:val="Lienhypertexte"/>
                  <w:rFonts w:ascii="Avenir" w:eastAsia="Avenir" w:hAnsi="Avenir" w:cs="Avenir"/>
                  <w:sz w:val="16"/>
                  <w:szCs w:val="16"/>
                </w:rPr>
                <w:t>Dossier de Compte rendus des réunion</w:t>
              </w:r>
              <w:r w:rsidR="00D62684" w:rsidRPr="00E11FFB">
                <w:rPr>
                  <w:rStyle w:val="Lienhypertexte"/>
                  <w:rFonts w:ascii="Avenir" w:eastAsia="Avenir" w:hAnsi="Avenir" w:cs="Avenir"/>
                  <w:sz w:val="16"/>
                  <w:szCs w:val="16"/>
                </w:rPr>
                <w:t>s avec les entités</w:t>
              </w:r>
            </w:hyperlink>
          </w:p>
        </w:tc>
      </w:tr>
    </w:tbl>
    <w:p w14:paraId="31404C71" w14:textId="77777777" w:rsidR="0024617D" w:rsidRPr="00E11FFB" w:rsidRDefault="0024617D">
      <w:pPr>
        <w:spacing w:after="5" w:line="271" w:lineRule="auto"/>
        <w:ind w:left="20" w:right="28" w:hanging="10"/>
        <w:jc w:val="both"/>
        <w:rPr>
          <w:rFonts w:ascii="Avenir" w:eastAsia="Avenir" w:hAnsi="Avenir" w:cs="Avenir"/>
          <w:color w:val="000000"/>
          <w:sz w:val="16"/>
          <w:szCs w:val="16"/>
        </w:rPr>
      </w:pPr>
    </w:p>
    <w:p w14:paraId="0AC16904" w14:textId="77777777" w:rsidR="0024617D" w:rsidRPr="00E11FFB" w:rsidRDefault="00C83F85">
      <w:pPr>
        <w:pStyle w:val="Titre2"/>
      </w:pPr>
      <w:bookmarkStart w:id="36" w:name="_Toc224044725"/>
      <w:r w:rsidRPr="00E11FFB">
        <w:t>8.2 Evaluations</w:t>
      </w:r>
      <w:bookmarkEnd w:id="36"/>
    </w:p>
    <w:p w14:paraId="112670D5" w14:textId="77777777" w:rsidR="004C7F2C" w:rsidRPr="00E11FFB" w:rsidRDefault="004C7F2C">
      <w:pPr>
        <w:spacing w:after="5"/>
        <w:ind w:left="20" w:right="28" w:hanging="10"/>
        <w:jc w:val="both"/>
        <w:rPr>
          <w:rFonts w:ascii="Avenir" w:eastAsia="Avenir" w:hAnsi="Avenir" w:cs="Avenir"/>
          <w:color w:val="000000"/>
        </w:rPr>
      </w:pPr>
    </w:p>
    <w:tbl>
      <w:tblPr>
        <w:tblStyle w:val="8"/>
        <w:tblW w:w="8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9"/>
        <w:gridCol w:w="797"/>
        <w:gridCol w:w="2126"/>
        <w:gridCol w:w="1843"/>
        <w:gridCol w:w="2238"/>
      </w:tblGrid>
      <w:tr w:rsidR="0024617D" w:rsidRPr="00E11FFB" w14:paraId="2336F7D9" w14:textId="77777777">
        <w:tc>
          <w:tcPr>
            <w:tcW w:w="1749" w:type="dxa"/>
            <w:shd w:val="clear" w:color="auto" w:fill="A9D5E7"/>
          </w:tcPr>
          <w:p w14:paraId="7A65D7DF"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Nature de l’évaluation</w:t>
            </w:r>
          </w:p>
        </w:tc>
        <w:tc>
          <w:tcPr>
            <w:tcW w:w="797" w:type="dxa"/>
            <w:shd w:val="clear" w:color="auto" w:fill="A9D5E7"/>
          </w:tcPr>
          <w:p w14:paraId="30178F35"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Date</w:t>
            </w:r>
          </w:p>
        </w:tc>
        <w:tc>
          <w:tcPr>
            <w:tcW w:w="2126" w:type="dxa"/>
            <w:shd w:val="clear" w:color="auto" w:fill="A9D5E7"/>
          </w:tcPr>
          <w:p w14:paraId="12DDAE36"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Conclusions majeures de l’évaluation</w:t>
            </w:r>
          </w:p>
          <w:p w14:paraId="5D710BCE" w14:textId="77777777" w:rsidR="0024617D" w:rsidRPr="00E11FFB" w:rsidRDefault="0024617D">
            <w:pPr>
              <w:spacing w:after="5" w:line="271" w:lineRule="auto"/>
              <w:ind w:right="35"/>
              <w:rPr>
                <w:rFonts w:ascii="Avenir" w:eastAsia="Avenir" w:hAnsi="Avenir" w:cs="Avenir"/>
                <w:b/>
                <w:color w:val="000000"/>
                <w:sz w:val="16"/>
                <w:szCs w:val="16"/>
              </w:rPr>
            </w:pPr>
          </w:p>
        </w:tc>
        <w:tc>
          <w:tcPr>
            <w:tcW w:w="1843" w:type="dxa"/>
            <w:shd w:val="clear" w:color="auto" w:fill="A9D5E7"/>
          </w:tcPr>
          <w:p w14:paraId="54DED4E5"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Réponse du management</w:t>
            </w:r>
          </w:p>
          <w:p w14:paraId="039A4716" w14:textId="77777777" w:rsidR="0024617D" w:rsidRPr="00E11FFB" w:rsidRDefault="0024617D">
            <w:pPr>
              <w:spacing w:after="5" w:line="271" w:lineRule="auto"/>
              <w:ind w:right="35"/>
              <w:rPr>
                <w:rFonts w:ascii="Avenir" w:eastAsia="Avenir" w:hAnsi="Avenir" w:cs="Avenir"/>
                <w:b/>
                <w:color w:val="000000"/>
                <w:sz w:val="16"/>
                <w:szCs w:val="16"/>
              </w:rPr>
            </w:pPr>
          </w:p>
        </w:tc>
        <w:tc>
          <w:tcPr>
            <w:tcW w:w="2238" w:type="dxa"/>
            <w:shd w:val="clear" w:color="auto" w:fill="A9D5E7"/>
          </w:tcPr>
          <w:p w14:paraId="50A5CE10" w14:textId="77777777" w:rsidR="0024617D" w:rsidRPr="00E11FFB" w:rsidRDefault="00C83F85">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Suivi mise en œuvre des actions à prendre</w:t>
            </w:r>
          </w:p>
          <w:p w14:paraId="03DF2910" w14:textId="77777777" w:rsidR="0024617D" w:rsidRPr="00E11FFB" w:rsidRDefault="0024617D">
            <w:pPr>
              <w:spacing w:after="5" w:line="271" w:lineRule="auto"/>
              <w:ind w:right="35"/>
              <w:rPr>
                <w:rFonts w:ascii="Avenir" w:eastAsia="Avenir" w:hAnsi="Avenir" w:cs="Avenir"/>
                <w:b/>
                <w:color w:val="000000"/>
                <w:sz w:val="16"/>
                <w:szCs w:val="16"/>
              </w:rPr>
            </w:pPr>
          </w:p>
        </w:tc>
      </w:tr>
      <w:tr w:rsidR="0024617D" w:rsidRPr="00E11FFB" w14:paraId="064A5010" w14:textId="77777777">
        <w:tc>
          <w:tcPr>
            <w:tcW w:w="1749" w:type="dxa"/>
          </w:tcPr>
          <w:p w14:paraId="0ECEF9AE" w14:textId="5467BD82" w:rsidR="0024617D" w:rsidRPr="00E11FFB" w:rsidRDefault="004C7F2C">
            <w:pPr>
              <w:spacing w:after="5" w:line="271" w:lineRule="auto"/>
              <w:ind w:right="35"/>
              <w:rPr>
                <w:rFonts w:ascii="Avenir" w:eastAsia="Avenir" w:hAnsi="Avenir" w:cs="Avenir"/>
                <w:b/>
                <w:color w:val="000000"/>
                <w:sz w:val="16"/>
                <w:szCs w:val="16"/>
              </w:rPr>
            </w:pPr>
            <w:r w:rsidRPr="00E11FFB">
              <w:rPr>
                <w:rFonts w:ascii="Avenir" w:eastAsia="Avenir" w:hAnsi="Avenir" w:cs="Avenir"/>
                <w:b/>
                <w:color w:val="000000"/>
                <w:sz w:val="16"/>
                <w:szCs w:val="16"/>
              </w:rPr>
              <w:t>NA</w:t>
            </w:r>
          </w:p>
        </w:tc>
        <w:tc>
          <w:tcPr>
            <w:tcW w:w="797" w:type="dxa"/>
          </w:tcPr>
          <w:p w14:paraId="354D4461" w14:textId="77777777" w:rsidR="0024617D" w:rsidRPr="00E11FFB" w:rsidRDefault="0024617D">
            <w:pPr>
              <w:spacing w:after="5" w:line="271" w:lineRule="auto"/>
              <w:ind w:right="35"/>
              <w:rPr>
                <w:rFonts w:ascii="Avenir" w:eastAsia="Avenir" w:hAnsi="Avenir" w:cs="Avenir"/>
                <w:b/>
                <w:color w:val="000000"/>
                <w:sz w:val="16"/>
                <w:szCs w:val="16"/>
              </w:rPr>
            </w:pPr>
          </w:p>
        </w:tc>
        <w:tc>
          <w:tcPr>
            <w:tcW w:w="2126" w:type="dxa"/>
          </w:tcPr>
          <w:p w14:paraId="7045119B" w14:textId="77777777" w:rsidR="0024617D" w:rsidRPr="00E11FFB" w:rsidRDefault="0024617D">
            <w:pPr>
              <w:spacing w:after="5" w:line="271" w:lineRule="auto"/>
              <w:ind w:right="35"/>
              <w:rPr>
                <w:rFonts w:ascii="Avenir" w:eastAsia="Avenir" w:hAnsi="Avenir" w:cs="Avenir"/>
                <w:b/>
                <w:color w:val="000000"/>
                <w:sz w:val="16"/>
                <w:szCs w:val="16"/>
              </w:rPr>
            </w:pPr>
          </w:p>
        </w:tc>
        <w:tc>
          <w:tcPr>
            <w:tcW w:w="1843" w:type="dxa"/>
          </w:tcPr>
          <w:p w14:paraId="24C15561" w14:textId="77777777" w:rsidR="0024617D" w:rsidRPr="00E11FFB" w:rsidRDefault="0024617D">
            <w:pPr>
              <w:spacing w:after="5" w:line="271" w:lineRule="auto"/>
              <w:ind w:right="35"/>
              <w:rPr>
                <w:rFonts w:ascii="Avenir" w:eastAsia="Avenir" w:hAnsi="Avenir" w:cs="Avenir"/>
                <w:b/>
                <w:color w:val="000000"/>
                <w:sz w:val="16"/>
                <w:szCs w:val="16"/>
              </w:rPr>
            </w:pPr>
          </w:p>
        </w:tc>
        <w:tc>
          <w:tcPr>
            <w:tcW w:w="2238" w:type="dxa"/>
          </w:tcPr>
          <w:p w14:paraId="27F53DA3" w14:textId="77777777" w:rsidR="0024617D" w:rsidRPr="00E11FFB" w:rsidRDefault="0024617D">
            <w:pPr>
              <w:spacing w:after="5" w:line="271" w:lineRule="auto"/>
              <w:ind w:right="35"/>
              <w:rPr>
                <w:rFonts w:ascii="Avenir" w:eastAsia="Avenir" w:hAnsi="Avenir" w:cs="Avenir"/>
                <w:b/>
                <w:color w:val="000000"/>
                <w:sz w:val="16"/>
                <w:szCs w:val="16"/>
              </w:rPr>
            </w:pPr>
          </w:p>
        </w:tc>
      </w:tr>
      <w:tr w:rsidR="0024617D" w:rsidRPr="00E11FFB" w14:paraId="5E657811" w14:textId="77777777">
        <w:tc>
          <w:tcPr>
            <w:tcW w:w="1749" w:type="dxa"/>
          </w:tcPr>
          <w:p w14:paraId="6BEE31FA" w14:textId="77777777" w:rsidR="0024617D" w:rsidRPr="00E11FFB" w:rsidRDefault="0024617D">
            <w:pPr>
              <w:spacing w:after="5" w:line="271" w:lineRule="auto"/>
              <w:ind w:right="35"/>
              <w:rPr>
                <w:rFonts w:ascii="Avenir" w:eastAsia="Avenir" w:hAnsi="Avenir" w:cs="Avenir"/>
                <w:b/>
                <w:color w:val="000000"/>
                <w:sz w:val="16"/>
                <w:szCs w:val="16"/>
              </w:rPr>
            </w:pPr>
          </w:p>
        </w:tc>
        <w:tc>
          <w:tcPr>
            <w:tcW w:w="797" w:type="dxa"/>
          </w:tcPr>
          <w:p w14:paraId="2C003E8E" w14:textId="77777777" w:rsidR="0024617D" w:rsidRPr="00E11FFB" w:rsidRDefault="0024617D">
            <w:pPr>
              <w:spacing w:after="5" w:line="271" w:lineRule="auto"/>
              <w:ind w:right="35"/>
              <w:rPr>
                <w:rFonts w:ascii="Avenir" w:eastAsia="Avenir" w:hAnsi="Avenir" w:cs="Avenir"/>
                <w:b/>
                <w:color w:val="000000"/>
                <w:sz w:val="16"/>
                <w:szCs w:val="16"/>
              </w:rPr>
            </w:pPr>
          </w:p>
        </w:tc>
        <w:tc>
          <w:tcPr>
            <w:tcW w:w="2126" w:type="dxa"/>
          </w:tcPr>
          <w:p w14:paraId="206C9572" w14:textId="77777777" w:rsidR="0024617D" w:rsidRPr="00E11FFB" w:rsidRDefault="0024617D">
            <w:pPr>
              <w:spacing w:after="5" w:line="271" w:lineRule="auto"/>
              <w:ind w:right="35"/>
              <w:rPr>
                <w:rFonts w:ascii="Avenir" w:eastAsia="Avenir" w:hAnsi="Avenir" w:cs="Avenir"/>
                <w:b/>
                <w:color w:val="000000"/>
                <w:sz w:val="16"/>
                <w:szCs w:val="16"/>
              </w:rPr>
            </w:pPr>
          </w:p>
        </w:tc>
        <w:tc>
          <w:tcPr>
            <w:tcW w:w="1843" w:type="dxa"/>
          </w:tcPr>
          <w:p w14:paraId="00ADF150" w14:textId="77777777" w:rsidR="0024617D" w:rsidRPr="00E11FFB" w:rsidRDefault="0024617D">
            <w:pPr>
              <w:spacing w:after="5" w:line="271" w:lineRule="auto"/>
              <w:ind w:right="35"/>
              <w:rPr>
                <w:rFonts w:ascii="Avenir" w:eastAsia="Avenir" w:hAnsi="Avenir" w:cs="Avenir"/>
                <w:b/>
                <w:color w:val="000000"/>
                <w:sz w:val="16"/>
                <w:szCs w:val="16"/>
              </w:rPr>
            </w:pPr>
          </w:p>
        </w:tc>
        <w:tc>
          <w:tcPr>
            <w:tcW w:w="2238" w:type="dxa"/>
          </w:tcPr>
          <w:p w14:paraId="2C0F34B3" w14:textId="77777777" w:rsidR="0024617D" w:rsidRPr="00E11FFB" w:rsidRDefault="0024617D">
            <w:pPr>
              <w:spacing w:after="5" w:line="271" w:lineRule="auto"/>
              <w:ind w:right="35"/>
              <w:rPr>
                <w:rFonts w:ascii="Avenir" w:eastAsia="Avenir" w:hAnsi="Avenir" w:cs="Avenir"/>
                <w:b/>
                <w:color w:val="000000"/>
                <w:sz w:val="16"/>
                <w:szCs w:val="16"/>
              </w:rPr>
            </w:pPr>
          </w:p>
        </w:tc>
      </w:tr>
      <w:tr w:rsidR="0024617D" w:rsidRPr="00E11FFB" w14:paraId="642E4507" w14:textId="77777777">
        <w:tc>
          <w:tcPr>
            <w:tcW w:w="1749" w:type="dxa"/>
          </w:tcPr>
          <w:p w14:paraId="75BBFCA0" w14:textId="77777777" w:rsidR="0024617D" w:rsidRPr="00E11FFB" w:rsidRDefault="0024617D">
            <w:pPr>
              <w:spacing w:after="5" w:line="271" w:lineRule="auto"/>
              <w:ind w:right="35"/>
              <w:rPr>
                <w:rFonts w:ascii="Avenir" w:eastAsia="Avenir" w:hAnsi="Avenir" w:cs="Avenir"/>
                <w:b/>
                <w:color w:val="000000"/>
                <w:sz w:val="16"/>
                <w:szCs w:val="16"/>
              </w:rPr>
            </w:pPr>
          </w:p>
        </w:tc>
        <w:tc>
          <w:tcPr>
            <w:tcW w:w="797" w:type="dxa"/>
          </w:tcPr>
          <w:p w14:paraId="47D7838E" w14:textId="77777777" w:rsidR="0024617D" w:rsidRPr="00E11FFB" w:rsidRDefault="0024617D">
            <w:pPr>
              <w:spacing w:after="5" w:line="271" w:lineRule="auto"/>
              <w:ind w:right="35"/>
              <w:rPr>
                <w:rFonts w:ascii="Avenir" w:eastAsia="Avenir" w:hAnsi="Avenir" w:cs="Avenir"/>
                <w:b/>
                <w:color w:val="000000"/>
                <w:sz w:val="16"/>
                <w:szCs w:val="16"/>
              </w:rPr>
            </w:pPr>
          </w:p>
        </w:tc>
        <w:tc>
          <w:tcPr>
            <w:tcW w:w="2126" w:type="dxa"/>
          </w:tcPr>
          <w:p w14:paraId="31DEBB20" w14:textId="77777777" w:rsidR="0024617D" w:rsidRPr="00E11FFB" w:rsidRDefault="0024617D">
            <w:pPr>
              <w:spacing w:after="5" w:line="271" w:lineRule="auto"/>
              <w:ind w:right="35"/>
              <w:rPr>
                <w:rFonts w:ascii="Avenir" w:eastAsia="Avenir" w:hAnsi="Avenir" w:cs="Avenir"/>
                <w:b/>
                <w:color w:val="000000"/>
                <w:sz w:val="16"/>
                <w:szCs w:val="16"/>
              </w:rPr>
            </w:pPr>
          </w:p>
        </w:tc>
        <w:tc>
          <w:tcPr>
            <w:tcW w:w="1843" w:type="dxa"/>
          </w:tcPr>
          <w:p w14:paraId="48BD7A9D" w14:textId="77777777" w:rsidR="0024617D" w:rsidRPr="00E11FFB" w:rsidRDefault="0024617D">
            <w:pPr>
              <w:spacing w:after="5" w:line="271" w:lineRule="auto"/>
              <w:ind w:right="35"/>
              <w:rPr>
                <w:rFonts w:ascii="Avenir" w:eastAsia="Avenir" w:hAnsi="Avenir" w:cs="Avenir"/>
                <w:b/>
                <w:color w:val="000000"/>
                <w:sz w:val="16"/>
                <w:szCs w:val="16"/>
              </w:rPr>
            </w:pPr>
          </w:p>
        </w:tc>
        <w:tc>
          <w:tcPr>
            <w:tcW w:w="2238" w:type="dxa"/>
          </w:tcPr>
          <w:p w14:paraId="2815B786" w14:textId="77777777" w:rsidR="0024617D" w:rsidRPr="00E11FFB" w:rsidRDefault="0024617D">
            <w:pPr>
              <w:spacing w:after="5" w:line="271" w:lineRule="auto"/>
              <w:ind w:right="35"/>
              <w:rPr>
                <w:rFonts w:ascii="Avenir" w:eastAsia="Avenir" w:hAnsi="Avenir" w:cs="Avenir"/>
                <w:b/>
                <w:color w:val="000000"/>
                <w:sz w:val="16"/>
                <w:szCs w:val="16"/>
              </w:rPr>
            </w:pPr>
          </w:p>
        </w:tc>
      </w:tr>
    </w:tbl>
    <w:p w14:paraId="5E1B03F8" w14:textId="77777777" w:rsidR="0024617D" w:rsidRPr="00E11FFB" w:rsidRDefault="0024617D">
      <w:pPr>
        <w:spacing w:after="5" w:line="271" w:lineRule="auto"/>
        <w:ind w:left="20" w:right="28" w:hanging="10"/>
        <w:jc w:val="both"/>
        <w:rPr>
          <w:rFonts w:ascii="Avenir" w:eastAsia="Avenir" w:hAnsi="Avenir" w:cs="Avenir"/>
          <w:color w:val="000000"/>
          <w:sz w:val="16"/>
          <w:szCs w:val="16"/>
        </w:rPr>
      </w:pPr>
    </w:p>
    <w:p w14:paraId="4D74268C" w14:textId="77777777" w:rsidR="0024617D" w:rsidRPr="00E11FFB" w:rsidRDefault="00C83F85">
      <w:pPr>
        <w:pStyle w:val="Titre2"/>
      </w:pPr>
      <w:bookmarkStart w:id="37" w:name="_Toc224044726"/>
      <w:r w:rsidRPr="00E11FFB">
        <w:t>8.3 Intégration des leçons apprises</w:t>
      </w:r>
      <w:bookmarkEnd w:id="37"/>
    </w:p>
    <w:p w14:paraId="0B45153F" w14:textId="3609CED3" w:rsidR="004C7F2C" w:rsidRPr="00103B6C" w:rsidRDefault="00E00FDC" w:rsidP="008B57D4">
      <w:pPr>
        <w:spacing w:before="240" w:after="5"/>
        <w:ind w:right="28"/>
        <w:jc w:val="both"/>
        <w:rPr>
          <w:rFonts w:ascii="Avenir" w:eastAsia="Avenir" w:hAnsi="Avenir" w:cs="Avenir"/>
          <w:iCs/>
          <w:sz w:val="22"/>
          <w:szCs w:val="22"/>
        </w:rPr>
      </w:pPr>
      <w:r w:rsidRPr="00103B6C">
        <w:rPr>
          <w:rFonts w:ascii="Avenir" w:eastAsia="Avenir" w:hAnsi="Avenir" w:cs="Avenir"/>
          <w:iCs/>
          <w:sz w:val="22"/>
          <w:szCs w:val="22"/>
        </w:rPr>
        <w:t>Une de</w:t>
      </w:r>
      <w:r w:rsidR="00EC38B1" w:rsidRPr="00103B6C">
        <w:rPr>
          <w:rFonts w:ascii="Avenir" w:eastAsia="Avenir" w:hAnsi="Avenir" w:cs="Avenir"/>
          <w:iCs/>
          <w:sz w:val="22"/>
          <w:szCs w:val="22"/>
        </w:rPr>
        <w:t>s</w:t>
      </w:r>
      <w:r w:rsidRPr="00103B6C">
        <w:rPr>
          <w:rFonts w:ascii="Avenir" w:eastAsia="Avenir" w:hAnsi="Avenir" w:cs="Avenir"/>
          <w:iCs/>
          <w:sz w:val="22"/>
          <w:szCs w:val="22"/>
        </w:rPr>
        <w:t xml:space="preserve"> </w:t>
      </w:r>
      <w:r w:rsidR="00EC38B1" w:rsidRPr="00103B6C">
        <w:rPr>
          <w:rFonts w:ascii="Avenir" w:eastAsia="Avenir" w:hAnsi="Avenir" w:cs="Avenir"/>
          <w:iCs/>
          <w:sz w:val="22"/>
          <w:szCs w:val="22"/>
        </w:rPr>
        <w:t>recommandations de COPIL d’avril 2025 était de discuter avec les ministères de mines et des hydrocarbures pour que leur implication dans le projet. La tenue des réunions régulières avec les secrétaires généraux et les équipes de la task-force a permis d’activer la participation de ces entité</w:t>
      </w:r>
      <w:r w:rsidR="00E4509C" w:rsidRPr="00103B6C">
        <w:rPr>
          <w:rFonts w:ascii="Avenir" w:eastAsia="Avenir" w:hAnsi="Avenir" w:cs="Avenir"/>
          <w:iCs/>
          <w:sz w:val="22"/>
          <w:szCs w:val="22"/>
        </w:rPr>
        <w:t xml:space="preserve">s (signature contrat, production feuille de route et mise en œuvre des activités). </w:t>
      </w:r>
      <w:r w:rsidR="00EC38B1" w:rsidRPr="00103B6C">
        <w:rPr>
          <w:rFonts w:ascii="Avenir" w:eastAsia="Avenir" w:hAnsi="Avenir" w:cs="Avenir"/>
          <w:iCs/>
          <w:sz w:val="22"/>
          <w:szCs w:val="22"/>
        </w:rPr>
        <w:t xml:space="preserve"> </w:t>
      </w:r>
    </w:p>
    <w:p w14:paraId="3A51DB74" w14:textId="2FEC5633" w:rsidR="004C7F2C" w:rsidRPr="00103B6C" w:rsidRDefault="004C7F2C" w:rsidP="008B57D4">
      <w:pPr>
        <w:spacing w:before="240" w:after="5"/>
        <w:ind w:right="28"/>
        <w:jc w:val="both"/>
        <w:rPr>
          <w:rFonts w:ascii="Avenir" w:eastAsia="Avenir" w:hAnsi="Avenir" w:cs="Avenir"/>
          <w:iCs/>
          <w:sz w:val="22"/>
          <w:szCs w:val="22"/>
        </w:rPr>
      </w:pPr>
      <w:r w:rsidRPr="00103B6C">
        <w:rPr>
          <w:rFonts w:ascii="Avenir" w:eastAsia="Avenir" w:hAnsi="Avenir" w:cs="Avenir"/>
          <w:iCs/>
          <w:sz w:val="22"/>
          <w:szCs w:val="22"/>
        </w:rPr>
        <w:t>Occupations des membres de la task-force sur d’autres missions</w:t>
      </w:r>
      <w:r w:rsidR="00E4509C" w:rsidRPr="00103B6C">
        <w:rPr>
          <w:rFonts w:ascii="Avenir" w:eastAsia="Avenir" w:hAnsi="Avenir" w:cs="Avenir"/>
          <w:iCs/>
          <w:sz w:val="22"/>
          <w:szCs w:val="22"/>
        </w:rPr>
        <w:t>. Etant donné que les différents membres des task-forces sont impliqués sur d’autres taches de leur ministère respectif dont notamment leur responsabilité administrative, le projet a noté leur implication à dents de scie dans les activités du projet. C’est ainsi que le suivi des activités a été fait de manière régulière (réunion, appel téléphonique, rencontres spontanées et improvisées)</w:t>
      </w:r>
      <w:r w:rsidRPr="00103B6C">
        <w:rPr>
          <w:rFonts w:ascii="Avenir" w:eastAsia="Avenir" w:hAnsi="Avenir" w:cs="Avenir"/>
          <w:iCs/>
          <w:sz w:val="22"/>
          <w:szCs w:val="22"/>
        </w:rPr>
        <w:t xml:space="preserve">, </w:t>
      </w:r>
      <w:r w:rsidR="00E4509C" w:rsidRPr="00103B6C">
        <w:rPr>
          <w:rFonts w:ascii="Avenir" w:eastAsia="Avenir" w:hAnsi="Avenir" w:cs="Avenir"/>
          <w:iCs/>
          <w:sz w:val="22"/>
          <w:szCs w:val="22"/>
        </w:rPr>
        <w:t xml:space="preserve">les </w:t>
      </w:r>
      <w:r w:rsidRPr="00103B6C">
        <w:rPr>
          <w:rFonts w:ascii="Avenir" w:eastAsia="Avenir" w:hAnsi="Avenir" w:cs="Avenir"/>
          <w:iCs/>
          <w:sz w:val="22"/>
          <w:szCs w:val="22"/>
        </w:rPr>
        <w:t xml:space="preserve">discussions </w:t>
      </w:r>
      <w:r w:rsidR="00E4509C" w:rsidRPr="00103B6C">
        <w:rPr>
          <w:rFonts w:ascii="Avenir" w:eastAsia="Avenir" w:hAnsi="Avenir" w:cs="Avenir"/>
          <w:iCs/>
          <w:sz w:val="22"/>
          <w:szCs w:val="22"/>
        </w:rPr>
        <w:t xml:space="preserve">ont eu lieu </w:t>
      </w:r>
      <w:r w:rsidRPr="00103B6C">
        <w:rPr>
          <w:rFonts w:ascii="Avenir" w:eastAsia="Avenir" w:hAnsi="Avenir" w:cs="Avenir"/>
          <w:iCs/>
          <w:sz w:val="22"/>
          <w:szCs w:val="22"/>
        </w:rPr>
        <w:t>avec le SG sur l’implication des membres</w:t>
      </w:r>
      <w:r w:rsidR="00E4509C" w:rsidRPr="00103B6C">
        <w:rPr>
          <w:rFonts w:ascii="Avenir" w:eastAsia="Avenir" w:hAnsi="Avenir" w:cs="Avenir"/>
          <w:iCs/>
          <w:sz w:val="22"/>
          <w:szCs w:val="22"/>
        </w:rPr>
        <w:t xml:space="preserve"> ainsi que la mise en place d’un </w:t>
      </w:r>
      <w:r w:rsidRPr="00103B6C">
        <w:rPr>
          <w:rFonts w:ascii="Avenir" w:eastAsia="Avenir" w:hAnsi="Avenir" w:cs="Avenir"/>
          <w:iCs/>
          <w:sz w:val="22"/>
          <w:szCs w:val="22"/>
        </w:rPr>
        <w:t>système de rapportage mensuel</w:t>
      </w:r>
      <w:r w:rsidR="00E4509C" w:rsidRPr="00103B6C">
        <w:rPr>
          <w:rFonts w:ascii="Avenir" w:eastAsia="Avenir" w:hAnsi="Avenir" w:cs="Avenir"/>
          <w:iCs/>
          <w:sz w:val="22"/>
          <w:szCs w:val="22"/>
        </w:rPr>
        <w:t xml:space="preserve">. </w:t>
      </w:r>
    </w:p>
    <w:p w14:paraId="7F162D3D" w14:textId="2748EE23" w:rsidR="004C7F2C" w:rsidRPr="00103B6C" w:rsidRDefault="00BA1DF1" w:rsidP="008B57D4">
      <w:pPr>
        <w:spacing w:before="240" w:after="5"/>
        <w:ind w:right="28"/>
        <w:jc w:val="both"/>
        <w:rPr>
          <w:rFonts w:ascii="Avenir" w:eastAsia="Avenir" w:hAnsi="Avenir" w:cs="Avenir"/>
          <w:iCs/>
          <w:sz w:val="22"/>
          <w:szCs w:val="22"/>
        </w:rPr>
      </w:pPr>
      <w:r w:rsidRPr="00103B6C">
        <w:rPr>
          <w:rFonts w:ascii="Avenir" w:eastAsia="Avenir" w:hAnsi="Avenir" w:cs="Avenir"/>
          <w:iCs/>
          <w:sz w:val="22"/>
          <w:szCs w:val="22"/>
        </w:rPr>
        <w:t>La préparation de LOA s’est faite en divisant les fonds des activités par deux sans tenir compte de type d’activité. Cette situation a limité la mise en œuvre de certaines activités comme les ateliers, les missions de terrain. Les réunions d’alignement des priorités ont permis aux parties à redéfinir les actions et à valider les types de livrables à produire (document, définitif ou draft).</w:t>
      </w:r>
      <w:bookmarkStart w:id="38" w:name="_heading=h.8tb6j64a3l5w" w:colFirst="0" w:colLast="0"/>
      <w:bookmarkEnd w:id="38"/>
    </w:p>
    <w:p w14:paraId="5DB74360" w14:textId="77777777" w:rsidR="00BA1DF1" w:rsidRPr="00103B6C" w:rsidRDefault="00BA1DF1" w:rsidP="00BA1DF1">
      <w:pPr>
        <w:spacing w:after="5"/>
        <w:ind w:right="28"/>
        <w:jc w:val="both"/>
        <w:rPr>
          <w:rFonts w:ascii="Avenir" w:eastAsia="Avenir" w:hAnsi="Avenir" w:cs="Avenir"/>
          <w:color w:val="2F5496"/>
          <w:sz w:val="26"/>
          <w:szCs w:val="26"/>
        </w:rPr>
      </w:pPr>
    </w:p>
    <w:p w14:paraId="53B6DB03" w14:textId="77777777" w:rsidR="0024617D" w:rsidRPr="00E11FFB" w:rsidRDefault="00C83F85">
      <w:pPr>
        <w:pStyle w:val="Titre2"/>
      </w:pPr>
      <w:bookmarkStart w:id="39" w:name="_Toc224044727"/>
      <w:r w:rsidRPr="00E11FFB">
        <w:t>8.4 Révisions programmatiques (le cas échéant)</w:t>
      </w:r>
      <w:bookmarkEnd w:id="39"/>
    </w:p>
    <w:p w14:paraId="28FCEAEB" w14:textId="77777777" w:rsidR="0024617D" w:rsidRPr="00E11FFB" w:rsidRDefault="00C83F85">
      <w:pPr>
        <w:rPr>
          <w:rFonts w:ascii="Avenir" w:eastAsia="Avenir" w:hAnsi="Avenir" w:cs="Avenir"/>
          <w:color w:val="000000"/>
          <w:sz w:val="16"/>
          <w:szCs w:val="16"/>
        </w:rPr>
      </w:pPr>
      <w:r w:rsidRPr="00E11FFB">
        <w:rPr>
          <w:rFonts w:ascii="Avenir" w:eastAsia="Avenir" w:hAnsi="Avenir" w:cs="Avenir"/>
          <w:color w:val="000000"/>
        </w:rPr>
        <w:t xml:space="preserve"> </w:t>
      </w:r>
    </w:p>
    <w:p w14:paraId="5EEAB2A8" w14:textId="3A2CE32C" w:rsidR="00BA1DF1" w:rsidRPr="00E11FFB" w:rsidRDefault="00BA1DF1">
      <w:pPr>
        <w:spacing w:after="5"/>
        <w:ind w:left="20" w:right="28" w:hanging="10"/>
        <w:jc w:val="both"/>
        <w:rPr>
          <w:rFonts w:ascii="Avenir" w:eastAsia="Avenir" w:hAnsi="Avenir" w:cs="Avenir"/>
          <w:color w:val="000000"/>
        </w:rPr>
      </w:pPr>
      <w:r w:rsidRPr="00103B6C">
        <w:rPr>
          <w:rFonts w:ascii="Avenir" w:eastAsia="Avenir" w:hAnsi="Avenir" w:cs="Avenir"/>
          <w:color w:val="000000"/>
        </w:rPr>
        <w:t>NA</w:t>
      </w:r>
    </w:p>
    <w:p w14:paraId="2FB81FCE" w14:textId="77777777" w:rsidR="0024617D" w:rsidRPr="00E11FFB" w:rsidRDefault="00C83F85">
      <w:pPr>
        <w:pStyle w:val="Titre1"/>
        <w:numPr>
          <w:ilvl w:val="0"/>
          <w:numId w:val="1"/>
        </w:numPr>
      </w:pPr>
      <w:bookmarkStart w:id="40" w:name="_Toc224044728"/>
      <w:r w:rsidRPr="00E11FFB">
        <w:t>Thèmes transversaux</w:t>
      </w:r>
      <w:bookmarkEnd w:id="40"/>
    </w:p>
    <w:p w14:paraId="45A8DFCD" w14:textId="77777777" w:rsidR="0024617D" w:rsidRPr="00E11FFB" w:rsidRDefault="00C83F85">
      <w:pPr>
        <w:pStyle w:val="Titre2"/>
        <w:rPr>
          <w:rFonts w:ascii="Avenir" w:eastAsia="Avenir" w:hAnsi="Avenir" w:cs="Avenir"/>
        </w:rPr>
      </w:pPr>
      <w:bookmarkStart w:id="41" w:name="_Toc224044729"/>
      <w:r w:rsidRPr="00E11FFB">
        <w:t>9.1 Genre, peuples autochtones et autres groupes vulnérables</w:t>
      </w:r>
      <w:bookmarkEnd w:id="41"/>
      <w:r w:rsidRPr="00E11FFB">
        <w:t xml:space="preserve"> </w:t>
      </w:r>
    </w:p>
    <w:p w14:paraId="7A9E9DA0" w14:textId="77777777" w:rsidR="0024617D" w:rsidRPr="00E11FFB" w:rsidRDefault="0024617D">
      <w:pPr>
        <w:pBdr>
          <w:top w:val="nil"/>
          <w:left w:val="nil"/>
          <w:bottom w:val="nil"/>
          <w:right w:val="nil"/>
          <w:between w:val="nil"/>
        </w:pBdr>
        <w:ind w:left="20" w:right="28" w:hanging="10"/>
        <w:jc w:val="both"/>
        <w:rPr>
          <w:rFonts w:ascii="Avenir" w:eastAsia="Avenir" w:hAnsi="Avenir" w:cs="Avenir"/>
          <w:color w:val="000000"/>
          <w:sz w:val="16"/>
          <w:szCs w:val="16"/>
        </w:rPr>
      </w:pPr>
    </w:p>
    <w:p w14:paraId="25385A57" w14:textId="77777777" w:rsidR="0024617D" w:rsidRPr="00E11FFB" w:rsidRDefault="00C83F85">
      <w:pPr>
        <w:spacing w:after="5"/>
        <w:ind w:left="20" w:right="28" w:hanging="10"/>
        <w:jc w:val="both"/>
        <w:rPr>
          <w:rFonts w:ascii="Avenir" w:eastAsia="Avenir" w:hAnsi="Avenir" w:cs="Avenir"/>
          <w:color w:val="000000"/>
        </w:rPr>
      </w:pPr>
      <w:r w:rsidRPr="00E11FFB">
        <w:rPr>
          <w:rFonts w:ascii="Avenir" w:eastAsia="Avenir" w:hAnsi="Avenir" w:cs="Avenir"/>
          <w:color w:val="000000"/>
        </w:rPr>
        <w:t>Suivi des aspects Genre</w:t>
      </w:r>
    </w:p>
    <w:p w14:paraId="5A780A8F" w14:textId="77777777" w:rsidR="002C5686" w:rsidRPr="00E11FFB" w:rsidRDefault="002C5686">
      <w:pPr>
        <w:spacing w:after="5"/>
        <w:ind w:left="20" w:right="28" w:hanging="10"/>
        <w:jc w:val="both"/>
        <w:rPr>
          <w:rFonts w:ascii="Avenir" w:eastAsia="Avenir" w:hAnsi="Avenir" w:cs="Avenir"/>
          <w:color w:val="000000"/>
          <w:sz w:val="16"/>
          <w:szCs w:val="16"/>
        </w:rPr>
      </w:pPr>
    </w:p>
    <w:tbl>
      <w:tblPr>
        <w:tblStyle w:val="7"/>
        <w:tblpPr w:leftFromText="180" w:rightFromText="180" w:vertAnchor="text" w:tblpY="1"/>
        <w:tblOverlap w:val="never"/>
        <w:tblW w:w="10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2970"/>
        <w:gridCol w:w="2610"/>
        <w:gridCol w:w="2563"/>
      </w:tblGrid>
      <w:tr w:rsidR="0024617D" w:rsidRPr="00E11FFB" w14:paraId="151BBF70" w14:textId="77777777" w:rsidTr="008B57D4">
        <w:trPr>
          <w:trHeight w:val="319"/>
        </w:trPr>
        <w:tc>
          <w:tcPr>
            <w:tcW w:w="1975" w:type="dxa"/>
            <w:shd w:val="clear" w:color="auto" w:fill="B4C6E7"/>
          </w:tcPr>
          <w:p w14:paraId="4402126F" w14:textId="77777777" w:rsidR="0024617D" w:rsidRPr="00E11FFB" w:rsidRDefault="00C83F85" w:rsidP="002C5686">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Critère</w:t>
            </w:r>
          </w:p>
        </w:tc>
        <w:tc>
          <w:tcPr>
            <w:tcW w:w="2970" w:type="dxa"/>
            <w:shd w:val="clear" w:color="auto" w:fill="B4C6E7"/>
          </w:tcPr>
          <w:p w14:paraId="1E89F648" w14:textId="77777777" w:rsidR="0024617D" w:rsidRPr="00E11FFB" w:rsidRDefault="00C83F85" w:rsidP="002C5686">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Act</w:t>
            </w:r>
            <w:r w:rsidRPr="00E11FFB">
              <w:rPr>
                <w:rFonts w:ascii="Avenir" w:eastAsia="Avenir" w:hAnsi="Avenir" w:cs="Avenir"/>
                <w:b/>
                <w:sz w:val="16"/>
                <w:szCs w:val="16"/>
              </w:rPr>
              <w:t xml:space="preserve">ivités ciblant les groupes sus mentionnés </w:t>
            </w:r>
          </w:p>
        </w:tc>
        <w:tc>
          <w:tcPr>
            <w:tcW w:w="2610" w:type="dxa"/>
            <w:shd w:val="clear" w:color="auto" w:fill="B4C6E7"/>
          </w:tcPr>
          <w:p w14:paraId="2DB9E659" w14:textId="77777777" w:rsidR="0024617D" w:rsidRPr="00E11FFB" w:rsidRDefault="00C83F85" w:rsidP="002C5686">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Résultats</w:t>
            </w:r>
          </w:p>
        </w:tc>
        <w:tc>
          <w:tcPr>
            <w:tcW w:w="2563" w:type="dxa"/>
            <w:shd w:val="clear" w:color="auto" w:fill="B4C6E7"/>
          </w:tcPr>
          <w:p w14:paraId="4FC6B507" w14:textId="77777777" w:rsidR="0024617D" w:rsidRPr="00E11FFB" w:rsidRDefault="00C83F85" w:rsidP="002C5686">
            <w:pPr>
              <w:spacing w:after="5" w:line="271" w:lineRule="auto"/>
              <w:rPr>
                <w:rFonts w:ascii="Avenir" w:eastAsia="Avenir" w:hAnsi="Avenir" w:cs="Avenir"/>
                <w:b/>
                <w:color w:val="000000"/>
                <w:sz w:val="16"/>
                <w:szCs w:val="16"/>
              </w:rPr>
            </w:pPr>
            <w:r w:rsidRPr="00E11FFB">
              <w:rPr>
                <w:rFonts w:ascii="Avenir" w:eastAsia="Avenir" w:hAnsi="Avenir" w:cs="Avenir"/>
                <w:b/>
                <w:color w:val="000000"/>
                <w:sz w:val="16"/>
                <w:szCs w:val="16"/>
              </w:rPr>
              <w:t>Défis affrontés</w:t>
            </w:r>
          </w:p>
        </w:tc>
      </w:tr>
      <w:tr w:rsidR="00A1032D" w:rsidRPr="00E11FFB" w14:paraId="25B7C7B3" w14:textId="77777777" w:rsidTr="008B57D4">
        <w:trPr>
          <w:trHeight w:val="562"/>
        </w:trPr>
        <w:tc>
          <w:tcPr>
            <w:tcW w:w="1975" w:type="dxa"/>
            <w:vMerge w:val="restart"/>
          </w:tcPr>
          <w:p w14:paraId="0EFF75DC" w14:textId="77777777" w:rsidR="00A1032D" w:rsidRPr="00E11FFB" w:rsidRDefault="00A1032D" w:rsidP="002C5686">
            <w:pPr>
              <w:spacing w:after="5" w:line="271" w:lineRule="auto"/>
              <w:rPr>
                <w:rFonts w:ascii="Avenir" w:eastAsia="Avenir" w:hAnsi="Avenir" w:cs="Avenir"/>
                <w:color w:val="000000"/>
                <w:sz w:val="16"/>
                <w:szCs w:val="16"/>
              </w:rPr>
            </w:pPr>
          </w:p>
          <w:p w14:paraId="6FC0B76D" w14:textId="77777777" w:rsidR="00A1032D" w:rsidRPr="00E11FFB" w:rsidRDefault="00A1032D" w:rsidP="002C5686">
            <w:pPr>
              <w:spacing w:after="5" w:line="271" w:lineRule="auto"/>
              <w:rPr>
                <w:rFonts w:ascii="Avenir" w:eastAsia="Avenir" w:hAnsi="Avenir" w:cs="Avenir"/>
                <w:color w:val="000000"/>
                <w:sz w:val="16"/>
                <w:szCs w:val="16"/>
              </w:rPr>
            </w:pPr>
          </w:p>
          <w:p w14:paraId="5DD09ABC" w14:textId="77777777" w:rsidR="00A1032D" w:rsidRPr="00E11FFB" w:rsidRDefault="00A1032D" w:rsidP="002C5686">
            <w:pPr>
              <w:spacing w:after="5" w:line="271" w:lineRule="auto"/>
              <w:rPr>
                <w:rFonts w:ascii="Avenir" w:eastAsia="Avenir" w:hAnsi="Avenir" w:cs="Avenir"/>
                <w:color w:val="000000"/>
                <w:sz w:val="16"/>
                <w:szCs w:val="16"/>
              </w:rPr>
            </w:pPr>
          </w:p>
          <w:p w14:paraId="23CAA0B0" w14:textId="77777777" w:rsidR="00A1032D" w:rsidRPr="00E11FFB" w:rsidRDefault="00A1032D" w:rsidP="002C5686">
            <w:pPr>
              <w:spacing w:after="5" w:line="271" w:lineRule="auto"/>
              <w:rPr>
                <w:rFonts w:ascii="Avenir" w:eastAsia="Avenir" w:hAnsi="Avenir" w:cs="Avenir"/>
                <w:color w:val="000000"/>
                <w:sz w:val="16"/>
                <w:szCs w:val="16"/>
              </w:rPr>
            </w:pPr>
          </w:p>
          <w:p w14:paraId="57669A88" w14:textId="77777777" w:rsidR="00A1032D" w:rsidRPr="00E11FFB" w:rsidRDefault="00A1032D" w:rsidP="002C5686">
            <w:pPr>
              <w:spacing w:after="5" w:line="271" w:lineRule="auto"/>
              <w:rPr>
                <w:rFonts w:ascii="Avenir" w:eastAsia="Avenir" w:hAnsi="Avenir" w:cs="Avenir"/>
                <w:color w:val="000000"/>
                <w:sz w:val="16"/>
                <w:szCs w:val="16"/>
              </w:rPr>
            </w:pPr>
          </w:p>
          <w:p w14:paraId="2CC39DB0" w14:textId="77777777" w:rsidR="00A1032D" w:rsidRPr="00E11FFB" w:rsidRDefault="00A1032D" w:rsidP="002C5686">
            <w:pPr>
              <w:spacing w:after="5" w:line="271" w:lineRule="auto"/>
              <w:rPr>
                <w:rFonts w:ascii="Avenir" w:eastAsia="Avenir" w:hAnsi="Avenir" w:cs="Avenir"/>
                <w:color w:val="000000"/>
                <w:sz w:val="16"/>
                <w:szCs w:val="16"/>
              </w:rPr>
            </w:pPr>
          </w:p>
          <w:p w14:paraId="799FB4AB" w14:textId="77777777" w:rsidR="00A1032D" w:rsidRPr="00E11FFB" w:rsidRDefault="00A1032D" w:rsidP="002C5686">
            <w:pPr>
              <w:spacing w:after="5" w:line="271" w:lineRule="auto"/>
              <w:rPr>
                <w:rFonts w:ascii="Avenir" w:eastAsia="Avenir" w:hAnsi="Avenir" w:cs="Avenir"/>
                <w:color w:val="000000"/>
                <w:sz w:val="16"/>
                <w:szCs w:val="16"/>
              </w:rPr>
            </w:pPr>
          </w:p>
          <w:p w14:paraId="648BE2C2" w14:textId="6910C6A3"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Mise en œuvre/Activités</w:t>
            </w:r>
          </w:p>
        </w:tc>
        <w:tc>
          <w:tcPr>
            <w:tcW w:w="2970" w:type="dxa"/>
          </w:tcPr>
          <w:p w14:paraId="658719B8" w14:textId="1318F5AA"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Formations et capacitations des experts de mines et hydrocarbures sur l’évaluation environnementale et sociale</w:t>
            </w:r>
          </w:p>
        </w:tc>
        <w:tc>
          <w:tcPr>
            <w:tcW w:w="2610" w:type="dxa"/>
          </w:tcPr>
          <w:p w14:paraId="0AF2A19B" w14:textId="2971DBE0"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24% des experts capacités sont des femmes (dont 17% hydrocarbure et 31% mines)</w:t>
            </w:r>
          </w:p>
        </w:tc>
        <w:tc>
          <w:tcPr>
            <w:tcW w:w="2563" w:type="dxa"/>
          </w:tcPr>
          <w:p w14:paraId="192E7128" w14:textId="77777777" w:rsidR="00A1032D" w:rsidRPr="00E11FFB" w:rsidRDefault="00A1032D" w:rsidP="002C5686">
            <w:pPr>
              <w:spacing w:after="5" w:line="271" w:lineRule="auto"/>
              <w:rPr>
                <w:rFonts w:ascii="Avenir" w:eastAsia="Avenir" w:hAnsi="Avenir" w:cs="Avenir"/>
                <w:color w:val="000000"/>
                <w:sz w:val="16"/>
                <w:szCs w:val="16"/>
              </w:rPr>
            </w:pPr>
          </w:p>
        </w:tc>
      </w:tr>
      <w:tr w:rsidR="00A1032D" w:rsidRPr="00E11FFB" w14:paraId="6AAC2515" w14:textId="77777777" w:rsidTr="008B57D4">
        <w:trPr>
          <w:trHeight w:val="562"/>
        </w:trPr>
        <w:tc>
          <w:tcPr>
            <w:tcW w:w="1975" w:type="dxa"/>
            <w:vMerge/>
          </w:tcPr>
          <w:p w14:paraId="05B7B662" w14:textId="77777777" w:rsidR="00A1032D" w:rsidRPr="00E11FFB" w:rsidRDefault="00A1032D" w:rsidP="002C5686">
            <w:pPr>
              <w:spacing w:after="5" w:line="271" w:lineRule="auto"/>
              <w:rPr>
                <w:rFonts w:ascii="Avenir" w:eastAsia="Avenir" w:hAnsi="Avenir" w:cs="Avenir"/>
                <w:color w:val="000000"/>
                <w:sz w:val="16"/>
                <w:szCs w:val="16"/>
              </w:rPr>
            </w:pPr>
          </w:p>
        </w:tc>
        <w:tc>
          <w:tcPr>
            <w:tcW w:w="2970" w:type="dxa"/>
          </w:tcPr>
          <w:p w14:paraId="73DC76BC" w14:textId="0344EED1"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Concertations nationales sur la politique forestières</w:t>
            </w:r>
          </w:p>
        </w:tc>
        <w:tc>
          <w:tcPr>
            <w:tcW w:w="2610" w:type="dxa"/>
          </w:tcPr>
          <w:p w14:paraId="6BC3FFC8" w14:textId="79FC3113"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Sur l’ensemble de personnes consultées en province (1143 personnes), 18.5% sont des femmes engagées dans le secteur de la forêt. </w:t>
            </w:r>
          </w:p>
        </w:tc>
        <w:tc>
          <w:tcPr>
            <w:tcW w:w="2563" w:type="dxa"/>
          </w:tcPr>
          <w:p w14:paraId="593894AA" w14:textId="09870F3C"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Malgré la consigne donnée au niveau national, le choix de femmes est resté faible parmi les personnes consultées en province</w:t>
            </w:r>
          </w:p>
        </w:tc>
      </w:tr>
      <w:tr w:rsidR="00A1032D" w:rsidRPr="00E11FFB" w14:paraId="7B11CEFA" w14:textId="77777777" w:rsidTr="008B57D4">
        <w:trPr>
          <w:trHeight w:val="562"/>
        </w:trPr>
        <w:tc>
          <w:tcPr>
            <w:tcW w:w="1975" w:type="dxa"/>
            <w:vMerge/>
          </w:tcPr>
          <w:p w14:paraId="18DE0168" w14:textId="77777777" w:rsidR="00A1032D" w:rsidRPr="00E11FFB" w:rsidRDefault="00A1032D" w:rsidP="002C5686">
            <w:pPr>
              <w:spacing w:after="5" w:line="271" w:lineRule="auto"/>
              <w:rPr>
                <w:rFonts w:ascii="Avenir" w:eastAsia="Avenir" w:hAnsi="Avenir" w:cs="Avenir"/>
                <w:color w:val="000000"/>
                <w:sz w:val="16"/>
                <w:szCs w:val="16"/>
              </w:rPr>
            </w:pPr>
          </w:p>
        </w:tc>
        <w:tc>
          <w:tcPr>
            <w:tcW w:w="2970" w:type="dxa"/>
          </w:tcPr>
          <w:p w14:paraId="17E8B399" w14:textId="14AF5B8F"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Concertation d’un groupe de femmes leaders de l’Equateur sur la politique forestière</w:t>
            </w:r>
          </w:p>
        </w:tc>
        <w:tc>
          <w:tcPr>
            <w:tcW w:w="2610" w:type="dxa"/>
          </w:tcPr>
          <w:p w14:paraId="553EACA1" w14:textId="03329BDD"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Sur les personnes consultées de la Coalition des Femmes Leaders pour l’Environnement et le Développement Durable (CFLEDD), 70% étaient des femmes. </w:t>
            </w:r>
          </w:p>
        </w:tc>
        <w:tc>
          <w:tcPr>
            <w:tcW w:w="2563" w:type="dxa"/>
          </w:tcPr>
          <w:p w14:paraId="6071713B" w14:textId="77777777" w:rsidR="00A1032D" w:rsidRPr="00E11FFB" w:rsidRDefault="00A1032D" w:rsidP="002C5686">
            <w:pPr>
              <w:spacing w:after="5" w:line="271" w:lineRule="auto"/>
              <w:rPr>
                <w:rFonts w:ascii="Avenir" w:eastAsia="Avenir" w:hAnsi="Avenir" w:cs="Avenir"/>
                <w:color w:val="000000"/>
                <w:sz w:val="16"/>
                <w:szCs w:val="16"/>
              </w:rPr>
            </w:pPr>
          </w:p>
        </w:tc>
      </w:tr>
      <w:tr w:rsidR="00A1032D" w:rsidRPr="00E11FFB" w14:paraId="6810D672" w14:textId="77777777" w:rsidTr="008B57D4">
        <w:trPr>
          <w:trHeight w:val="562"/>
        </w:trPr>
        <w:tc>
          <w:tcPr>
            <w:tcW w:w="1975" w:type="dxa"/>
            <w:vMerge/>
          </w:tcPr>
          <w:p w14:paraId="2C754A63" w14:textId="2F36D667" w:rsidR="00A1032D" w:rsidRPr="00E11FFB" w:rsidRDefault="00A1032D" w:rsidP="002C5686">
            <w:pPr>
              <w:spacing w:after="5" w:line="271" w:lineRule="auto"/>
              <w:rPr>
                <w:rFonts w:ascii="Avenir" w:eastAsia="Avenir" w:hAnsi="Avenir" w:cs="Avenir"/>
                <w:color w:val="000000"/>
                <w:sz w:val="16"/>
                <w:szCs w:val="16"/>
              </w:rPr>
            </w:pPr>
          </w:p>
        </w:tc>
        <w:tc>
          <w:tcPr>
            <w:tcW w:w="2970" w:type="dxa"/>
          </w:tcPr>
          <w:p w14:paraId="2AB3927B" w14:textId="302BE1AA" w:rsidR="00A1032D" w:rsidRPr="00E11FFB" w:rsidRDefault="00A1032D"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Concertations nationales sur la politique de population et le diagnostic démographique</w:t>
            </w:r>
          </w:p>
        </w:tc>
        <w:tc>
          <w:tcPr>
            <w:tcW w:w="2610" w:type="dxa"/>
          </w:tcPr>
          <w:p w14:paraId="46073C58" w14:textId="15BD711E" w:rsidR="00A1032D" w:rsidRPr="00E11FFB" w:rsidRDefault="00005937"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836 personnes consultées sur le diagnostic démographique et la politique de population, dont 14% des femmes. </w:t>
            </w:r>
          </w:p>
        </w:tc>
        <w:tc>
          <w:tcPr>
            <w:tcW w:w="2563" w:type="dxa"/>
          </w:tcPr>
          <w:p w14:paraId="1EA2D6A2" w14:textId="3E4156B5" w:rsidR="00A1032D" w:rsidRPr="00E11FFB" w:rsidRDefault="00A1032D" w:rsidP="002C5686">
            <w:pPr>
              <w:spacing w:after="5" w:line="271" w:lineRule="auto"/>
              <w:rPr>
                <w:rFonts w:ascii="Avenir" w:eastAsia="Avenir" w:hAnsi="Avenir" w:cs="Avenir"/>
                <w:color w:val="000000"/>
                <w:sz w:val="16"/>
                <w:szCs w:val="16"/>
              </w:rPr>
            </w:pPr>
          </w:p>
        </w:tc>
      </w:tr>
      <w:tr w:rsidR="0024617D" w:rsidRPr="00E11FFB" w14:paraId="5C6F9300" w14:textId="77777777" w:rsidTr="008B57D4">
        <w:trPr>
          <w:trHeight w:val="508"/>
        </w:trPr>
        <w:tc>
          <w:tcPr>
            <w:tcW w:w="1975" w:type="dxa"/>
          </w:tcPr>
          <w:p w14:paraId="1674F266" w14:textId="77777777" w:rsidR="0024617D" w:rsidRPr="00E11FFB" w:rsidRDefault="00C83F85"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Suivi-évaluation</w:t>
            </w:r>
          </w:p>
        </w:tc>
        <w:tc>
          <w:tcPr>
            <w:tcW w:w="2970" w:type="dxa"/>
          </w:tcPr>
          <w:p w14:paraId="1F83FAC3" w14:textId="75D84119" w:rsidR="0024617D" w:rsidRPr="00E11FFB" w:rsidRDefault="00EA2E88"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Constitution des task-forces pour la coordination des projets dans les entités</w:t>
            </w:r>
          </w:p>
        </w:tc>
        <w:tc>
          <w:tcPr>
            <w:tcW w:w="2610" w:type="dxa"/>
          </w:tcPr>
          <w:p w14:paraId="2537DE29" w14:textId="15029878" w:rsidR="0024617D" w:rsidRPr="00E11FFB" w:rsidRDefault="00F11511"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Sur l’ensemble des membres de différentes task-force, seuls 10.2% sont des femmes. </w:t>
            </w:r>
          </w:p>
        </w:tc>
        <w:tc>
          <w:tcPr>
            <w:tcW w:w="2563" w:type="dxa"/>
          </w:tcPr>
          <w:p w14:paraId="6B52A422" w14:textId="5135539C" w:rsidR="0024617D" w:rsidRPr="00E11FFB" w:rsidRDefault="00F11511" w:rsidP="002C568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 xml:space="preserve">Sur les 8 task-forces, 3 n’ont pas désigné les femmes dans l’équipe de gestion de projet. </w:t>
            </w:r>
          </w:p>
        </w:tc>
      </w:tr>
    </w:tbl>
    <w:p w14:paraId="60544C4F" w14:textId="77777777" w:rsidR="002C5686" w:rsidRPr="00E11FFB" w:rsidRDefault="002C5686">
      <w:pPr>
        <w:spacing w:after="5"/>
        <w:ind w:left="20" w:right="28" w:hanging="10"/>
        <w:jc w:val="both"/>
        <w:rPr>
          <w:rFonts w:ascii="Avenir" w:eastAsia="Avenir" w:hAnsi="Avenir" w:cs="Avenir"/>
          <w:color w:val="000000"/>
        </w:rPr>
      </w:pPr>
    </w:p>
    <w:p w14:paraId="6B480436" w14:textId="7A336FC6" w:rsidR="00F43B01" w:rsidRPr="00E11FFB" w:rsidRDefault="00F43B01" w:rsidP="00A1032D">
      <w:pPr>
        <w:spacing w:after="5"/>
        <w:ind w:left="20" w:right="28" w:hanging="10"/>
        <w:jc w:val="center"/>
        <w:rPr>
          <w:rFonts w:ascii="Avenir" w:eastAsia="Avenir" w:hAnsi="Avenir" w:cs="Avenir"/>
          <w:color w:val="000000"/>
        </w:rPr>
      </w:pPr>
      <w:r w:rsidRPr="00E11FFB">
        <w:rPr>
          <w:rFonts w:ascii="Avenir" w:eastAsia="Avenir" w:hAnsi="Avenir" w:cs="Avenir"/>
          <w:noProof/>
          <w:color w:val="000000"/>
        </w:rPr>
        <w:drawing>
          <wp:inline distT="0" distB="0" distL="0" distR="0" wp14:anchorId="6ED48D92" wp14:editId="72DAF95B">
            <wp:extent cx="4340506" cy="2708139"/>
            <wp:effectExtent l="0" t="0" r="3175" b="0"/>
            <wp:docPr id="18429531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16811"/>
                    <a:stretch>
                      <a:fillRect/>
                    </a:stretch>
                  </pic:blipFill>
                  <pic:spPr bwMode="auto">
                    <a:xfrm>
                      <a:off x="0" y="0"/>
                      <a:ext cx="4365578" cy="2723782"/>
                    </a:xfrm>
                    <a:prstGeom prst="rect">
                      <a:avLst/>
                    </a:prstGeom>
                    <a:noFill/>
                    <a:ln>
                      <a:noFill/>
                    </a:ln>
                    <a:extLst>
                      <a:ext uri="{53640926-AAD7-44D8-BBD7-CCE9431645EC}">
                        <a14:shadowObscured xmlns:a14="http://schemas.microsoft.com/office/drawing/2010/main"/>
                      </a:ext>
                    </a:extLst>
                  </pic:spPr>
                </pic:pic>
              </a:graphicData>
            </a:graphic>
          </wp:inline>
        </w:drawing>
      </w:r>
    </w:p>
    <w:p w14:paraId="3D0E7A6F" w14:textId="3A31CE84" w:rsidR="00F43B01" w:rsidRPr="00E11FFB" w:rsidRDefault="00F43B01" w:rsidP="00A1032D">
      <w:pPr>
        <w:spacing w:after="5"/>
        <w:ind w:left="20" w:right="28" w:hanging="10"/>
        <w:jc w:val="center"/>
        <w:rPr>
          <w:rFonts w:ascii="Avenir" w:eastAsia="Avenir" w:hAnsi="Avenir" w:cs="Avenir"/>
          <w:color w:val="000000"/>
          <w:sz w:val="20"/>
          <w:szCs w:val="20"/>
        </w:rPr>
      </w:pPr>
      <w:r w:rsidRPr="00E11FFB">
        <w:rPr>
          <w:rFonts w:ascii="Avenir" w:eastAsia="Avenir" w:hAnsi="Avenir" w:cs="Avenir"/>
          <w:color w:val="000000"/>
          <w:sz w:val="20"/>
          <w:szCs w:val="20"/>
        </w:rPr>
        <w:t>Concertation d’une organisation des femmes sur la politique forestière dans l’Equateur</w:t>
      </w:r>
    </w:p>
    <w:p w14:paraId="4D6EC743" w14:textId="77777777" w:rsidR="00103B6C" w:rsidRDefault="00103B6C">
      <w:pPr>
        <w:spacing w:after="5"/>
        <w:ind w:left="20" w:right="28" w:hanging="10"/>
        <w:jc w:val="both"/>
        <w:rPr>
          <w:rFonts w:ascii="Avenir" w:eastAsia="Avenir" w:hAnsi="Avenir" w:cs="Avenir"/>
          <w:i/>
          <w:color w:val="000000"/>
          <w:sz w:val="20"/>
          <w:szCs w:val="20"/>
        </w:rPr>
      </w:pPr>
    </w:p>
    <w:p w14:paraId="7C149163" w14:textId="1A01ADA1" w:rsidR="0024617D" w:rsidRPr="00103B6C" w:rsidRDefault="00C83F85">
      <w:pPr>
        <w:spacing w:after="5"/>
        <w:ind w:left="20" w:right="28" w:hanging="10"/>
        <w:jc w:val="both"/>
        <w:rPr>
          <w:rFonts w:ascii="Avenir" w:eastAsia="Avenir" w:hAnsi="Avenir" w:cs="Avenir"/>
          <w:i/>
          <w:color w:val="000000"/>
          <w:sz w:val="22"/>
          <w:szCs w:val="22"/>
        </w:rPr>
      </w:pPr>
      <w:r w:rsidRPr="00103B6C">
        <w:rPr>
          <w:rFonts w:ascii="Avenir" w:eastAsia="Avenir" w:hAnsi="Avenir" w:cs="Avenir"/>
          <w:i/>
          <w:color w:val="000000"/>
          <w:sz w:val="22"/>
          <w:szCs w:val="22"/>
        </w:rPr>
        <w:t>Y a-t-il eu des obstacles sur le plan de la préparation et la mise en œuvre de ces activités ? Comment le projet les a-t-il surmontés ?</w:t>
      </w:r>
    </w:p>
    <w:p w14:paraId="3C1A8903" w14:textId="77628BBC" w:rsidR="0024617D" w:rsidRPr="00E11FFB" w:rsidRDefault="0024617D">
      <w:pPr>
        <w:spacing w:after="5"/>
        <w:ind w:left="20" w:right="28" w:hanging="10"/>
        <w:jc w:val="both"/>
        <w:rPr>
          <w:rFonts w:ascii="Avenir" w:eastAsia="Avenir" w:hAnsi="Avenir" w:cs="Avenir"/>
          <w:color w:val="000000"/>
        </w:rPr>
      </w:pPr>
    </w:p>
    <w:p w14:paraId="47A0DEFD" w14:textId="7ADDE236" w:rsidR="00803830" w:rsidRPr="00103B6C" w:rsidRDefault="00803830" w:rsidP="008B57D4">
      <w:pPr>
        <w:spacing w:after="5"/>
        <w:ind w:right="28"/>
        <w:jc w:val="both"/>
        <w:rPr>
          <w:rFonts w:ascii="Avenir" w:eastAsia="Avenir" w:hAnsi="Avenir" w:cs="Avenir"/>
          <w:iCs/>
          <w:sz w:val="22"/>
          <w:szCs w:val="22"/>
        </w:rPr>
      </w:pPr>
      <w:r w:rsidRPr="00103B6C">
        <w:rPr>
          <w:rFonts w:ascii="Avenir" w:eastAsia="Avenir" w:hAnsi="Avenir" w:cs="Avenir"/>
          <w:iCs/>
          <w:sz w:val="22"/>
          <w:szCs w:val="22"/>
        </w:rPr>
        <w:t>En dehors d</w:t>
      </w:r>
      <w:r w:rsidR="008B57D4" w:rsidRPr="00103B6C">
        <w:rPr>
          <w:rFonts w:ascii="Avenir" w:eastAsia="Avenir" w:hAnsi="Avenir" w:cs="Avenir"/>
          <w:iCs/>
          <w:sz w:val="22"/>
          <w:szCs w:val="22"/>
        </w:rPr>
        <w:t>u r</w:t>
      </w:r>
      <w:r w:rsidRPr="00103B6C">
        <w:rPr>
          <w:rFonts w:ascii="Avenir" w:eastAsia="Avenir" w:hAnsi="Avenir" w:cs="Avenir"/>
          <w:iCs/>
          <w:sz w:val="22"/>
          <w:szCs w:val="22"/>
        </w:rPr>
        <w:t xml:space="preserve">etard </w:t>
      </w:r>
      <w:r w:rsidR="008B57D4" w:rsidRPr="00103B6C">
        <w:rPr>
          <w:rFonts w:ascii="Avenir" w:eastAsia="Avenir" w:hAnsi="Avenir" w:cs="Avenir"/>
          <w:iCs/>
          <w:sz w:val="22"/>
          <w:szCs w:val="22"/>
        </w:rPr>
        <w:t>enregistré dans la mise en œuvre de certaines activités, parfois pour raison de procédures administratives ou de préalables non réunis</w:t>
      </w:r>
      <w:r w:rsidRPr="00103B6C">
        <w:rPr>
          <w:rFonts w:ascii="Avenir" w:eastAsia="Avenir" w:hAnsi="Avenir" w:cs="Avenir"/>
          <w:iCs/>
          <w:sz w:val="22"/>
          <w:szCs w:val="22"/>
        </w:rPr>
        <w:t>, aucun obstacle majeur programmatique n’a été enregistré</w:t>
      </w:r>
      <w:r w:rsidR="008B57D4" w:rsidRPr="00103B6C">
        <w:rPr>
          <w:rFonts w:ascii="Avenir" w:eastAsia="Avenir" w:hAnsi="Avenir" w:cs="Avenir"/>
          <w:iCs/>
          <w:sz w:val="22"/>
          <w:szCs w:val="22"/>
        </w:rPr>
        <w:t xml:space="preserve">. </w:t>
      </w:r>
    </w:p>
    <w:p w14:paraId="3049F7B8" w14:textId="77777777" w:rsidR="00803830" w:rsidRPr="00E11FFB" w:rsidRDefault="00803830">
      <w:pPr>
        <w:spacing w:after="5"/>
        <w:ind w:left="20" w:right="28" w:hanging="10"/>
        <w:jc w:val="both"/>
        <w:rPr>
          <w:rFonts w:ascii="Avenir" w:eastAsia="Avenir" w:hAnsi="Avenir" w:cs="Avenir"/>
          <w:color w:val="000000"/>
        </w:rPr>
      </w:pPr>
    </w:p>
    <w:p w14:paraId="61071047" w14:textId="77777777" w:rsidR="0024617D" w:rsidRPr="00E11FFB" w:rsidRDefault="00C83F85">
      <w:pPr>
        <w:pStyle w:val="Titre2"/>
      </w:pPr>
      <w:bookmarkStart w:id="42" w:name="_Toc224044730"/>
      <w:r w:rsidRPr="00E11FFB">
        <w:t>9.2 Respect des standards environnementaux et sociaux</w:t>
      </w:r>
      <w:bookmarkEnd w:id="42"/>
    </w:p>
    <w:p w14:paraId="67086BFA" w14:textId="77777777" w:rsidR="0024617D" w:rsidRPr="00E11FFB" w:rsidRDefault="0024617D">
      <w:pPr>
        <w:pBdr>
          <w:top w:val="nil"/>
          <w:left w:val="nil"/>
          <w:bottom w:val="nil"/>
          <w:right w:val="nil"/>
          <w:between w:val="nil"/>
        </w:pBdr>
        <w:ind w:left="20" w:right="28" w:hanging="10"/>
        <w:jc w:val="both"/>
        <w:rPr>
          <w:rFonts w:ascii="Avenir" w:eastAsia="Avenir" w:hAnsi="Avenir" w:cs="Avenir"/>
          <w:color w:val="000000"/>
          <w:sz w:val="16"/>
          <w:szCs w:val="16"/>
        </w:rPr>
      </w:pPr>
    </w:p>
    <w:p w14:paraId="49233D25" w14:textId="77777777" w:rsidR="0024617D" w:rsidRPr="00E11FFB" w:rsidRDefault="00C83F85">
      <w:pPr>
        <w:keepNext/>
        <w:keepLines/>
        <w:numPr>
          <w:ilvl w:val="1"/>
          <w:numId w:val="5"/>
        </w:numPr>
        <w:pBdr>
          <w:top w:val="nil"/>
          <w:left w:val="nil"/>
          <w:bottom w:val="nil"/>
          <w:right w:val="nil"/>
          <w:between w:val="nil"/>
        </w:pBdr>
        <w:spacing w:before="40" w:line="271" w:lineRule="auto"/>
        <w:ind w:right="28"/>
        <w:jc w:val="both"/>
        <w:rPr>
          <w:rFonts w:ascii="Avenir" w:eastAsia="Avenir" w:hAnsi="Avenir" w:cs="Avenir"/>
          <w:i/>
          <w:color w:val="4472C4"/>
        </w:rPr>
      </w:pPr>
      <w:r w:rsidRPr="00E11FFB">
        <w:rPr>
          <w:rFonts w:ascii="Avenir" w:eastAsia="Avenir" w:hAnsi="Avenir" w:cs="Avenir"/>
          <w:i/>
          <w:color w:val="4472C4"/>
        </w:rPr>
        <w:t>Etude d’impact environnemental et social</w:t>
      </w:r>
    </w:p>
    <w:p w14:paraId="223E31E3" w14:textId="77777777" w:rsidR="0024617D" w:rsidRPr="00E11FFB" w:rsidRDefault="00C83F85">
      <w:pPr>
        <w:spacing w:after="5" w:line="271" w:lineRule="auto"/>
        <w:ind w:left="20" w:right="28" w:hanging="10"/>
        <w:jc w:val="both"/>
        <w:rPr>
          <w:rFonts w:ascii="Avenir" w:eastAsia="Avenir" w:hAnsi="Avenir" w:cs="Avenir"/>
          <w:i/>
          <w:color w:val="000000"/>
          <w:sz w:val="20"/>
          <w:szCs w:val="20"/>
        </w:rPr>
      </w:pPr>
      <w:r w:rsidRPr="00E11FFB">
        <w:rPr>
          <w:rFonts w:ascii="Avenir" w:eastAsia="Avenir" w:hAnsi="Avenir" w:cs="Avenir"/>
          <w:i/>
          <w:color w:val="000000"/>
          <w:sz w:val="20"/>
          <w:szCs w:val="20"/>
        </w:rPr>
        <w:t xml:space="preserve">Une étude d’impact environnemental et social a-t-elle été réalisée au cours de ou avant la période sous-examen ? Oui </w:t>
      </w:r>
      <w:r w:rsidRPr="00E11FFB">
        <w:rPr>
          <w:rFonts w:ascii="Arimo" w:eastAsia="Arimo" w:hAnsi="Arimo" w:cs="Arimo"/>
          <w:color w:val="000000"/>
          <w:sz w:val="21"/>
          <w:szCs w:val="21"/>
        </w:rPr>
        <w:t>☐</w:t>
      </w:r>
      <w:r w:rsidRPr="00E11FFB">
        <w:rPr>
          <w:rFonts w:ascii="Avenir" w:eastAsia="Avenir" w:hAnsi="Avenir" w:cs="Avenir"/>
          <w:i/>
          <w:color w:val="000000"/>
          <w:sz w:val="20"/>
          <w:szCs w:val="20"/>
        </w:rPr>
        <w:t xml:space="preserve">, indiquer la date :          </w:t>
      </w:r>
      <w:r w:rsidRPr="00E11FFB">
        <w:rPr>
          <w:rFonts w:ascii="Avenir" w:eastAsia="Avenir" w:hAnsi="Avenir" w:cs="Avenir"/>
          <w:i/>
          <w:color w:val="000000"/>
          <w:sz w:val="20"/>
          <w:szCs w:val="20"/>
        </w:rPr>
        <w:tab/>
      </w:r>
      <w:r w:rsidRPr="00E11FFB">
        <w:rPr>
          <w:rFonts w:ascii="Avenir" w:eastAsia="Avenir" w:hAnsi="Avenir" w:cs="Avenir"/>
          <w:i/>
          <w:color w:val="000000"/>
          <w:sz w:val="20"/>
          <w:szCs w:val="20"/>
        </w:rPr>
        <w:tab/>
        <w:t xml:space="preserve">Non </w:t>
      </w:r>
      <w:r w:rsidRPr="00E11FFB">
        <w:rPr>
          <w:rFonts w:ascii="Arimo" w:eastAsia="Arimo" w:hAnsi="Arimo" w:cs="Arimo"/>
          <w:color w:val="000000" w:themeColor="text1"/>
          <w:sz w:val="21"/>
          <w:szCs w:val="21"/>
          <w:highlight w:val="black"/>
        </w:rPr>
        <w:t>☐</w:t>
      </w:r>
    </w:p>
    <w:p w14:paraId="470C9666" w14:textId="77777777" w:rsidR="0024617D" w:rsidRPr="00E11FFB" w:rsidRDefault="0024617D">
      <w:pPr>
        <w:spacing w:after="5" w:line="271" w:lineRule="auto"/>
        <w:ind w:left="20" w:right="28" w:hanging="10"/>
        <w:jc w:val="both"/>
        <w:rPr>
          <w:rFonts w:ascii="Avenir" w:eastAsia="Avenir" w:hAnsi="Avenir" w:cs="Avenir"/>
          <w:i/>
          <w:color w:val="000000"/>
          <w:sz w:val="20"/>
          <w:szCs w:val="20"/>
        </w:rPr>
      </w:pPr>
    </w:p>
    <w:p w14:paraId="6B27B7C4" w14:textId="77777777" w:rsidR="0024617D" w:rsidRPr="00E11FFB" w:rsidRDefault="00C83F85">
      <w:pPr>
        <w:keepNext/>
        <w:keepLines/>
        <w:numPr>
          <w:ilvl w:val="1"/>
          <w:numId w:val="5"/>
        </w:numPr>
        <w:pBdr>
          <w:top w:val="nil"/>
          <w:left w:val="nil"/>
          <w:bottom w:val="nil"/>
          <w:right w:val="nil"/>
          <w:between w:val="nil"/>
        </w:pBdr>
        <w:spacing w:line="271" w:lineRule="auto"/>
        <w:ind w:right="28"/>
        <w:jc w:val="both"/>
        <w:rPr>
          <w:rFonts w:ascii="Avenir" w:eastAsia="Avenir" w:hAnsi="Avenir" w:cs="Avenir"/>
          <w:i/>
          <w:color w:val="4472C4"/>
        </w:rPr>
      </w:pPr>
      <w:r w:rsidRPr="00E11FFB">
        <w:rPr>
          <w:rFonts w:ascii="Avenir" w:eastAsia="Avenir" w:hAnsi="Avenir" w:cs="Avenir"/>
          <w:i/>
          <w:color w:val="4472C4"/>
        </w:rPr>
        <w:t>Plan de gestion environnementale et sociale</w:t>
      </w:r>
    </w:p>
    <w:p w14:paraId="406BDEF6" w14:textId="77777777" w:rsidR="0024617D" w:rsidRPr="00E11FFB" w:rsidRDefault="00C83F85">
      <w:pPr>
        <w:keepNext/>
        <w:numPr>
          <w:ilvl w:val="0"/>
          <w:numId w:val="4"/>
        </w:numPr>
        <w:spacing w:line="271" w:lineRule="auto"/>
        <w:ind w:right="29"/>
        <w:jc w:val="both"/>
        <w:rPr>
          <w:rFonts w:ascii="Avenir" w:eastAsia="Avenir" w:hAnsi="Avenir" w:cs="Avenir"/>
          <w:i/>
          <w:color w:val="000000"/>
          <w:sz w:val="20"/>
          <w:szCs w:val="20"/>
        </w:rPr>
      </w:pPr>
      <w:r w:rsidRPr="00E11FFB">
        <w:rPr>
          <w:rFonts w:ascii="Avenir" w:eastAsia="Avenir" w:hAnsi="Avenir" w:cs="Avenir"/>
          <w:i/>
          <w:color w:val="000000"/>
          <w:sz w:val="20"/>
          <w:szCs w:val="20"/>
        </w:rPr>
        <w:t xml:space="preserve">Le projet at/il développé un plan de gestion environnemental et sociale (PGES) : Oui </w:t>
      </w:r>
      <w:r w:rsidRPr="00E11FFB">
        <w:rPr>
          <w:rFonts w:ascii="Arimo" w:eastAsia="Arimo" w:hAnsi="Arimo" w:cs="Arimo"/>
          <w:color w:val="000000"/>
          <w:sz w:val="20"/>
          <w:szCs w:val="20"/>
        </w:rPr>
        <w:t>☐</w:t>
      </w:r>
      <w:r w:rsidRPr="00E11FFB">
        <w:rPr>
          <w:rFonts w:ascii="Avenir" w:eastAsia="Avenir" w:hAnsi="Avenir" w:cs="Avenir"/>
          <w:color w:val="000000"/>
          <w:sz w:val="20"/>
          <w:szCs w:val="20"/>
        </w:rPr>
        <w:t xml:space="preserve"> </w:t>
      </w:r>
      <w:r w:rsidRPr="00E11FFB">
        <w:rPr>
          <w:rFonts w:ascii="Avenir" w:eastAsia="Avenir" w:hAnsi="Avenir" w:cs="Avenir"/>
          <w:i/>
          <w:color w:val="000000"/>
          <w:sz w:val="20"/>
          <w:szCs w:val="20"/>
        </w:rPr>
        <w:t xml:space="preserve">      Non </w:t>
      </w:r>
      <w:r w:rsidRPr="00E11FFB">
        <w:rPr>
          <w:rFonts w:ascii="Arimo" w:eastAsia="Arimo" w:hAnsi="Arimo" w:cs="Arimo"/>
          <w:color w:val="000000"/>
          <w:sz w:val="21"/>
          <w:szCs w:val="21"/>
          <w:highlight w:val="black"/>
        </w:rPr>
        <w:t>☐</w:t>
      </w:r>
    </w:p>
    <w:p w14:paraId="05555112" w14:textId="77777777" w:rsidR="0024617D" w:rsidRPr="00E11FFB" w:rsidRDefault="00C83F85">
      <w:pPr>
        <w:keepNext/>
        <w:spacing w:after="5" w:line="271" w:lineRule="auto"/>
        <w:ind w:left="20" w:right="29" w:hanging="10"/>
        <w:jc w:val="both"/>
        <w:rPr>
          <w:rFonts w:ascii="Avenir" w:eastAsia="Avenir" w:hAnsi="Avenir" w:cs="Avenir"/>
          <w:i/>
          <w:color w:val="000000"/>
          <w:sz w:val="20"/>
          <w:szCs w:val="20"/>
        </w:rPr>
      </w:pPr>
      <w:r w:rsidRPr="00E11FFB">
        <w:rPr>
          <w:rFonts w:ascii="Avenir" w:eastAsia="Avenir" w:hAnsi="Avenir" w:cs="Avenir"/>
          <w:i/>
          <w:color w:val="000000"/>
          <w:sz w:val="20"/>
          <w:szCs w:val="20"/>
        </w:rPr>
        <w:t>Dans l’affirmative, veuillez</w:t>
      </w:r>
    </w:p>
    <w:p w14:paraId="5ADD7030" w14:textId="77777777" w:rsidR="0024617D" w:rsidRPr="00E11FFB" w:rsidRDefault="0024617D">
      <w:pPr>
        <w:keepNext/>
        <w:keepLines/>
        <w:pBdr>
          <w:top w:val="nil"/>
          <w:left w:val="nil"/>
          <w:bottom w:val="nil"/>
          <w:right w:val="nil"/>
          <w:between w:val="nil"/>
        </w:pBdr>
        <w:spacing w:line="271" w:lineRule="auto"/>
        <w:ind w:left="1090" w:right="28"/>
        <w:jc w:val="both"/>
        <w:rPr>
          <w:rFonts w:ascii="Avenir" w:eastAsia="Avenir" w:hAnsi="Avenir" w:cs="Avenir"/>
          <w:i/>
          <w:color w:val="4472C4"/>
        </w:rPr>
      </w:pPr>
    </w:p>
    <w:p w14:paraId="7C25D439" w14:textId="77777777" w:rsidR="0024617D" w:rsidRPr="00E11FFB" w:rsidRDefault="00C83F85">
      <w:pPr>
        <w:numPr>
          <w:ilvl w:val="1"/>
          <w:numId w:val="5"/>
        </w:numPr>
        <w:pBdr>
          <w:top w:val="nil"/>
          <w:left w:val="nil"/>
          <w:bottom w:val="nil"/>
          <w:right w:val="nil"/>
          <w:between w:val="nil"/>
        </w:pBdr>
        <w:spacing w:line="271" w:lineRule="auto"/>
        <w:ind w:right="28"/>
        <w:jc w:val="both"/>
        <w:rPr>
          <w:rFonts w:ascii="Avenir" w:eastAsia="Avenir" w:hAnsi="Avenir" w:cs="Avenir"/>
          <w:i/>
          <w:color w:val="4472C4"/>
        </w:rPr>
      </w:pPr>
      <w:r w:rsidRPr="00E11FFB">
        <w:rPr>
          <w:rFonts w:ascii="Avenir" w:eastAsia="Avenir" w:hAnsi="Avenir" w:cs="Avenir"/>
          <w:i/>
          <w:color w:val="4472C4"/>
        </w:rPr>
        <w:t>Gestion des plaintes et recours</w:t>
      </w:r>
    </w:p>
    <w:p w14:paraId="524B9966" w14:textId="77777777" w:rsidR="0024617D" w:rsidRPr="00E11FFB" w:rsidRDefault="0024617D">
      <w:pPr>
        <w:pBdr>
          <w:top w:val="nil"/>
          <w:left w:val="nil"/>
          <w:bottom w:val="nil"/>
          <w:right w:val="nil"/>
          <w:between w:val="nil"/>
        </w:pBdr>
        <w:spacing w:after="5" w:line="271" w:lineRule="auto"/>
        <w:ind w:left="1090" w:right="28"/>
        <w:jc w:val="both"/>
        <w:rPr>
          <w:rFonts w:ascii="Avenir" w:eastAsia="Avenir" w:hAnsi="Avenir" w:cs="Avenir"/>
          <w:i/>
          <w:color w:val="4472C4"/>
        </w:rPr>
      </w:pPr>
    </w:p>
    <w:p w14:paraId="22CBBC51" w14:textId="77DA8C82" w:rsidR="00EF4D4E" w:rsidRPr="00103B6C" w:rsidRDefault="00EF4D4E" w:rsidP="00EF4D4E">
      <w:pPr>
        <w:rPr>
          <w:rFonts w:ascii="Avenir" w:hAnsi="Avenir"/>
          <w:sz w:val="22"/>
          <w:szCs w:val="22"/>
        </w:rPr>
      </w:pPr>
      <w:r w:rsidRPr="00103B6C">
        <w:rPr>
          <w:rFonts w:ascii="Avenir" w:hAnsi="Avenir"/>
          <w:sz w:val="22"/>
          <w:szCs w:val="22"/>
        </w:rPr>
        <w:t xml:space="preserve">Un </w:t>
      </w:r>
      <w:hyperlink r:id="rId81" w:history="1">
        <w:r w:rsidRPr="00103B6C">
          <w:rPr>
            <w:rStyle w:val="Lienhypertexte"/>
            <w:rFonts w:ascii="Avenir" w:hAnsi="Avenir"/>
            <w:sz w:val="22"/>
            <w:szCs w:val="22"/>
          </w:rPr>
          <w:t>m</w:t>
        </w:r>
        <w:r w:rsidRPr="00103B6C">
          <w:rPr>
            <w:rStyle w:val="Lienhypertexte"/>
            <w:rFonts w:ascii="Avenir" w:hAnsi="Avenir" w:hint="eastAsia"/>
            <w:sz w:val="22"/>
            <w:szCs w:val="22"/>
          </w:rPr>
          <w:t>é</w:t>
        </w:r>
        <w:r w:rsidRPr="00103B6C">
          <w:rPr>
            <w:rStyle w:val="Lienhypertexte"/>
            <w:rFonts w:ascii="Avenir" w:hAnsi="Avenir"/>
            <w:sz w:val="22"/>
            <w:szCs w:val="22"/>
          </w:rPr>
          <w:t>canisme de plainte</w:t>
        </w:r>
      </w:hyperlink>
      <w:r w:rsidRPr="00103B6C">
        <w:rPr>
          <w:rFonts w:ascii="Avenir" w:hAnsi="Avenir"/>
          <w:sz w:val="22"/>
          <w:szCs w:val="22"/>
        </w:rPr>
        <w:t xml:space="preserve"> est en place depuis 2022</w:t>
      </w:r>
      <w:r w:rsidR="00570061">
        <w:rPr>
          <w:rFonts w:ascii="Avenir" w:hAnsi="Avenir"/>
          <w:sz w:val="22"/>
          <w:szCs w:val="22"/>
        </w:rPr>
        <w:t xml:space="preserve"> pour tous les projets du PNUD dont le PAAJ</w:t>
      </w:r>
      <w:r w:rsidRPr="00103B6C">
        <w:rPr>
          <w:rFonts w:ascii="Avenir" w:hAnsi="Avenir"/>
          <w:sz w:val="22"/>
          <w:szCs w:val="22"/>
        </w:rPr>
        <w:t>. Il a pour objectif de :</w:t>
      </w:r>
    </w:p>
    <w:p w14:paraId="7D042CF0"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Informer les partenaires, b</w:t>
      </w:r>
      <w:r w:rsidRPr="00103B6C">
        <w:rPr>
          <w:rFonts w:ascii="Avenir" w:hAnsi="Avenir" w:hint="eastAsia"/>
          <w:sz w:val="22"/>
          <w:szCs w:val="22"/>
        </w:rPr>
        <w:t>é</w:t>
      </w:r>
      <w:r w:rsidRPr="00103B6C">
        <w:rPr>
          <w:rFonts w:ascii="Avenir" w:hAnsi="Avenir"/>
          <w:sz w:val="22"/>
          <w:szCs w:val="22"/>
        </w:rPr>
        <w:t>n</w:t>
      </w:r>
      <w:r w:rsidRPr="00103B6C">
        <w:rPr>
          <w:rFonts w:ascii="Avenir" w:hAnsi="Avenir" w:hint="eastAsia"/>
          <w:sz w:val="22"/>
          <w:szCs w:val="22"/>
        </w:rPr>
        <w:t>é</w:t>
      </w:r>
      <w:r w:rsidRPr="00103B6C">
        <w:rPr>
          <w:rFonts w:ascii="Avenir" w:hAnsi="Avenir"/>
          <w:sz w:val="22"/>
          <w:szCs w:val="22"/>
        </w:rPr>
        <w:t>ficiaires ou autres parties prenantes de leurs droits de communiquer au PNUD leurs pr</w:t>
      </w:r>
      <w:r w:rsidRPr="00103B6C">
        <w:rPr>
          <w:rFonts w:ascii="Avenir" w:hAnsi="Avenir" w:hint="eastAsia"/>
          <w:sz w:val="22"/>
          <w:szCs w:val="22"/>
        </w:rPr>
        <w:t>é</w:t>
      </w:r>
      <w:r w:rsidRPr="00103B6C">
        <w:rPr>
          <w:rFonts w:ascii="Avenir" w:hAnsi="Avenir"/>
          <w:sz w:val="22"/>
          <w:szCs w:val="22"/>
        </w:rPr>
        <w:t>occupations ou plaintes ;</w:t>
      </w:r>
      <w:r w:rsidRPr="00103B6C">
        <w:rPr>
          <w:rFonts w:ascii="Avenir" w:hAnsi="Avenir" w:hint="eastAsia"/>
          <w:sz w:val="22"/>
          <w:szCs w:val="22"/>
        </w:rPr>
        <w:t> </w:t>
      </w:r>
    </w:p>
    <w:p w14:paraId="243CF843"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 xml:space="preserve">Permettre au PNUD de rectifier ou de corriger les erreurs </w:t>
      </w:r>
      <w:r w:rsidRPr="00103B6C">
        <w:rPr>
          <w:rFonts w:ascii="Avenir" w:hAnsi="Avenir" w:hint="eastAsia"/>
          <w:sz w:val="22"/>
          <w:szCs w:val="22"/>
        </w:rPr>
        <w:t>é</w:t>
      </w:r>
      <w:r w:rsidRPr="00103B6C">
        <w:rPr>
          <w:rFonts w:ascii="Avenir" w:hAnsi="Avenir"/>
          <w:sz w:val="22"/>
          <w:szCs w:val="22"/>
        </w:rPr>
        <w:t>ventuelles ;</w:t>
      </w:r>
      <w:r w:rsidRPr="00103B6C">
        <w:rPr>
          <w:rFonts w:ascii="Avenir" w:hAnsi="Avenir" w:hint="eastAsia"/>
          <w:sz w:val="22"/>
          <w:szCs w:val="22"/>
        </w:rPr>
        <w:t> </w:t>
      </w:r>
    </w:p>
    <w:p w14:paraId="520CEC98"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Am</w:t>
      </w:r>
      <w:r w:rsidRPr="00103B6C">
        <w:rPr>
          <w:rFonts w:ascii="Avenir" w:hAnsi="Avenir" w:hint="eastAsia"/>
          <w:sz w:val="22"/>
          <w:szCs w:val="22"/>
        </w:rPr>
        <w:t>é</w:t>
      </w:r>
      <w:r w:rsidRPr="00103B6C">
        <w:rPr>
          <w:rFonts w:ascii="Avenir" w:hAnsi="Avenir"/>
          <w:sz w:val="22"/>
          <w:szCs w:val="22"/>
        </w:rPr>
        <w:t>liorer la redevabilité du PNUD envers ses partenaires et b</w:t>
      </w:r>
      <w:r w:rsidRPr="00103B6C">
        <w:rPr>
          <w:rFonts w:ascii="Avenir" w:hAnsi="Avenir" w:hint="eastAsia"/>
          <w:sz w:val="22"/>
          <w:szCs w:val="22"/>
        </w:rPr>
        <w:t>é</w:t>
      </w:r>
      <w:r w:rsidRPr="00103B6C">
        <w:rPr>
          <w:rFonts w:ascii="Avenir" w:hAnsi="Avenir"/>
          <w:sz w:val="22"/>
          <w:szCs w:val="22"/>
        </w:rPr>
        <w:t>n</w:t>
      </w:r>
      <w:r w:rsidRPr="00103B6C">
        <w:rPr>
          <w:rFonts w:ascii="Avenir" w:hAnsi="Avenir" w:hint="eastAsia"/>
          <w:sz w:val="22"/>
          <w:szCs w:val="22"/>
        </w:rPr>
        <w:t>é</w:t>
      </w:r>
      <w:r w:rsidRPr="00103B6C">
        <w:rPr>
          <w:rFonts w:ascii="Avenir" w:hAnsi="Avenir"/>
          <w:sz w:val="22"/>
          <w:szCs w:val="22"/>
        </w:rPr>
        <w:t>ficiaires du projet ;</w:t>
      </w:r>
      <w:r w:rsidRPr="00103B6C">
        <w:rPr>
          <w:rFonts w:ascii="Avenir" w:hAnsi="Avenir" w:hint="eastAsia"/>
          <w:sz w:val="22"/>
          <w:szCs w:val="22"/>
        </w:rPr>
        <w:t> </w:t>
      </w:r>
    </w:p>
    <w:p w14:paraId="54DD5D48"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Maintenir la coh</w:t>
      </w:r>
      <w:r w:rsidRPr="00103B6C">
        <w:rPr>
          <w:rFonts w:ascii="Avenir" w:hAnsi="Avenir" w:hint="eastAsia"/>
          <w:sz w:val="22"/>
          <w:szCs w:val="22"/>
        </w:rPr>
        <w:t>é</w:t>
      </w:r>
      <w:r w:rsidRPr="00103B6C">
        <w:rPr>
          <w:rFonts w:ascii="Avenir" w:hAnsi="Avenir"/>
          <w:sz w:val="22"/>
          <w:szCs w:val="22"/>
        </w:rPr>
        <w:t>sion sociale dans la zone du projet et promouvoir la r</w:t>
      </w:r>
      <w:r w:rsidRPr="00103B6C">
        <w:rPr>
          <w:rFonts w:ascii="Avenir" w:hAnsi="Avenir" w:hint="eastAsia"/>
          <w:sz w:val="22"/>
          <w:szCs w:val="22"/>
        </w:rPr>
        <w:t>é</w:t>
      </w:r>
      <w:r w:rsidRPr="00103B6C">
        <w:rPr>
          <w:rFonts w:ascii="Avenir" w:hAnsi="Avenir"/>
          <w:sz w:val="22"/>
          <w:szCs w:val="22"/>
        </w:rPr>
        <w:t>silience communautaire ;</w:t>
      </w:r>
      <w:r w:rsidRPr="00103B6C">
        <w:rPr>
          <w:rFonts w:ascii="Avenir" w:hAnsi="Avenir" w:hint="eastAsia"/>
          <w:sz w:val="22"/>
          <w:szCs w:val="22"/>
        </w:rPr>
        <w:t> </w:t>
      </w:r>
    </w:p>
    <w:p w14:paraId="4B5079BC"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Offrir un cadre d</w:t>
      </w:r>
      <w:r w:rsidRPr="00103B6C">
        <w:rPr>
          <w:rFonts w:ascii="Avenir" w:hAnsi="Avenir" w:hint="eastAsia"/>
          <w:sz w:val="22"/>
          <w:szCs w:val="22"/>
        </w:rPr>
        <w:t>’</w:t>
      </w:r>
      <w:r w:rsidRPr="00103B6C">
        <w:rPr>
          <w:rFonts w:ascii="Avenir" w:hAnsi="Avenir"/>
          <w:sz w:val="22"/>
          <w:szCs w:val="22"/>
        </w:rPr>
        <w:t>expression aux b</w:t>
      </w:r>
      <w:r w:rsidRPr="00103B6C">
        <w:rPr>
          <w:rFonts w:ascii="Avenir" w:hAnsi="Avenir" w:hint="eastAsia"/>
          <w:sz w:val="22"/>
          <w:szCs w:val="22"/>
        </w:rPr>
        <w:t>é</w:t>
      </w:r>
      <w:r w:rsidRPr="00103B6C">
        <w:rPr>
          <w:rFonts w:ascii="Avenir" w:hAnsi="Avenir"/>
          <w:sz w:val="22"/>
          <w:szCs w:val="22"/>
        </w:rPr>
        <w:t>n</w:t>
      </w:r>
      <w:r w:rsidRPr="00103B6C">
        <w:rPr>
          <w:rFonts w:ascii="Avenir" w:hAnsi="Avenir" w:hint="eastAsia"/>
          <w:sz w:val="22"/>
          <w:szCs w:val="22"/>
        </w:rPr>
        <w:t>é</w:t>
      </w:r>
      <w:r w:rsidRPr="00103B6C">
        <w:rPr>
          <w:rFonts w:ascii="Avenir" w:hAnsi="Avenir"/>
          <w:sz w:val="22"/>
          <w:szCs w:val="22"/>
        </w:rPr>
        <w:t xml:space="preserve">ficiaires et assurer une participation ouverte </w:t>
      </w:r>
      <w:r w:rsidRPr="00103B6C">
        <w:rPr>
          <w:rFonts w:ascii="Avenir" w:hAnsi="Avenir" w:hint="eastAsia"/>
          <w:sz w:val="22"/>
          <w:szCs w:val="22"/>
        </w:rPr>
        <w:t>à</w:t>
      </w:r>
      <w:r w:rsidRPr="00103B6C">
        <w:rPr>
          <w:rFonts w:ascii="Avenir" w:hAnsi="Avenir"/>
          <w:sz w:val="22"/>
          <w:szCs w:val="22"/>
        </w:rPr>
        <w:t xml:space="preserve"> tous les membres de la communaut</w:t>
      </w:r>
      <w:r w:rsidRPr="00103B6C">
        <w:rPr>
          <w:rFonts w:ascii="Avenir" w:hAnsi="Avenir" w:hint="eastAsia"/>
          <w:sz w:val="22"/>
          <w:szCs w:val="22"/>
        </w:rPr>
        <w:t>é </w:t>
      </w:r>
      <w:r w:rsidRPr="00103B6C">
        <w:rPr>
          <w:rFonts w:ascii="Avenir" w:hAnsi="Avenir"/>
          <w:sz w:val="22"/>
          <w:szCs w:val="22"/>
        </w:rPr>
        <w:t>;</w:t>
      </w:r>
      <w:r w:rsidRPr="00103B6C">
        <w:rPr>
          <w:rFonts w:ascii="Avenir" w:hAnsi="Avenir" w:hint="eastAsia"/>
          <w:sz w:val="22"/>
          <w:szCs w:val="22"/>
        </w:rPr>
        <w:t> </w:t>
      </w:r>
    </w:p>
    <w:p w14:paraId="695AEE52"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Donner l'acc</w:t>
      </w:r>
      <w:r w:rsidRPr="00103B6C">
        <w:rPr>
          <w:rFonts w:ascii="Avenir" w:hAnsi="Avenir" w:hint="eastAsia"/>
          <w:sz w:val="22"/>
          <w:szCs w:val="22"/>
        </w:rPr>
        <w:t>è</w:t>
      </w:r>
      <w:r w:rsidRPr="00103B6C">
        <w:rPr>
          <w:rFonts w:ascii="Avenir" w:hAnsi="Avenir"/>
          <w:sz w:val="22"/>
          <w:szCs w:val="22"/>
        </w:rPr>
        <w:t xml:space="preserve">s </w:t>
      </w:r>
      <w:r w:rsidRPr="00103B6C">
        <w:rPr>
          <w:rFonts w:ascii="Avenir" w:hAnsi="Avenir" w:hint="eastAsia"/>
          <w:sz w:val="22"/>
          <w:szCs w:val="22"/>
        </w:rPr>
        <w:t>à</w:t>
      </w:r>
      <w:r w:rsidRPr="00103B6C">
        <w:rPr>
          <w:rFonts w:ascii="Avenir" w:hAnsi="Avenir"/>
          <w:sz w:val="22"/>
          <w:szCs w:val="22"/>
        </w:rPr>
        <w:t xml:space="preserve"> un syst</w:t>
      </w:r>
      <w:r w:rsidRPr="00103B6C">
        <w:rPr>
          <w:rFonts w:ascii="Avenir" w:eastAsia="DengXian" w:hAnsi="Avenir" w:hint="eastAsia"/>
          <w:sz w:val="22"/>
          <w:szCs w:val="22"/>
        </w:rPr>
        <w:t>è</w:t>
      </w:r>
      <w:r w:rsidRPr="00103B6C">
        <w:rPr>
          <w:rFonts w:ascii="Avenir" w:hAnsi="Avenir"/>
          <w:sz w:val="22"/>
          <w:szCs w:val="22"/>
        </w:rPr>
        <w:t>me clair et transparent de r</w:t>
      </w:r>
      <w:r w:rsidRPr="00103B6C">
        <w:rPr>
          <w:rFonts w:ascii="Avenir" w:hAnsi="Avenir" w:hint="eastAsia"/>
          <w:sz w:val="22"/>
          <w:szCs w:val="22"/>
        </w:rPr>
        <w:t>é</w:t>
      </w:r>
      <w:r w:rsidRPr="00103B6C">
        <w:rPr>
          <w:rFonts w:ascii="Avenir" w:hAnsi="Avenir"/>
          <w:sz w:val="22"/>
          <w:szCs w:val="22"/>
        </w:rPr>
        <w:t>solution des litiges et autres dol</w:t>
      </w:r>
      <w:r w:rsidRPr="00103B6C">
        <w:rPr>
          <w:rFonts w:ascii="Avenir" w:hAnsi="Avenir" w:hint="eastAsia"/>
          <w:sz w:val="22"/>
          <w:szCs w:val="22"/>
        </w:rPr>
        <w:t>é</w:t>
      </w:r>
      <w:r w:rsidRPr="00103B6C">
        <w:rPr>
          <w:rFonts w:ascii="Avenir" w:hAnsi="Avenir"/>
          <w:sz w:val="22"/>
          <w:szCs w:val="22"/>
        </w:rPr>
        <w:t>ances et retours en lien avec le PNUD ;</w:t>
      </w:r>
      <w:r w:rsidRPr="00103B6C">
        <w:rPr>
          <w:rFonts w:ascii="Avenir" w:hAnsi="Avenir" w:hint="eastAsia"/>
          <w:sz w:val="22"/>
          <w:szCs w:val="22"/>
        </w:rPr>
        <w:t> </w:t>
      </w:r>
    </w:p>
    <w:p w14:paraId="6075B580"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Recueillir les avis et suggestions des parties prenantes sur les activit</w:t>
      </w:r>
      <w:r w:rsidRPr="00103B6C">
        <w:rPr>
          <w:rFonts w:ascii="Avenir" w:hAnsi="Avenir" w:hint="eastAsia"/>
          <w:sz w:val="22"/>
          <w:szCs w:val="22"/>
        </w:rPr>
        <w:t>é</w:t>
      </w:r>
      <w:r w:rsidRPr="00103B6C">
        <w:rPr>
          <w:rFonts w:ascii="Avenir" w:hAnsi="Avenir"/>
          <w:sz w:val="22"/>
          <w:szCs w:val="22"/>
        </w:rPr>
        <w:t>s financ</w:t>
      </w:r>
      <w:r w:rsidRPr="00103B6C">
        <w:rPr>
          <w:rFonts w:ascii="Avenir" w:hAnsi="Avenir" w:hint="eastAsia"/>
          <w:sz w:val="22"/>
          <w:szCs w:val="22"/>
        </w:rPr>
        <w:t>é</w:t>
      </w:r>
      <w:r w:rsidRPr="00103B6C">
        <w:rPr>
          <w:rFonts w:ascii="Avenir" w:hAnsi="Avenir"/>
          <w:sz w:val="22"/>
          <w:szCs w:val="22"/>
        </w:rPr>
        <w:t>es par le PNUD.</w:t>
      </w:r>
      <w:r w:rsidRPr="00103B6C">
        <w:rPr>
          <w:rFonts w:ascii="Avenir" w:hAnsi="Avenir" w:hint="eastAsia"/>
          <w:sz w:val="22"/>
          <w:szCs w:val="22"/>
        </w:rPr>
        <w:t> </w:t>
      </w:r>
    </w:p>
    <w:p w14:paraId="1EC0D70E" w14:textId="77777777" w:rsidR="00EF4D4E" w:rsidRPr="00103B6C" w:rsidRDefault="00EF4D4E" w:rsidP="00EF4D4E">
      <w:pPr>
        <w:pStyle w:val="Paragraphedeliste"/>
        <w:numPr>
          <w:ilvl w:val="0"/>
          <w:numId w:val="38"/>
        </w:numPr>
        <w:spacing w:after="5"/>
        <w:ind w:right="28"/>
        <w:jc w:val="both"/>
        <w:rPr>
          <w:rFonts w:ascii="Avenir" w:hAnsi="Avenir"/>
          <w:sz w:val="22"/>
          <w:szCs w:val="22"/>
        </w:rPr>
      </w:pPr>
      <w:r w:rsidRPr="00103B6C">
        <w:rPr>
          <w:rFonts w:ascii="Avenir" w:hAnsi="Avenir"/>
          <w:sz w:val="22"/>
          <w:szCs w:val="22"/>
        </w:rPr>
        <w:t>Documenter les suggestions, les plaintes ou les abus constat</w:t>
      </w:r>
      <w:r w:rsidRPr="00103B6C">
        <w:rPr>
          <w:rFonts w:ascii="Avenir" w:hAnsi="Avenir" w:hint="eastAsia"/>
          <w:sz w:val="22"/>
          <w:szCs w:val="22"/>
        </w:rPr>
        <w:t>é</w:t>
      </w:r>
      <w:r w:rsidRPr="00103B6C">
        <w:rPr>
          <w:rFonts w:ascii="Avenir" w:hAnsi="Avenir"/>
          <w:sz w:val="22"/>
          <w:szCs w:val="22"/>
        </w:rPr>
        <w:t xml:space="preserve">s afin de permettre aux partenaires de mise en </w:t>
      </w:r>
      <w:r w:rsidRPr="00103B6C">
        <w:rPr>
          <w:rFonts w:ascii="Avenir" w:hAnsi="Avenir" w:hint="eastAsia"/>
          <w:sz w:val="22"/>
          <w:szCs w:val="22"/>
        </w:rPr>
        <w:t>œ</w:t>
      </w:r>
      <w:r w:rsidRPr="00103B6C">
        <w:rPr>
          <w:rFonts w:ascii="Avenir" w:hAnsi="Avenir"/>
          <w:sz w:val="22"/>
          <w:szCs w:val="22"/>
        </w:rPr>
        <w:t>uvre d'y r</w:t>
      </w:r>
      <w:r w:rsidRPr="00103B6C">
        <w:rPr>
          <w:rFonts w:ascii="Avenir" w:hAnsi="Avenir" w:hint="eastAsia"/>
          <w:sz w:val="22"/>
          <w:szCs w:val="22"/>
        </w:rPr>
        <w:t>é</w:t>
      </w:r>
      <w:r w:rsidRPr="00103B6C">
        <w:rPr>
          <w:rFonts w:ascii="Avenir" w:hAnsi="Avenir"/>
          <w:sz w:val="22"/>
          <w:szCs w:val="22"/>
        </w:rPr>
        <w:t>pondre.</w:t>
      </w:r>
    </w:p>
    <w:p w14:paraId="40C5A05B" w14:textId="77777777" w:rsidR="00103B6C" w:rsidRDefault="00EF4D4E" w:rsidP="00103B6C">
      <w:pPr>
        <w:spacing w:after="5"/>
        <w:ind w:left="10" w:right="28"/>
        <w:jc w:val="center"/>
        <w:rPr>
          <w:rFonts w:ascii="Avenir" w:eastAsia="Avenir" w:hAnsi="Avenir" w:cs="Avenir"/>
          <w:iCs/>
          <w:color w:val="000000"/>
          <w:sz w:val="21"/>
          <w:szCs w:val="21"/>
        </w:rPr>
      </w:pPr>
      <w:r w:rsidRPr="00E11FFB">
        <w:rPr>
          <w:rFonts w:ascii="Avenir" w:eastAsia="Avenir" w:hAnsi="Avenir" w:cs="Avenir"/>
          <w:i/>
          <w:noProof/>
          <w:color w:val="000000"/>
          <w:sz w:val="18"/>
          <w:szCs w:val="18"/>
        </w:rPr>
        <w:drawing>
          <wp:inline distT="0" distB="0" distL="0" distR="0" wp14:anchorId="0F168F2D" wp14:editId="6F7F7767">
            <wp:extent cx="5129530" cy="2888615"/>
            <wp:effectExtent l="76200" t="76200" r="128270" b="1403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5138286" cy="28939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0CC1B0A6" w14:textId="77777777" w:rsidR="00103B6C" w:rsidRDefault="00103B6C" w:rsidP="00103B6C">
      <w:pPr>
        <w:spacing w:after="5"/>
        <w:ind w:left="10" w:right="28"/>
        <w:jc w:val="center"/>
        <w:rPr>
          <w:rFonts w:ascii="Avenir" w:eastAsia="Avenir" w:hAnsi="Avenir" w:cs="Avenir"/>
          <w:iCs/>
          <w:color w:val="000000"/>
          <w:sz w:val="21"/>
          <w:szCs w:val="21"/>
        </w:rPr>
      </w:pPr>
    </w:p>
    <w:p w14:paraId="38641F0F" w14:textId="2DE36AA0" w:rsidR="0024617D" w:rsidRPr="00103B6C" w:rsidRDefault="00B75DD0">
      <w:pPr>
        <w:pBdr>
          <w:top w:val="nil"/>
          <w:left w:val="nil"/>
          <w:bottom w:val="nil"/>
          <w:right w:val="nil"/>
          <w:between w:val="nil"/>
        </w:pBdr>
        <w:spacing w:after="5" w:line="271" w:lineRule="auto"/>
        <w:ind w:left="10" w:right="28"/>
        <w:jc w:val="both"/>
        <w:rPr>
          <w:rFonts w:ascii="Avenir" w:eastAsia="Avenir" w:hAnsi="Avenir" w:cs="Avenir"/>
          <w:i/>
          <w:color w:val="000000"/>
          <w:sz w:val="22"/>
          <w:szCs w:val="22"/>
          <w:highlight w:val="yellow"/>
        </w:rPr>
      </w:pPr>
      <w:r w:rsidRPr="00103B6C">
        <w:rPr>
          <w:rFonts w:ascii="Avenir" w:eastAsia="Avenir" w:hAnsi="Avenir" w:cs="Avenir"/>
          <w:iCs/>
          <w:color w:val="000000"/>
          <w:sz w:val="22"/>
          <w:szCs w:val="22"/>
        </w:rPr>
        <w:t>Aucune plainte n’a été enregistrée au cours de la période sous examen. Les formations et les activités de sensibilisation sur ce mécanisme ont été réalisées au démarrage du projet, en même temps que celles relatives aux outils du partenariat (FACE, ICE).</w:t>
      </w:r>
    </w:p>
    <w:tbl>
      <w:tblPr>
        <w:tblStyle w:val="6"/>
        <w:tblW w:w="8534"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62"/>
        <w:gridCol w:w="984"/>
        <w:gridCol w:w="2058"/>
        <w:gridCol w:w="2904"/>
        <w:gridCol w:w="2126"/>
      </w:tblGrid>
      <w:tr w:rsidR="0024617D" w:rsidRPr="00103B6C" w14:paraId="1598294F" w14:textId="77777777" w:rsidTr="00103B6C">
        <w:trPr>
          <w:trHeight w:val="660"/>
        </w:trPr>
        <w:tc>
          <w:tcPr>
            <w:tcW w:w="462" w:type="dxa"/>
            <w:tcBorders>
              <w:top w:val="single" w:sz="4" w:space="0" w:color="000000"/>
              <w:left w:val="single" w:sz="4" w:space="0" w:color="000000"/>
              <w:bottom w:val="single" w:sz="4" w:space="0" w:color="000000"/>
              <w:right w:val="single" w:sz="4" w:space="0" w:color="000000"/>
            </w:tcBorders>
            <w:vAlign w:val="center"/>
          </w:tcPr>
          <w:p w14:paraId="74085551" w14:textId="77777777" w:rsidR="0024617D" w:rsidRPr="00103B6C" w:rsidRDefault="00C83F85">
            <w:pPr>
              <w:spacing w:after="5"/>
              <w:rPr>
                <w:rFonts w:ascii="Avenir" w:eastAsia="Avenir" w:hAnsi="Avenir" w:cs="Avenir"/>
                <w:b/>
                <w:color w:val="000000"/>
                <w:sz w:val="18"/>
                <w:szCs w:val="18"/>
              </w:rPr>
            </w:pPr>
            <w:r w:rsidRPr="00103B6C">
              <w:rPr>
                <w:rFonts w:ascii="Avenir" w:eastAsia="Avenir" w:hAnsi="Avenir" w:cs="Avenir"/>
                <w:b/>
                <w:color w:val="000000"/>
                <w:sz w:val="18"/>
                <w:szCs w:val="18"/>
              </w:rPr>
              <w:t>N°</w:t>
            </w:r>
          </w:p>
        </w:tc>
        <w:tc>
          <w:tcPr>
            <w:tcW w:w="984" w:type="dxa"/>
            <w:tcBorders>
              <w:top w:val="single" w:sz="4" w:space="0" w:color="000000"/>
              <w:left w:val="nil"/>
              <w:bottom w:val="single" w:sz="4" w:space="0" w:color="000000"/>
              <w:right w:val="single" w:sz="4" w:space="0" w:color="000000"/>
            </w:tcBorders>
            <w:vAlign w:val="center"/>
          </w:tcPr>
          <w:p w14:paraId="7EBE0094" w14:textId="77777777" w:rsidR="0024617D" w:rsidRPr="00103B6C" w:rsidRDefault="00C83F85">
            <w:pPr>
              <w:spacing w:after="5"/>
              <w:rPr>
                <w:rFonts w:ascii="Avenir" w:eastAsia="Avenir" w:hAnsi="Avenir" w:cs="Avenir"/>
                <w:b/>
                <w:color w:val="000000"/>
                <w:sz w:val="18"/>
                <w:szCs w:val="18"/>
              </w:rPr>
            </w:pPr>
            <w:r w:rsidRPr="00103B6C">
              <w:rPr>
                <w:rFonts w:ascii="Avenir" w:eastAsia="Avenir" w:hAnsi="Avenir" w:cs="Avenir"/>
                <w:b/>
                <w:color w:val="000000"/>
                <w:sz w:val="18"/>
                <w:szCs w:val="18"/>
              </w:rPr>
              <w:t xml:space="preserve">Lieu </w:t>
            </w:r>
          </w:p>
        </w:tc>
        <w:tc>
          <w:tcPr>
            <w:tcW w:w="2058" w:type="dxa"/>
            <w:tcBorders>
              <w:top w:val="single" w:sz="4" w:space="0" w:color="000000"/>
              <w:left w:val="nil"/>
              <w:bottom w:val="single" w:sz="4" w:space="0" w:color="000000"/>
              <w:right w:val="single" w:sz="4" w:space="0" w:color="000000"/>
            </w:tcBorders>
            <w:vAlign w:val="center"/>
          </w:tcPr>
          <w:p w14:paraId="5A292D38" w14:textId="77777777" w:rsidR="0024617D" w:rsidRPr="00103B6C" w:rsidRDefault="00C83F85">
            <w:pPr>
              <w:spacing w:after="5"/>
              <w:jc w:val="center"/>
              <w:rPr>
                <w:rFonts w:ascii="Avenir" w:eastAsia="Avenir" w:hAnsi="Avenir" w:cs="Avenir"/>
                <w:b/>
                <w:color w:val="000000"/>
                <w:sz w:val="18"/>
                <w:szCs w:val="18"/>
              </w:rPr>
            </w:pPr>
            <w:r w:rsidRPr="00103B6C">
              <w:rPr>
                <w:rFonts w:ascii="Avenir" w:eastAsia="Avenir" w:hAnsi="Avenir" w:cs="Avenir"/>
                <w:b/>
                <w:color w:val="000000"/>
                <w:sz w:val="18"/>
                <w:szCs w:val="18"/>
              </w:rPr>
              <w:t>Description de la plainte</w:t>
            </w:r>
          </w:p>
        </w:tc>
        <w:tc>
          <w:tcPr>
            <w:tcW w:w="2904" w:type="dxa"/>
            <w:tcBorders>
              <w:top w:val="single" w:sz="4" w:space="0" w:color="000000"/>
              <w:left w:val="nil"/>
              <w:bottom w:val="single" w:sz="4" w:space="0" w:color="000000"/>
              <w:right w:val="single" w:sz="4" w:space="0" w:color="000000"/>
            </w:tcBorders>
            <w:vAlign w:val="center"/>
          </w:tcPr>
          <w:p w14:paraId="78B89621" w14:textId="77777777" w:rsidR="0024617D" w:rsidRPr="00103B6C" w:rsidRDefault="00C83F85">
            <w:pPr>
              <w:spacing w:after="5"/>
              <w:jc w:val="center"/>
              <w:rPr>
                <w:rFonts w:ascii="Avenir" w:eastAsia="Avenir" w:hAnsi="Avenir" w:cs="Avenir"/>
                <w:b/>
                <w:color w:val="000000"/>
                <w:sz w:val="18"/>
                <w:szCs w:val="18"/>
              </w:rPr>
            </w:pPr>
            <w:r w:rsidRPr="00103B6C">
              <w:rPr>
                <w:rFonts w:ascii="Avenir" w:eastAsia="Avenir" w:hAnsi="Avenir" w:cs="Avenir"/>
                <w:b/>
                <w:color w:val="000000"/>
                <w:sz w:val="18"/>
                <w:szCs w:val="18"/>
              </w:rPr>
              <w:t>Date d’émission</w:t>
            </w:r>
          </w:p>
        </w:tc>
        <w:tc>
          <w:tcPr>
            <w:tcW w:w="2126" w:type="dxa"/>
            <w:tcBorders>
              <w:top w:val="single" w:sz="4" w:space="0" w:color="000000"/>
              <w:left w:val="nil"/>
              <w:bottom w:val="single" w:sz="4" w:space="0" w:color="000000"/>
              <w:right w:val="single" w:sz="4" w:space="0" w:color="000000"/>
            </w:tcBorders>
            <w:vAlign w:val="center"/>
          </w:tcPr>
          <w:p w14:paraId="5C64798E" w14:textId="77777777" w:rsidR="0024617D" w:rsidRPr="00103B6C" w:rsidRDefault="00C83F85">
            <w:pPr>
              <w:spacing w:after="5"/>
              <w:jc w:val="center"/>
              <w:rPr>
                <w:rFonts w:ascii="Avenir" w:eastAsia="Avenir" w:hAnsi="Avenir" w:cs="Avenir"/>
                <w:b/>
                <w:color w:val="000000"/>
                <w:sz w:val="18"/>
                <w:szCs w:val="18"/>
              </w:rPr>
            </w:pPr>
            <w:r w:rsidRPr="00103B6C">
              <w:rPr>
                <w:rFonts w:ascii="Avenir" w:eastAsia="Avenir" w:hAnsi="Avenir" w:cs="Avenir"/>
                <w:b/>
                <w:color w:val="000000"/>
                <w:sz w:val="18"/>
                <w:szCs w:val="18"/>
              </w:rPr>
              <w:t>Résolution prise</w:t>
            </w:r>
          </w:p>
        </w:tc>
      </w:tr>
      <w:tr w:rsidR="0024617D" w:rsidRPr="00103B6C" w14:paraId="04F3EFD1" w14:textId="77777777" w:rsidTr="00103B6C">
        <w:trPr>
          <w:trHeight w:val="453"/>
        </w:trPr>
        <w:tc>
          <w:tcPr>
            <w:tcW w:w="462" w:type="dxa"/>
            <w:tcBorders>
              <w:top w:val="nil"/>
              <w:left w:val="single" w:sz="4" w:space="0" w:color="000000"/>
              <w:bottom w:val="single" w:sz="4" w:space="0" w:color="000000"/>
              <w:right w:val="single" w:sz="4" w:space="0" w:color="000000"/>
            </w:tcBorders>
          </w:tcPr>
          <w:p w14:paraId="097584AF" w14:textId="77777777" w:rsidR="0024617D" w:rsidRPr="00103B6C" w:rsidRDefault="0024617D">
            <w:pPr>
              <w:spacing w:after="5"/>
              <w:jc w:val="right"/>
              <w:rPr>
                <w:rFonts w:ascii="Avenir" w:eastAsia="Avenir" w:hAnsi="Avenir" w:cs="Avenir"/>
                <w:color w:val="222222"/>
                <w:sz w:val="18"/>
                <w:szCs w:val="18"/>
              </w:rPr>
            </w:pPr>
          </w:p>
        </w:tc>
        <w:tc>
          <w:tcPr>
            <w:tcW w:w="984" w:type="dxa"/>
            <w:tcBorders>
              <w:top w:val="nil"/>
              <w:left w:val="nil"/>
              <w:bottom w:val="single" w:sz="4" w:space="0" w:color="000000"/>
              <w:right w:val="single" w:sz="4" w:space="0" w:color="000000"/>
            </w:tcBorders>
          </w:tcPr>
          <w:p w14:paraId="7C6FDDE6" w14:textId="77777777" w:rsidR="0024617D" w:rsidRPr="00103B6C" w:rsidRDefault="0024617D">
            <w:pPr>
              <w:spacing w:after="5"/>
              <w:rPr>
                <w:rFonts w:ascii="Avenir" w:eastAsia="Avenir" w:hAnsi="Avenir" w:cs="Avenir"/>
                <w:color w:val="222222"/>
                <w:sz w:val="18"/>
                <w:szCs w:val="18"/>
              </w:rPr>
            </w:pPr>
          </w:p>
        </w:tc>
        <w:tc>
          <w:tcPr>
            <w:tcW w:w="2058" w:type="dxa"/>
            <w:tcBorders>
              <w:top w:val="nil"/>
              <w:left w:val="nil"/>
              <w:bottom w:val="single" w:sz="4" w:space="0" w:color="000000"/>
              <w:right w:val="single" w:sz="4" w:space="0" w:color="000000"/>
            </w:tcBorders>
          </w:tcPr>
          <w:p w14:paraId="6AA0C6D3" w14:textId="1A38D7F3" w:rsidR="0024617D" w:rsidRPr="00103B6C" w:rsidRDefault="00B75DD0">
            <w:pPr>
              <w:spacing w:after="5"/>
              <w:rPr>
                <w:rFonts w:ascii="Avenir" w:eastAsia="Avenir" w:hAnsi="Avenir" w:cs="Avenir"/>
                <w:color w:val="222222"/>
                <w:sz w:val="18"/>
                <w:szCs w:val="18"/>
              </w:rPr>
            </w:pPr>
            <w:r w:rsidRPr="00103B6C">
              <w:rPr>
                <w:rFonts w:ascii="Avenir" w:eastAsia="Avenir" w:hAnsi="Avenir" w:cs="Avenir"/>
                <w:color w:val="222222"/>
                <w:sz w:val="18"/>
                <w:szCs w:val="18"/>
              </w:rPr>
              <w:t>N/A</w:t>
            </w:r>
          </w:p>
        </w:tc>
        <w:tc>
          <w:tcPr>
            <w:tcW w:w="2904" w:type="dxa"/>
            <w:tcBorders>
              <w:top w:val="nil"/>
              <w:left w:val="nil"/>
              <w:bottom w:val="single" w:sz="4" w:space="0" w:color="000000"/>
              <w:right w:val="single" w:sz="4" w:space="0" w:color="000000"/>
            </w:tcBorders>
          </w:tcPr>
          <w:p w14:paraId="34F879AD" w14:textId="77777777" w:rsidR="0024617D" w:rsidRPr="00103B6C" w:rsidRDefault="0024617D">
            <w:pPr>
              <w:spacing w:after="5"/>
              <w:jc w:val="center"/>
              <w:rPr>
                <w:rFonts w:ascii="Avenir" w:eastAsia="Avenir" w:hAnsi="Avenir" w:cs="Avenir"/>
                <w:color w:val="222222"/>
                <w:sz w:val="18"/>
                <w:szCs w:val="18"/>
              </w:rPr>
            </w:pPr>
          </w:p>
        </w:tc>
        <w:tc>
          <w:tcPr>
            <w:tcW w:w="2126" w:type="dxa"/>
            <w:tcBorders>
              <w:top w:val="nil"/>
              <w:left w:val="nil"/>
              <w:bottom w:val="single" w:sz="4" w:space="0" w:color="000000"/>
              <w:right w:val="single" w:sz="4" w:space="0" w:color="000000"/>
            </w:tcBorders>
          </w:tcPr>
          <w:p w14:paraId="3B60A057" w14:textId="77777777" w:rsidR="0024617D" w:rsidRPr="00103B6C" w:rsidRDefault="0024617D">
            <w:pPr>
              <w:spacing w:after="5"/>
              <w:rPr>
                <w:rFonts w:ascii="Avenir" w:eastAsia="Avenir" w:hAnsi="Avenir" w:cs="Avenir"/>
                <w:color w:val="222222"/>
                <w:sz w:val="18"/>
                <w:szCs w:val="18"/>
              </w:rPr>
            </w:pPr>
          </w:p>
        </w:tc>
      </w:tr>
      <w:tr w:rsidR="0024617D" w:rsidRPr="00E11FFB" w14:paraId="157155EA" w14:textId="77777777" w:rsidTr="00103B6C">
        <w:trPr>
          <w:trHeight w:val="417"/>
        </w:trPr>
        <w:tc>
          <w:tcPr>
            <w:tcW w:w="462" w:type="dxa"/>
            <w:tcBorders>
              <w:top w:val="nil"/>
              <w:left w:val="single" w:sz="4" w:space="0" w:color="000000"/>
              <w:bottom w:val="single" w:sz="4" w:space="0" w:color="000000"/>
              <w:right w:val="single" w:sz="4" w:space="0" w:color="000000"/>
            </w:tcBorders>
          </w:tcPr>
          <w:p w14:paraId="1D43DFF9" w14:textId="77777777" w:rsidR="0024617D" w:rsidRPr="00103B6C" w:rsidRDefault="0024617D">
            <w:pPr>
              <w:spacing w:after="5"/>
              <w:jc w:val="right"/>
              <w:rPr>
                <w:rFonts w:ascii="Avenir" w:eastAsia="Avenir" w:hAnsi="Avenir" w:cs="Avenir"/>
                <w:color w:val="222222"/>
                <w:sz w:val="18"/>
                <w:szCs w:val="18"/>
              </w:rPr>
            </w:pPr>
          </w:p>
        </w:tc>
        <w:tc>
          <w:tcPr>
            <w:tcW w:w="984" w:type="dxa"/>
            <w:tcBorders>
              <w:top w:val="nil"/>
              <w:left w:val="nil"/>
              <w:bottom w:val="single" w:sz="4" w:space="0" w:color="000000"/>
              <w:right w:val="single" w:sz="4" w:space="0" w:color="000000"/>
            </w:tcBorders>
          </w:tcPr>
          <w:p w14:paraId="4FF40C07" w14:textId="77777777" w:rsidR="0024617D" w:rsidRPr="00103B6C" w:rsidRDefault="0024617D">
            <w:pPr>
              <w:spacing w:after="5"/>
              <w:rPr>
                <w:rFonts w:ascii="Avenir" w:eastAsia="Avenir" w:hAnsi="Avenir" w:cs="Avenir"/>
                <w:color w:val="222222"/>
                <w:sz w:val="18"/>
                <w:szCs w:val="18"/>
              </w:rPr>
            </w:pPr>
          </w:p>
        </w:tc>
        <w:tc>
          <w:tcPr>
            <w:tcW w:w="2058" w:type="dxa"/>
            <w:tcBorders>
              <w:top w:val="nil"/>
              <w:left w:val="nil"/>
              <w:bottom w:val="single" w:sz="4" w:space="0" w:color="000000"/>
              <w:right w:val="single" w:sz="4" w:space="0" w:color="000000"/>
            </w:tcBorders>
          </w:tcPr>
          <w:p w14:paraId="607E47B3" w14:textId="77777777" w:rsidR="0024617D" w:rsidRPr="00103B6C" w:rsidRDefault="0024617D">
            <w:pPr>
              <w:spacing w:after="5"/>
              <w:rPr>
                <w:rFonts w:ascii="Avenir" w:eastAsia="Avenir" w:hAnsi="Avenir" w:cs="Avenir"/>
                <w:color w:val="222222"/>
                <w:sz w:val="18"/>
                <w:szCs w:val="18"/>
              </w:rPr>
            </w:pPr>
          </w:p>
        </w:tc>
        <w:tc>
          <w:tcPr>
            <w:tcW w:w="2904" w:type="dxa"/>
            <w:tcBorders>
              <w:top w:val="nil"/>
              <w:left w:val="nil"/>
              <w:bottom w:val="single" w:sz="4" w:space="0" w:color="000000"/>
              <w:right w:val="single" w:sz="4" w:space="0" w:color="000000"/>
            </w:tcBorders>
          </w:tcPr>
          <w:p w14:paraId="67919217" w14:textId="77777777" w:rsidR="0024617D" w:rsidRPr="00103B6C" w:rsidRDefault="0024617D">
            <w:pPr>
              <w:spacing w:after="5"/>
              <w:jc w:val="center"/>
              <w:rPr>
                <w:rFonts w:ascii="Avenir" w:eastAsia="Avenir" w:hAnsi="Avenir" w:cs="Avenir"/>
                <w:color w:val="222222"/>
                <w:sz w:val="18"/>
                <w:szCs w:val="18"/>
              </w:rPr>
            </w:pPr>
          </w:p>
        </w:tc>
        <w:tc>
          <w:tcPr>
            <w:tcW w:w="2126" w:type="dxa"/>
            <w:tcBorders>
              <w:top w:val="nil"/>
              <w:left w:val="nil"/>
              <w:bottom w:val="single" w:sz="4" w:space="0" w:color="000000"/>
              <w:right w:val="single" w:sz="4" w:space="0" w:color="000000"/>
            </w:tcBorders>
          </w:tcPr>
          <w:p w14:paraId="569E640E" w14:textId="77777777" w:rsidR="0024617D" w:rsidRPr="00103B6C" w:rsidRDefault="0024617D">
            <w:pPr>
              <w:spacing w:after="5"/>
              <w:rPr>
                <w:rFonts w:ascii="Avenir" w:eastAsia="Avenir" w:hAnsi="Avenir" w:cs="Avenir"/>
                <w:color w:val="222222"/>
                <w:sz w:val="18"/>
                <w:szCs w:val="18"/>
              </w:rPr>
            </w:pPr>
          </w:p>
        </w:tc>
      </w:tr>
    </w:tbl>
    <w:p w14:paraId="37F9A9E8" w14:textId="77777777" w:rsidR="0024617D" w:rsidRPr="00E11FFB" w:rsidRDefault="0024617D">
      <w:pPr>
        <w:spacing w:after="5" w:line="271" w:lineRule="auto"/>
        <w:ind w:left="20" w:right="28" w:hanging="10"/>
        <w:jc w:val="both"/>
        <w:rPr>
          <w:rFonts w:ascii="Avenir" w:eastAsia="Avenir" w:hAnsi="Avenir" w:cs="Avenir"/>
          <w:color w:val="000000"/>
          <w:sz w:val="21"/>
          <w:szCs w:val="21"/>
          <w:highlight w:val="yellow"/>
        </w:rPr>
      </w:pPr>
    </w:p>
    <w:p w14:paraId="7FF7F016" w14:textId="77777777" w:rsidR="0024617D" w:rsidRPr="00E11FFB" w:rsidRDefault="0024617D">
      <w:pPr>
        <w:pBdr>
          <w:top w:val="nil"/>
          <w:left w:val="nil"/>
          <w:bottom w:val="nil"/>
          <w:right w:val="nil"/>
          <w:between w:val="nil"/>
        </w:pBdr>
        <w:spacing w:line="271" w:lineRule="auto"/>
        <w:ind w:left="720" w:right="28"/>
        <w:jc w:val="both"/>
        <w:rPr>
          <w:rFonts w:ascii="Avenir" w:eastAsia="Avenir" w:hAnsi="Avenir" w:cs="Avenir"/>
          <w:color w:val="000000"/>
          <w:sz w:val="18"/>
          <w:szCs w:val="18"/>
          <w:highlight w:val="yellow"/>
        </w:rPr>
      </w:pPr>
    </w:p>
    <w:p w14:paraId="20E2FA36" w14:textId="77777777" w:rsidR="0024617D" w:rsidRPr="00E11FFB" w:rsidRDefault="00C83F85">
      <w:pPr>
        <w:numPr>
          <w:ilvl w:val="1"/>
          <w:numId w:val="5"/>
        </w:numPr>
        <w:pBdr>
          <w:top w:val="nil"/>
          <w:left w:val="nil"/>
          <w:bottom w:val="nil"/>
          <w:right w:val="nil"/>
          <w:between w:val="nil"/>
        </w:pBdr>
        <w:spacing w:after="5" w:line="271" w:lineRule="auto"/>
        <w:ind w:right="28"/>
        <w:jc w:val="both"/>
        <w:rPr>
          <w:rFonts w:ascii="Avenir" w:eastAsia="Avenir" w:hAnsi="Avenir" w:cs="Avenir"/>
          <w:i/>
          <w:color w:val="4472C4"/>
        </w:rPr>
      </w:pPr>
      <w:r w:rsidRPr="00E11FFB">
        <w:rPr>
          <w:rFonts w:ascii="Avenir" w:eastAsia="Avenir" w:hAnsi="Avenir" w:cs="Avenir"/>
          <w:i/>
          <w:color w:val="4472C4"/>
        </w:rPr>
        <w:t>Garanties de Cancún</w:t>
      </w:r>
    </w:p>
    <w:p w14:paraId="3EA5B2D3" w14:textId="77777777" w:rsidR="0024617D" w:rsidRPr="00E11FFB" w:rsidRDefault="0024617D">
      <w:pPr>
        <w:spacing w:after="5" w:line="271" w:lineRule="auto"/>
        <w:ind w:left="20" w:right="28" w:hanging="10"/>
        <w:jc w:val="both"/>
        <w:rPr>
          <w:rFonts w:ascii="Avenir" w:eastAsia="Avenir" w:hAnsi="Avenir" w:cs="Avenir"/>
          <w:color w:val="000000"/>
        </w:rPr>
      </w:pPr>
    </w:p>
    <w:p w14:paraId="495EE7F2" w14:textId="77777777" w:rsidR="0024617D" w:rsidRPr="00E11FFB" w:rsidRDefault="00C83F85">
      <w:pPr>
        <w:spacing w:after="5" w:line="271" w:lineRule="auto"/>
        <w:ind w:left="20" w:right="28" w:hanging="10"/>
        <w:jc w:val="both"/>
        <w:rPr>
          <w:rFonts w:ascii="Avenir" w:eastAsia="Avenir" w:hAnsi="Avenir" w:cs="Avenir"/>
          <w:color w:val="000000"/>
        </w:rPr>
      </w:pPr>
      <w:r w:rsidRPr="00E11FFB">
        <w:rPr>
          <w:rFonts w:ascii="Avenir" w:eastAsia="Avenir" w:hAnsi="Avenir" w:cs="Avenir"/>
          <w:color w:val="000000"/>
        </w:rPr>
        <w:t>Suivi des mesures/principes de sauvegardes de Cancún</w:t>
      </w:r>
    </w:p>
    <w:p w14:paraId="58F5102B" w14:textId="77777777" w:rsidR="0024617D" w:rsidRPr="00E11FFB" w:rsidRDefault="0024617D">
      <w:pPr>
        <w:pBdr>
          <w:top w:val="nil"/>
          <w:left w:val="nil"/>
          <w:bottom w:val="nil"/>
          <w:right w:val="nil"/>
          <w:between w:val="nil"/>
        </w:pBdr>
        <w:ind w:left="20" w:right="28" w:hanging="10"/>
        <w:jc w:val="both"/>
        <w:rPr>
          <w:rFonts w:ascii="Avenir" w:eastAsia="Avenir" w:hAnsi="Avenir" w:cs="Avenir"/>
          <w:color w:val="000000"/>
          <w:sz w:val="16"/>
          <w:szCs w:val="16"/>
        </w:rPr>
      </w:pPr>
    </w:p>
    <w:tbl>
      <w:tblPr>
        <w:tblStyle w:val="5"/>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4230"/>
        <w:gridCol w:w="3434"/>
      </w:tblGrid>
      <w:tr w:rsidR="0024617D" w:rsidRPr="00E11FFB" w14:paraId="77B964CB" w14:textId="77777777" w:rsidTr="0086763B">
        <w:trPr>
          <w:tblHeader/>
          <w:jc w:val="center"/>
        </w:trPr>
        <w:tc>
          <w:tcPr>
            <w:tcW w:w="1975" w:type="dxa"/>
            <w:shd w:val="clear" w:color="auto" w:fill="8EAADB"/>
          </w:tcPr>
          <w:p w14:paraId="4C7A38FB" w14:textId="77777777" w:rsidR="0024617D" w:rsidRPr="00E11FFB" w:rsidRDefault="0024617D">
            <w:pPr>
              <w:spacing w:after="5" w:line="271" w:lineRule="auto"/>
              <w:jc w:val="center"/>
              <w:rPr>
                <w:rFonts w:ascii="Avenir" w:eastAsia="Avenir" w:hAnsi="Avenir" w:cs="Avenir"/>
                <w:color w:val="000000"/>
                <w:sz w:val="16"/>
                <w:szCs w:val="16"/>
              </w:rPr>
            </w:pPr>
          </w:p>
        </w:tc>
        <w:tc>
          <w:tcPr>
            <w:tcW w:w="4230" w:type="dxa"/>
            <w:shd w:val="clear" w:color="auto" w:fill="8EAADB"/>
          </w:tcPr>
          <w:p w14:paraId="07E8DC97" w14:textId="77777777" w:rsidR="0024617D" w:rsidRPr="00E11FFB" w:rsidRDefault="00C83F85">
            <w:pPr>
              <w:spacing w:after="5" w:line="271" w:lineRule="auto"/>
              <w:jc w:val="center"/>
              <w:rPr>
                <w:rFonts w:ascii="Avenir" w:eastAsia="Avenir" w:hAnsi="Avenir" w:cs="Avenir"/>
                <w:color w:val="000000"/>
                <w:sz w:val="16"/>
                <w:szCs w:val="16"/>
              </w:rPr>
            </w:pPr>
            <w:r w:rsidRPr="00E11FFB">
              <w:rPr>
                <w:rFonts w:ascii="Avenir" w:eastAsia="Avenir" w:hAnsi="Avenir" w:cs="Avenir"/>
                <w:color w:val="000000"/>
                <w:sz w:val="16"/>
                <w:szCs w:val="16"/>
              </w:rPr>
              <w:t>Actions spécifiques du projet</w:t>
            </w:r>
          </w:p>
        </w:tc>
        <w:tc>
          <w:tcPr>
            <w:tcW w:w="3434" w:type="dxa"/>
            <w:shd w:val="clear" w:color="auto" w:fill="8EAADB"/>
          </w:tcPr>
          <w:p w14:paraId="0B633372" w14:textId="77777777" w:rsidR="0024617D" w:rsidRPr="00E11FFB" w:rsidRDefault="00C83F85">
            <w:pPr>
              <w:spacing w:after="5" w:line="271" w:lineRule="auto"/>
              <w:jc w:val="center"/>
              <w:rPr>
                <w:rFonts w:ascii="Avenir" w:eastAsia="Avenir" w:hAnsi="Avenir" w:cs="Avenir"/>
                <w:color w:val="000000"/>
                <w:sz w:val="16"/>
                <w:szCs w:val="16"/>
              </w:rPr>
            </w:pPr>
            <w:r w:rsidRPr="00E11FFB">
              <w:rPr>
                <w:rFonts w:ascii="Avenir" w:eastAsia="Avenir" w:hAnsi="Avenir" w:cs="Avenir"/>
                <w:color w:val="000000"/>
                <w:sz w:val="16"/>
                <w:szCs w:val="16"/>
              </w:rPr>
              <w:t>Défis rencontrés</w:t>
            </w:r>
          </w:p>
        </w:tc>
      </w:tr>
      <w:tr w:rsidR="002412F0" w:rsidRPr="00E11FFB" w14:paraId="498757F9" w14:textId="77777777" w:rsidTr="00975025">
        <w:trPr>
          <w:trHeight w:val="856"/>
          <w:jc w:val="center"/>
        </w:trPr>
        <w:tc>
          <w:tcPr>
            <w:tcW w:w="1975" w:type="dxa"/>
          </w:tcPr>
          <w:p w14:paraId="1E5CAB6C"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1 : Les activités REDD+ doivent protéger les forêts naturelles, favoriser l’accroissement des services environnementaux et renforcer la préservation de la biodiversité.</w:t>
            </w:r>
          </w:p>
          <w:p w14:paraId="64290275"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(Cancun a ; IFC norme 6)</w:t>
            </w:r>
          </w:p>
          <w:p w14:paraId="14503380" w14:textId="77777777" w:rsidR="002412F0" w:rsidRPr="00E11FFB" w:rsidRDefault="002412F0" w:rsidP="002412F0">
            <w:pPr>
              <w:spacing w:after="5" w:line="271" w:lineRule="auto"/>
              <w:rPr>
                <w:rFonts w:ascii="Avenir" w:eastAsia="Avenir" w:hAnsi="Avenir" w:cs="Avenir"/>
                <w:color w:val="ED7D31"/>
                <w:sz w:val="16"/>
                <w:szCs w:val="16"/>
              </w:rPr>
            </w:pPr>
          </w:p>
        </w:tc>
        <w:tc>
          <w:tcPr>
            <w:tcW w:w="4230" w:type="dxa"/>
          </w:tcPr>
          <w:p w14:paraId="74C848D8" w14:textId="6E85F3D7" w:rsidR="002412F0" w:rsidRPr="00E11FFB" w:rsidRDefault="002412F0" w:rsidP="002412F0">
            <w:pPr>
              <w:pStyle w:val="Paragraphedeliste"/>
              <w:numPr>
                <w:ilvl w:val="0"/>
                <w:numId w:val="36"/>
              </w:numPr>
              <w:spacing w:after="5" w:line="271" w:lineRule="auto"/>
              <w:ind w:left="196" w:hanging="196"/>
              <w:rPr>
                <w:rFonts w:ascii="Avenir" w:hAnsi="Avenir" w:cstheme="minorHAnsi"/>
                <w:sz w:val="16"/>
                <w:szCs w:val="16"/>
              </w:rPr>
            </w:pPr>
            <w:r w:rsidRPr="00E11FFB">
              <w:rPr>
                <w:rFonts w:ascii="Avenir" w:hAnsi="Avenir" w:cstheme="minorHAnsi"/>
                <w:sz w:val="16"/>
                <w:szCs w:val="16"/>
              </w:rPr>
              <w:t xml:space="preserve">Élaboration de la politique </w:t>
            </w:r>
            <w:r w:rsidR="00DF7856" w:rsidRPr="00E11FFB">
              <w:rPr>
                <w:rFonts w:ascii="Avenir" w:hAnsi="Avenir" w:cstheme="minorHAnsi"/>
                <w:sz w:val="16"/>
                <w:szCs w:val="16"/>
              </w:rPr>
              <w:t xml:space="preserve">forestière </w:t>
            </w:r>
            <w:r w:rsidRPr="00E11FFB">
              <w:rPr>
                <w:rFonts w:ascii="Avenir" w:hAnsi="Avenir" w:cstheme="minorHAnsi"/>
                <w:sz w:val="16"/>
                <w:szCs w:val="16"/>
              </w:rPr>
              <w:t xml:space="preserve">nationale afin d’améliorer la gestion forestière en RDC et </w:t>
            </w:r>
            <w:r w:rsidR="00DF7856" w:rsidRPr="00E11FFB">
              <w:rPr>
                <w:rFonts w:ascii="Avenir" w:hAnsi="Avenir" w:cstheme="minorHAnsi"/>
                <w:sz w:val="16"/>
                <w:szCs w:val="16"/>
              </w:rPr>
              <w:t xml:space="preserve">de </w:t>
            </w:r>
            <w:r w:rsidRPr="00E11FFB">
              <w:rPr>
                <w:rFonts w:ascii="Avenir" w:hAnsi="Avenir" w:cstheme="minorHAnsi"/>
                <w:sz w:val="16"/>
                <w:szCs w:val="16"/>
              </w:rPr>
              <w:t>tenir compte des enjeux de la REDD+, changement climatique et services environnementaux ;</w:t>
            </w:r>
          </w:p>
          <w:p w14:paraId="429F8F4A" w14:textId="77777777" w:rsidR="002412F0" w:rsidRPr="00E11FFB" w:rsidRDefault="002412F0" w:rsidP="002412F0">
            <w:pPr>
              <w:pStyle w:val="Paragraphedeliste"/>
              <w:numPr>
                <w:ilvl w:val="0"/>
                <w:numId w:val="36"/>
              </w:numPr>
              <w:spacing w:after="5" w:line="271" w:lineRule="auto"/>
              <w:ind w:left="196" w:hanging="196"/>
              <w:rPr>
                <w:rFonts w:ascii="Avenir" w:hAnsi="Avenir" w:cstheme="minorHAnsi"/>
                <w:sz w:val="16"/>
                <w:szCs w:val="16"/>
              </w:rPr>
            </w:pPr>
            <w:r w:rsidRPr="00E11FFB">
              <w:rPr>
                <w:rFonts w:ascii="Avenir" w:hAnsi="Avenir" w:cstheme="minorHAnsi"/>
                <w:sz w:val="16"/>
                <w:szCs w:val="16"/>
              </w:rPr>
              <w:t xml:space="preserve">Lancement de chantier du processus d’élaboration du code forestier afin d’améliorer la gouvernance forestière en RDC ; </w:t>
            </w:r>
          </w:p>
          <w:p w14:paraId="7E48D76E" w14:textId="52BF8EC0" w:rsidR="002412F0" w:rsidRPr="00E11FFB" w:rsidRDefault="002412F0" w:rsidP="002412F0">
            <w:pPr>
              <w:pStyle w:val="Paragraphedeliste"/>
              <w:numPr>
                <w:ilvl w:val="0"/>
                <w:numId w:val="36"/>
              </w:numPr>
              <w:spacing w:after="5" w:line="271" w:lineRule="auto"/>
              <w:ind w:left="196" w:hanging="196"/>
              <w:rPr>
                <w:rFonts w:ascii="Avenir" w:hAnsi="Avenir" w:cstheme="minorHAnsi"/>
                <w:sz w:val="16"/>
                <w:szCs w:val="16"/>
              </w:rPr>
            </w:pPr>
            <w:r w:rsidRPr="00E11FFB">
              <w:rPr>
                <w:rFonts w:ascii="Avenir" w:hAnsi="Avenir" w:cstheme="minorHAnsi"/>
                <w:sz w:val="16"/>
                <w:szCs w:val="16"/>
              </w:rPr>
              <w:t>La vulgarisation de la politique agricole durable et la révision de la loi agricole permettent respectivement de partager les orientations sur l’agriculture non destructive de la forêt et des zones de</w:t>
            </w:r>
            <w:r w:rsidR="00DF7856" w:rsidRPr="00E11FFB">
              <w:rPr>
                <w:rFonts w:ascii="Avenir" w:hAnsi="Avenir" w:cstheme="minorHAnsi"/>
                <w:sz w:val="16"/>
                <w:szCs w:val="16"/>
              </w:rPr>
              <w:t xml:space="preserve">s </w:t>
            </w:r>
            <w:r w:rsidRPr="00E11FFB">
              <w:rPr>
                <w:rFonts w:ascii="Avenir" w:hAnsi="Avenir" w:cstheme="minorHAnsi"/>
                <w:sz w:val="16"/>
                <w:szCs w:val="16"/>
              </w:rPr>
              <w:t>tourbières ;</w:t>
            </w:r>
          </w:p>
          <w:p w14:paraId="63D465AD" w14:textId="198FBE3A" w:rsidR="002412F0" w:rsidRPr="00E11FFB" w:rsidRDefault="002412F0" w:rsidP="002412F0">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olor w:val="111111"/>
                <w:sz w:val="16"/>
                <w:szCs w:val="16"/>
              </w:rPr>
              <w:t xml:space="preserve">Le processus d’élaboration de l’annuaire national de ressources naturelles, le schéma national d’Aménagement du territoire et l’Atlas national permet d’améliorer la gouvernance forestière et mieux définir l’utilisation des terres en RDC ; </w:t>
            </w:r>
          </w:p>
        </w:tc>
        <w:tc>
          <w:tcPr>
            <w:tcW w:w="3434" w:type="dxa"/>
          </w:tcPr>
          <w:p w14:paraId="664D962E" w14:textId="141DE773" w:rsidR="002412F0" w:rsidRPr="00E11FFB" w:rsidRDefault="002412F0" w:rsidP="002412F0">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stheme="minorHAnsi"/>
                <w:sz w:val="16"/>
                <w:szCs w:val="16"/>
              </w:rPr>
              <w:t xml:space="preserve">Ces processus exigent l’implication de tous les acteurs et leur avis positif, </w:t>
            </w:r>
            <w:r w:rsidR="00DF7856" w:rsidRPr="00E11FFB">
              <w:rPr>
                <w:rFonts w:ascii="Avenir" w:hAnsi="Avenir" w:cstheme="minorHAnsi"/>
                <w:sz w:val="16"/>
                <w:szCs w:val="16"/>
              </w:rPr>
              <w:t>la coordination des acteurs demande plus de temps que le projet n’a pas forcément. Ce temps peut retarder d’autres actions</w:t>
            </w:r>
            <w:r w:rsidRPr="00E11FFB">
              <w:rPr>
                <w:rFonts w:ascii="Avenir" w:hAnsi="Avenir" w:cstheme="minorHAnsi"/>
                <w:sz w:val="16"/>
                <w:szCs w:val="16"/>
              </w:rPr>
              <w:t>, c’est le cas par exemple de la validation technique finale</w:t>
            </w:r>
            <w:r w:rsidR="00DF7856" w:rsidRPr="00E11FFB">
              <w:rPr>
                <w:rFonts w:ascii="Avenir" w:hAnsi="Avenir" w:cstheme="minorHAnsi"/>
                <w:sz w:val="16"/>
                <w:szCs w:val="16"/>
              </w:rPr>
              <w:t xml:space="preserve"> de la politique forestière nationale</w:t>
            </w:r>
            <w:r w:rsidRPr="00E11FFB">
              <w:rPr>
                <w:rFonts w:ascii="Avenir" w:hAnsi="Avenir" w:cstheme="minorHAnsi"/>
                <w:sz w:val="16"/>
                <w:szCs w:val="16"/>
              </w:rPr>
              <w:t xml:space="preserve">. </w:t>
            </w:r>
          </w:p>
        </w:tc>
      </w:tr>
      <w:tr w:rsidR="002412F0" w:rsidRPr="00E11FFB" w14:paraId="1B2D6204" w14:textId="77777777" w:rsidTr="00975025">
        <w:trPr>
          <w:jc w:val="center"/>
        </w:trPr>
        <w:tc>
          <w:tcPr>
            <w:tcW w:w="1975" w:type="dxa"/>
          </w:tcPr>
          <w:p w14:paraId="6846CF8F"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2 : Les activités REDD+ doivent favoriser la transparence et la bonne gouvernance. (Cancun b)</w:t>
            </w:r>
          </w:p>
        </w:tc>
        <w:tc>
          <w:tcPr>
            <w:tcW w:w="4230" w:type="dxa"/>
          </w:tcPr>
          <w:p w14:paraId="1C36FFE0" w14:textId="77777777" w:rsidR="003D6B20" w:rsidRPr="00E11FFB" w:rsidRDefault="002412F0" w:rsidP="002412F0">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olor w:val="111111"/>
                <w:sz w:val="16"/>
                <w:szCs w:val="16"/>
              </w:rPr>
              <w:t>Sensibilisation et renforcement des capacités des exploitants et les acteurs forestiers sur l’intégration de l’ITIE dans l’exploitation forestière améliore la gouvernance du secteur</w:t>
            </w:r>
            <w:r w:rsidR="003D6B20" w:rsidRPr="00E11FFB">
              <w:rPr>
                <w:rFonts w:ascii="Avenir" w:hAnsi="Avenir"/>
                <w:color w:val="111111"/>
                <w:sz w:val="16"/>
                <w:szCs w:val="16"/>
              </w:rPr>
              <w:t xml:space="preserve"> ; </w:t>
            </w:r>
          </w:p>
          <w:p w14:paraId="00937FBD" w14:textId="4C2F7402" w:rsidR="00D66600" w:rsidRPr="00E11FFB" w:rsidRDefault="003D6B20" w:rsidP="00D66600">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olor w:val="111111"/>
                <w:sz w:val="16"/>
                <w:szCs w:val="16"/>
              </w:rPr>
              <w:t xml:space="preserve">La mise en place des normes REDD+ dans le secteur de mine et hydrocarbures </w:t>
            </w:r>
            <w:r w:rsidR="003933CE" w:rsidRPr="00E11FFB">
              <w:rPr>
                <w:rFonts w:ascii="Avenir" w:hAnsi="Avenir"/>
                <w:color w:val="111111"/>
                <w:sz w:val="16"/>
                <w:szCs w:val="16"/>
              </w:rPr>
              <w:t xml:space="preserve">ainsi que le renforcement du cadre juridique et réglementaire </w:t>
            </w:r>
            <w:r w:rsidRPr="00E11FFB">
              <w:rPr>
                <w:rFonts w:ascii="Avenir" w:hAnsi="Avenir"/>
                <w:color w:val="111111"/>
                <w:sz w:val="16"/>
                <w:szCs w:val="16"/>
              </w:rPr>
              <w:t>permet</w:t>
            </w:r>
            <w:r w:rsidR="003933CE" w:rsidRPr="00E11FFB">
              <w:rPr>
                <w:rFonts w:ascii="Avenir" w:hAnsi="Avenir"/>
                <w:color w:val="111111"/>
                <w:sz w:val="16"/>
                <w:szCs w:val="16"/>
              </w:rPr>
              <w:t>tent</w:t>
            </w:r>
            <w:r w:rsidRPr="00E11FFB">
              <w:rPr>
                <w:rFonts w:ascii="Avenir" w:hAnsi="Avenir"/>
                <w:color w:val="111111"/>
                <w:sz w:val="16"/>
                <w:szCs w:val="16"/>
              </w:rPr>
              <w:t xml:space="preserve"> une bonne gouvernance du secteur et favorise une meilleure protection, voire conservation des ressources forestières. </w:t>
            </w:r>
          </w:p>
          <w:p w14:paraId="7F95948F" w14:textId="6D6F330B" w:rsidR="002412F0" w:rsidRPr="00E11FFB" w:rsidRDefault="00D66600" w:rsidP="00AD5C94">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olor w:val="111111"/>
                <w:sz w:val="16"/>
                <w:szCs w:val="16"/>
              </w:rPr>
              <w:t xml:space="preserve">Le renforcement des capacités des institutions publiques, impliqués dans les secteurs touchant les piliers REDD+ permet aux acteurs d’avoir des atouts pour une bonne gouvernance. </w:t>
            </w:r>
          </w:p>
        </w:tc>
        <w:tc>
          <w:tcPr>
            <w:tcW w:w="3434" w:type="dxa"/>
          </w:tcPr>
          <w:p w14:paraId="28713C91" w14:textId="7E22B772" w:rsidR="002412F0" w:rsidRPr="00E11FFB" w:rsidRDefault="002412F0" w:rsidP="002412F0">
            <w:pPr>
              <w:pStyle w:val="Paragraphedeliste"/>
              <w:numPr>
                <w:ilvl w:val="0"/>
                <w:numId w:val="36"/>
              </w:numPr>
              <w:spacing w:after="5" w:line="271" w:lineRule="auto"/>
              <w:ind w:left="196" w:hanging="196"/>
              <w:rPr>
                <w:rFonts w:ascii="Avenir" w:eastAsia="Avenir" w:hAnsi="Avenir" w:cs="Avenir"/>
                <w:bCs/>
                <w:color w:val="ED7D31"/>
                <w:sz w:val="16"/>
                <w:szCs w:val="16"/>
              </w:rPr>
            </w:pPr>
            <w:r w:rsidRPr="00E11FFB">
              <w:rPr>
                <w:rFonts w:ascii="Avenir" w:eastAsia="Avenir" w:hAnsi="Avenir" w:cs="Avenir"/>
                <w:bCs/>
                <w:color w:val="000000" w:themeColor="text1"/>
                <w:sz w:val="16"/>
                <w:szCs w:val="16"/>
              </w:rPr>
              <w:t>Cette activité</w:t>
            </w:r>
            <w:r w:rsidR="00D66600" w:rsidRPr="00E11FFB">
              <w:rPr>
                <w:rFonts w:ascii="Avenir" w:eastAsia="Avenir" w:hAnsi="Avenir" w:cs="Avenir"/>
                <w:bCs/>
                <w:color w:val="000000" w:themeColor="text1"/>
                <w:sz w:val="16"/>
                <w:szCs w:val="16"/>
              </w:rPr>
              <w:t xml:space="preserve"> de sensibilisation</w:t>
            </w:r>
            <w:r w:rsidRPr="00E11FFB">
              <w:rPr>
                <w:rFonts w:ascii="Avenir" w:eastAsia="Avenir" w:hAnsi="Avenir" w:cs="Avenir"/>
                <w:bCs/>
                <w:color w:val="000000" w:themeColor="text1"/>
                <w:sz w:val="16"/>
                <w:szCs w:val="16"/>
              </w:rPr>
              <w:t xml:space="preserve"> a été réalisée dans 8 provinces du pays hormis Kinshasa. Il serait pertinent d’étendre sur l’ensemble des provinces du pays pour atteindre le maximum d’acteurs</w:t>
            </w:r>
            <w:r w:rsidR="0086763B" w:rsidRPr="00E11FFB">
              <w:rPr>
                <w:rFonts w:ascii="Avenir" w:eastAsia="Avenir" w:hAnsi="Avenir" w:cs="Avenir"/>
                <w:bCs/>
                <w:color w:val="000000" w:themeColor="text1"/>
                <w:sz w:val="16"/>
                <w:szCs w:val="16"/>
              </w:rPr>
              <w:t xml:space="preserve"> mais le projet ne l’a pas prévu</w:t>
            </w:r>
            <w:r w:rsidRPr="00E11FFB">
              <w:rPr>
                <w:rFonts w:ascii="Avenir" w:eastAsia="Avenir" w:hAnsi="Avenir" w:cs="Avenir"/>
                <w:bCs/>
                <w:color w:val="000000" w:themeColor="text1"/>
                <w:sz w:val="16"/>
                <w:szCs w:val="16"/>
              </w:rPr>
              <w:t xml:space="preserve">. </w:t>
            </w:r>
          </w:p>
        </w:tc>
      </w:tr>
      <w:tr w:rsidR="002412F0" w:rsidRPr="00E11FFB" w14:paraId="1EF47957" w14:textId="77777777" w:rsidTr="004B43F6">
        <w:trPr>
          <w:trHeight w:val="2190"/>
          <w:jc w:val="center"/>
        </w:trPr>
        <w:tc>
          <w:tcPr>
            <w:tcW w:w="1975" w:type="dxa"/>
          </w:tcPr>
          <w:p w14:paraId="3715F70A"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3 : Les activités REDD+ doivent minimiser les pertes et dommages, prévoir des voies de recours et mettre en place des mécanismes de réparations justes et équitables d’éventuelles pertes et/ou dommages subis par les communautés et autres parties prenantes</w:t>
            </w:r>
          </w:p>
          <w:p w14:paraId="60B30E53" w14:textId="77777777" w:rsidR="002412F0" w:rsidRPr="00E11FFB" w:rsidRDefault="002412F0" w:rsidP="002412F0">
            <w:pPr>
              <w:spacing w:after="5" w:line="271" w:lineRule="auto"/>
              <w:rPr>
                <w:rFonts w:ascii="Avenir" w:eastAsia="Avenir" w:hAnsi="Avenir" w:cs="Avenir"/>
                <w:color w:val="ED7D31"/>
                <w:sz w:val="16"/>
                <w:szCs w:val="16"/>
              </w:rPr>
            </w:pPr>
            <w:r w:rsidRPr="00E11FFB">
              <w:rPr>
                <w:rFonts w:ascii="Avenir" w:eastAsia="Avenir" w:hAnsi="Avenir" w:cs="Avenir"/>
                <w:color w:val="000000"/>
                <w:sz w:val="16"/>
                <w:szCs w:val="16"/>
              </w:rPr>
              <w:t>(IFC norme 4)</w:t>
            </w:r>
          </w:p>
        </w:tc>
        <w:tc>
          <w:tcPr>
            <w:tcW w:w="4230" w:type="dxa"/>
          </w:tcPr>
          <w:p w14:paraId="3194D08B" w14:textId="40A4400B" w:rsidR="00915C02" w:rsidRPr="00E11FFB" w:rsidRDefault="00915C02" w:rsidP="004B43F6">
            <w:pPr>
              <w:pStyle w:val="Paragraphedeliste"/>
              <w:numPr>
                <w:ilvl w:val="0"/>
                <w:numId w:val="36"/>
              </w:numPr>
              <w:spacing w:after="5" w:line="271" w:lineRule="auto"/>
              <w:ind w:left="196" w:hanging="196"/>
              <w:rPr>
                <w:rFonts w:ascii="Avenir" w:hAnsi="Avenir"/>
                <w:color w:val="111111"/>
                <w:sz w:val="16"/>
                <w:szCs w:val="16"/>
              </w:rPr>
            </w:pPr>
            <w:r w:rsidRPr="00E11FFB">
              <w:rPr>
                <w:rFonts w:ascii="Avenir" w:hAnsi="Avenir"/>
                <w:color w:val="111111"/>
                <w:sz w:val="16"/>
                <w:szCs w:val="16"/>
              </w:rPr>
              <w:t>L’identification des conflits d’usage de terre et le lancement du processus d’arbitrage pour un meilleur aménagement du territoire permettent la mise en place des mécanismes de réparations justes et équitable entre les parties en conflits ;</w:t>
            </w:r>
          </w:p>
          <w:p w14:paraId="5039823C" w14:textId="071451DA" w:rsidR="002412F0" w:rsidRPr="00E11FFB" w:rsidRDefault="00AD5C94" w:rsidP="004B43F6">
            <w:pPr>
              <w:pStyle w:val="Paragraphedeliste"/>
              <w:numPr>
                <w:ilvl w:val="0"/>
                <w:numId w:val="36"/>
              </w:numPr>
              <w:spacing w:after="5" w:line="271" w:lineRule="auto"/>
              <w:ind w:left="196" w:hanging="196"/>
              <w:rPr>
                <w:rFonts w:ascii="Avenir" w:hAnsi="Avenir"/>
                <w:color w:val="111111"/>
                <w:sz w:val="16"/>
                <w:szCs w:val="16"/>
              </w:rPr>
            </w:pPr>
            <w:r w:rsidRPr="00E11FFB">
              <w:rPr>
                <w:rFonts w:ascii="Avenir" w:hAnsi="Avenir"/>
                <w:color w:val="111111"/>
                <w:sz w:val="16"/>
                <w:szCs w:val="16"/>
              </w:rPr>
              <w:t xml:space="preserve">Renforcement des capacités et les droits des communautés et des autres parties prenantes, notamment les femmes, les jeunes à participer aux réunions, consultations provinciales, ateliers de haut niveau sur diverses thématiques du projet (politique forestière nationale, politique de population, ateliers de validation techniques, etc.), permet une </w:t>
            </w:r>
            <w:r w:rsidR="00293D41" w:rsidRPr="00E11FFB">
              <w:rPr>
                <w:rFonts w:ascii="Avenir" w:hAnsi="Avenir"/>
                <w:color w:val="111111"/>
                <w:sz w:val="16"/>
                <w:szCs w:val="16"/>
              </w:rPr>
              <w:t>participation</w:t>
            </w:r>
            <w:r w:rsidRPr="00E11FFB">
              <w:rPr>
                <w:rFonts w:ascii="Avenir" w:hAnsi="Avenir"/>
                <w:color w:val="111111"/>
                <w:sz w:val="16"/>
                <w:szCs w:val="16"/>
              </w:rPr>
              <w:t xml:space="preserve"> équitable aux décisions du pays</w:t>
            </w:r>
            <w:r w:rsidR="00293D41" w:rsidRPr="00E11FFB">
              <w:rPr>
                <w:rFonts w:ascii="Avenir" w:hAnsi="Avenir"/>
                <w:color w:val="111111"/>
                <w:sz w:val="16"/>
                <w:szCs w:val="16"/>
              </w:rPr>
              <w:t xml:space="preserve"> et évite les dommages potentiels sur ces communautés</w:t>
            </w:r>
            <w:r w:rsidRPr="00E11FFB">
              <w:rPr>
                <w:rFonts w:ascii="Avenir" w:hAnsi="Avenir"/>
                <w:color w:val="111111"/>
                <w:sz w:val="16"/>
                <w:szCs w:val="16"/>
              </w:rPr>
              <w:t>.</w:t>
            </w:r>
          </w:p>
        </w:tc>
        <w:tc>
          <w:tcPr>
            <w:tcW w:w="3434" w:type="dxa"/>
          </w:tcPr>
          <w:p w14:paraId="494609D8" w14:textId="037A807C" w:rsidR="002412F0" w:rsidRPr="00E11FFB" w:rsidRDefault="000D6512" w:rsidP="009054B9">
            <w:pPr>
              <w:pStyle w:val="Paragraphedeliste"/>
              <w:numPr>
                <w:ilvl w:val="0"/>
                <w:numId w:val="36"/>
              </w:numPr>
              <w:spacing w:after="5" w:line="271" w:lineRule="auto"/>
              <w:ind w:left="196" w:hanging="196"/>
              <w:rPr>
                <w:rFonts w:ascii="Avenir" w:eastAsia="Avenir" w:hAnsi="Avenir" w:cs="Avenir"/>
                <w:bCs/>
                <w:color w:val="ED7D31"/>
                <w:sz w:val="16"/>
                <w:szCs w:val="16"/>
              </w:rPr>
            </w:pPr>
            <w:r w:rsidRPr="00E11FFB">
              <w:rPr>
                <w:rFonts w:ascii="Avenir" w:eastAsia="Avenir" w:hAnsi="Avenir" w:cs="Avenir"/>
                <w:bCs/>
                <w:color w:val="000000" w:themeColor="text1"/>
                <w:sz w:val="16"/>
                <w:szCs w:val="16"/>
              </w:rPr>
              <w:t xml:space="preserve">Le retard dans la signature du décret de CNAT n’a pas permis de démarrer le processus d’arbitrage après indentification des conflits. L’arbitrage doit se faire par les membres du CNAT. </w:t>
            </w:r>
          </w:p>
        </w:tc>
      </w:tr>
      <w:tr w:rsidR="002412F0" w:rsidRPr="00E11FFB" w14:paraId="6A42ACC6" w14:textId="77777777" w:rsidTr="00975025">
        <w:trPr>
          <w:jc w:val="center"/>
        </w:trPr>
        <w:tc>
          <w:tcPr>
            <w:tcW w:w="1975" w:type="dxa"/>
          </w:tcPr>
          <w:p w14:paraId="23DFB83A"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4 : Les bénéfices économiques et sociaux générés par les activités REDD+ doivent être partagés équitablement et proportionnellement par les parties prenantes intéressées</w:t>
            </w:r>
          </w:p>
          <w:p w14:paraId="4029CB66" w14:textId="748D4FB0" w:rsidR="002412F0" w:rsidRPr="00E11FFB" w:rsidRDefault="002412F0" w:rsidP="007C112F">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(Cancún f ; IFC norme 1)</w:t>
            </w:r>
          </w:p>
        </w:tc>
        <w:tc>
          <w:tcPr>
            <w:tcW w:w="4230" w:type="dxa"/>
          </w:tcPr>
          <w:p w14:paraId="1E6CCEA4" w14:textId="4B35E896" w:rsidR="002412F0" w:rsidRPr="00E11FFB" w:rsidRDefault="004B43F6" w:rsidP="004B43F6">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olor w:val="111111"/>
                <w:sz w:val="16"/>
                <w:szCs w:val="16"/>
              </w:rPr>
              <w:t>L’assurance d’une distribution équitable, transparente et inclusive des bénéfices économiques et sociaux générés par le projet au bénéfice de l’ensemble des parties prenantes, y compris des populations et territoires couverts par les zones d’intervention du projet notamment en ce qui concerne l’accès à la terre, les services environnementaux, etc.</w:t>
            </w:r>
            <w:r w:rsidRPr="00E11FFB">
              <w:rPr>
                <w:rFonts w:ascii="Avenir" w:eastAsia="Avenir" w:hAnsi="Avenir" w:cs="Avenir"/>
                <w:b/>
                <w:color w:val="ED7D31"/>
                <w:sz w:val="16"/>
                <w:szCs w:val="16"/>
              </w:rPr>
              <w:t xml:space="preserve"> </w:t>
            </w:r>
          </w:p>
        </w:tc>
        <w:tc>
          <w:tcPr>
            <w:tcW w:w="3434" w:type="dxa"/>
          </w:tcPr>
          <w:p w14:paraId="4F402119" w14:textId="5A5EE3E9" w:rsidR="002412F0" w:rsidRPr="00E11FFB" w:rsidRDefault="00236E26" w:rsidP="002412F0">
            <w:pPr>
              <w:spacing w:after="5" w:line="271" w:lineRule="auto"/>
              <w:rPr>
                <w:rFonts w:ascii="Avenir" w:eastAsia="Avenir" w:hAnsi="Avenir" w:cs="Avenir"/>
                <w:bCs/>
                <w:color w:val="ED7D31"/>
                <w:sz w:val="16"/>
                <w:szCs w:val="16"/>
              </w:rPr>
            </w:pPr>
            <w:r w:rsidRPr="00E11FFB">
              <w:rPr>
                <w:rFonts w:ascii="Avenir" w:eastAsia="Avenir" w:hAnsi="Avenir" w:cs="Avenir"/>
                <w:bCs/>
                <w:color w:val="000000" w:themeColor="text1"/>
                <w:sz w:val="16"/>
                <w:szCs w:val="16"/>
              </w:rPr>
              <w:t>RAS</w:t>
            </w:r>
          </w:p>
        </w:tc>
      </w:tr>
      <w:tr w:rsidR="002412F0" w:rsidRPr="00E11FFB" w14:paraId="3757C6F4" w14:textId="77777777" w:rsidTr="00975025">
        <w:trPr>
          <w:jc w:val="center"/>
        </w:trPr>
        <w:tc>
          <w:tcPr>
            <w:tcW w:w="1975" w:type="dxa"/>
          </w:tcPr>
          <w:p w14:paraId="1AEB08F7"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5 : Les activités REDD+ doivent favoriser l’émergence de nouvelles opportunités économiques pour contribuer au développement durable des communautés locales et des peuples autochtones</w:t>
            </w:r>
          </w:p>
          <w:p w14:paraId="45C3A7D3" w14:textId="77777777" w:rsidR="002412F0" w:rsidRPr="00E11FFB" w:rsidRDefault="002412F0" w:rsidP="002412F0">
            <w:pPr>
              <w:spacing w:after="5" w:line="271" w:lineRule="auto"/>
              <w:rPr>
                <w:rFonts w:ascii="Avenir" w:eastAsia="Avenir" w:hAnsi="Avenir" w:cs="Avenir"/>
                <w:color w:val="ED7D31"/>
                <w:sz w:val="16"/>
                <w:szCs w:val="16"/>
              </w:rPr>
            </w:pPr>
          </w:p>
        </w:tc>
        <w:tc>
          <w:tcPr>
            <w:tcW w:w="4230" w:type="dxa"/>
          </w:tcPr>
          <w:p w14:paraId="5726CD6E" w14:textId="3EC2C258" w:rsidR="00447104" w:rsidRPr="00E11FFB" w:rsidRDefault="00EB79FB" w:rsidP="00EB79FB">
            <w:pPr>
              <w:pStyle w:val="Paragraphedeliste"/>
              <w:numPr>
                <w:ilvl w:val="0"/>
                <w:numId w:val="36"/>
              </w:numPr>
              <w:spacing w:after="5" w:line="271" w:lineRule="auto"/>
              <w:ind w:left="196" w:hanging="196"/>
              <w:rPr>
                <w:rFonts w:ascii="Avenir" w:hAnsi="Avenir"/>
                <w:color w:val="111111"/>
                <w:sz w:val="16"/>
                <w:szCs w:val="16"/>
              </w:rPr>
            </w:pPr>
            <w:r w:rsidRPr="00E11FFB">
              <w:rPr>
                <w:rFonts w:ascii="Avenir" w:hAnsi="Avenir"/>
                <w:color w:val="111111"/>
                <w:sz w:val="16"/>
                <w:szCs w:val="16"/>
              </w:rPr>
              <w:t>La promotion de l’agriculture</w:t>
            </w:r>
            <w:r w:rsidR="00447104" w:rsidRPr="00E11FFB">
              <w:rPr>
                <w:rFonts w:ascii="Avenir" w:hAnsi="Avenir"/>
                <w:color w:val="111111"/>
                <w:sz w:val="16"/>
                <w:szCs w:val="16"/>
              </w:rPr>
              <w:t xml:space="preserve"> durable dans les zones du projet </w:t>
            </w:r>
            <w:r w:rsidRPr="00E11FFB">
              <w:rPr>
                <w:rFonts w:ascii="Avenir" w:hAnsi="Avenir"/>
                <w:color w:val="111111"/>
                <w:sz w:val="16"/>
                <w:szCs w:val="16"/>
              </w:rPr>
              <w:t xml:space="preserve">favorise l’émergence de nouvelles opportunités de valorisation de zones jadis non exploitées comme les savanes, ce qui est susceptible de contribuer au développement durable des communautés rurales dans la zone du projet ; </w:t>
            </w:r>
          </w:p>
          <w:p w14:paraId="7B8A1E0E" w14:textId="690E262B" w:rsidR="00447104" w:rsidRPr="00E11FFB" w:rsidRDefault="00447104" w:rsidP="00EB79FB">
            <w:pPr>
              <w:pStyle w:val="Paragraphedeliste"/>
              <w:numPr>
                <w:ilvl w:val="0"/>
                <w:numId w:val="36"/>
              </w:numPr>
              <w:spacing w:after="5" w:line="271" w:lineRule="auto"/>
              <w:ind w:left="196" w:hanging="196"/>
              <w:rPr>
                <w:rFonts w:ascii="Avenir" w:hAnsi="Avenir"/>
                <w:color w:val="111111"/>
                <w:sz w:val="16"/>
                <w:szCs w:val="16"/>
              </w:rPr>
            </w:pPr>
            <w:r w:rsidRPr="00E11FFB">
              <w:rPr>
                <w:rFonts w:ascii="Avenir" w:hAnsi="Avenir"/>
                <w:color w:val="111111"/>
                <w:sz w:val="16"/>
                <w:szCs w:val="16"/>
              </w:rPr>
              <w:t xml:space="preserve">Amélioration d’accès à la terre </w:t>
            </w:r>
            <w:r w:rsidR="00EB79FB" w:rsidRPr="00E11FFB">
              <w:rPr>
                <w:rFonts w:ascii="Avenir" w:hAnsi="Avenir"/>
                <w:color w:val="111111"/>
                <w:sz w:val="16"/>
                <w:szCs w:val="16"/>
              </w:rPr>
              <w:t xml:space="preserve">à travers le processus d’élaboration du schéma national d’aménagement du territoire favorise le développement local et offre aux communautés les opportunités d’usage de terre sécure pour leur développement ; </w:t>
            </w:r>
          </w:p>
          <w:p w14:paraId="7E0A170D" w14:textId="7FEB8DD1" w:rsidR="00447104" w:rsidRPr="00E11FFB" w:rsidRDefault="008B7A64" w:rsidP="00EB79FB">
            <w:pPr>
              <w:pStyle w:val="Paragraphedeliste"/>
              <w:numPr>
                <w:ilvl w:val="0"/>
                <w:numId w:val="36"/>
              </w:numPr>
              <w:spacing w:after="5" w:line="271" w:lineRule="auto"/>
              <w:ind w:left="196" w:hanging="196"/>
              <w:rPr>
                <w:rFonts w:ascii="Avenir" w:eastAsia="Avenir" w:hAnsi="Avenir" w:cs="Avenir"/>
                <w:b/>
                <w:color w:val="ED7D31"/>
                <w:sz w:val="16"/>
                <w:szCs w:val="16"/>
              </w:rPr>
            </w:pPr>
            <w:r w:rsidRPr="00E11FFB">
              <w:rPr>
                <w:rFonts w:ascii="Avenir" w:hAnsi="Avenir"/>
                <w:color w:val="111111"/>
                <w:sz w:val="16"/>
                <w:szCs w:val="16"/>
              </w:rPr>
              <w:t>Contrôle</w:t>
            </w:r>
            <w:r w:rsidR="00447104" w:rsidRPr="00E11FFB">
              <w:rPr>
                <w:rFonts w:ascii="Avenir" w:hAnsi="Avenir"/>
                <w:color w:val="111111"/>
                <w:sz w:val="16"/>
                <w:szCs w:val="16"/>
              </w:rPr>
              <w:t xml:space="preserve"> environnemental et social des projets améliore les conditions des communautés locales et offre des nouvelles opportunités économiques pour le développement endogène</w:t>
            </w:r>
          </w:p>
        </w:tc>
        <w:tc>
          <w:tcPr>
            <w:tcW w:w="3434" w:type="dxa"/>
          </w:tcPr>
          <w:p w14:paraId="64233FE9" w14:textId="2AACB561" w:rsidR="002412F0" w:rsidRPr="00E11FFB" w:rsidRDefault="008B7A64" w:rsidP="008B7A64">
            <w:pPr>
              <w:pStyle w:val="Paragraphedeliste"/>
              <w:numPr>
                <w:ilvl w:val="0"/>
                <w:numId w:val="36"/>
              </w:numPr>
              <w:spacing w:after="5" w:line="271" w:lineRule="auto"/>
              <w:ind w:left="196" w:hanging="196"/>
              <w:rPr>
                <w:rFonts w:ascii="Avenir" w:eastAsia="Avenir" w:hAnsi="Avenir" w:cs="Avenir"/>
                <w:bCs/>
                <w:color w:val="000000" w:themeColor="text1"/>
                <w:sz w:val="16"/>
                <w:szCs w:val="16"/>
              </w:rPr>
            </w:pPr>
            <w:r w:rsidRPr="00E11FFB">
              <w:rPr>
                <w:rFonts w:ascii="Avenir" w:eastAsia="Avenir" w:hAnsi="Avenir" w:cs="Avenir"/>
                <w:bCs/>
                <w:color w:val="000000" w:themeColor="text1"/>
                <w:sz w:val="16"/>
                <w:szCs w:val="16"/>
              </w:rPr>
              <w:t>L’émergence de nouvelles opportunités et le développement durable des communautés est un processus sur le long terme et ses effets ne sont pas mesurables sur la durée du projet d’appui à l’atteinte de jalons</w:t>
            </w:r>
          </w:p>
        </w:tc>
      </w:tr>
      <w:tr w:rsidR="002412F0" w:rsidRPr="00E11FFB" w14:paraId="0CEE643B" w14:textId="77777777" w:rsidTr="00975025">
        <w:trPr>
          <w:jc w:val="center"/>
        </w:trPr>
        <w:tc>
          <w:tcPr>
            <w:tcW w:w="1975" w:type="dxa"/>
          </w:tcPr>
          <w:p w14:paraId="3D785B67"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6 : Les activités REDD+ doivent assurer la participation effective et efficiente de toutes les parties prenantes, notamment des communautés locales et autochtones dans leurs spécificités locales</w:t>
            </w:r>
          </w:p>
          <w:p w14:paraId="2A23F630" w14:textId="4FE8505E" w:rsidR="002412F0" w:rsidRPr="00E11FFB" w:rsidRDefault="002412F0" w:rsidP="00840717">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(Cancun d)</w:t>
            </w:r>
          </w:p>
        </w:tc>
        <w:tc>
          <w:tcPr>
            <w:tcW w:w="4230" w:type="dxa"/>
          </w:tcPr>
          <w:p w14:paraId="40A845E9" w14:textId="76F27E68" w:rsidR="00720FEF" w:rsidRPr="00E11FFB" w:rsidRDefault="00840717" w:rsidP="00840717">
            <w:pPr>
              <w:pStyle w:val="Paragraphedeliste"/>
              <w:numPr>
                <w:ilvl w:val="0"/>
                <w:numId w:val="36"/>
              </w:numPr>
              <w:spacing w:after="5" w:line="271" w:lineRule="auto"/>
              <w:ind w:left="196" w:hanging="196"/>
              <w:rPr>
                <w:rFonts w:ascii="Avenir" w:hAnsi="Avenir"/>
                <w:color w:val="111111"/>
                <w:sz w:val="16"/>
                <w:szCs w:val="16"/>
              </w:rPr>
            </w:pPr>
            <w:r w:rsidRPr="00E11FFB">
              <w:rPr>
                <w:rFonts w:ascii="Avenir" w:hAnsi="Avenir"/>
                <w:color w:val="111111"/>
                <w:sz w:val="16"/>
                <w:szCs w:val="16"/>
              </w:rPr>
              <w:t xml:space="preserve">Les processus d’élaboration de la politique forestière nationale et la population nationale de population ont permis la consultation des communautés locales, les peuples autochtones, les jeunes, les femmes dans leur spécificité dans l’ensemble de province du pays ; </w:t>
            </w:r>
          </w:p>
        </w:tc>
        <w:tc>
          <w:tcPr>
            <w:tcW w:w="3434" w:type="dxa"/>
          </w:tcPr>
          <w:p w14:paraId="128ED782" w14:textId="1A56C069" w:rsidR="002412F0" w:rsidRPr="00E11FFB" w:rsidRDefault="00236E26" w:rsidP="002412F0">
            <w:pPr>
              <w:spacing w:after="5" w:line="271" w:lineRule="auto"/>
              <w:rPr>
                <w:rFonts w:ascii="Avenir" w:eastAsia="Avenir" w:hAnsi="Avenir" w:cs="Avenir"/>
                <w:b/>
                <w:color w:val="ED7D31"/>
                <w:sz w:val="16"/>
                <w:szCs w:val="16"/>
              </w:rPr>
            </w:pPr>
            <w:r w:rsidRPr="00E11FFB">
              <w:rPr>
                <w:rFonts w:ascii="Avenir" w:eastAsia="Avenir" w:hAnsi="Avenir" w:cs="Avenir"/>
                <w:bCs/>
                <w:color w:val="000000" w:themeColor="text1"/>
                <w:sz w:val="16"/>
                <w:szCs w:val="16"/>
              </w:rPr>
              <w:t>RAS</w:t>
            </w:r>
          </w:p>
        </w:tc>
      </w:tr>
      <w:tr w:rsidR="002412F0" w:rsidRPr="00E11FFB" w14:paraId="7833115E" w14:textId="77777777" w:rsidTr="00975025">
        <w:trPr>
          <w:jc w:val="center"/>
        </w:trPr>
        <w:tc>
          <w:tcPr>
            <w:tcW w:w="1975" w:type="dxa"/>
          </w:tcPr>
          <w:p w14:paraId="3087E248" w14:textId="77777777" w:rsidR="002412F0" w:rsidRPr="00E11FFB" w:rsidRDefault="002412F0" w:rsidP="002412F0">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Principe 7 : Les activités REDD+ doivent respecter les droits humains, ceux des travailleurs qu’ils emploient et les droits aux terres et ressources naturelles des communautés riveraines concernées</w:t>
            </w:r>
          </w:p>
          <w:p w14:paraId="7F4C33E4" w14:textId="5269E6A5" w:rsidR="002412F0" w:rsidRPr="00E11FFB" w:rsidRDefault="002412F0" w:rsidP="00236E2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(Cancun c </w:t>
            </w:r>
          </w:p>
        </w:tc>
        <w:tc>
          <w:tcPr>
            <w:tcW w:w="4230" w:type="dxa"/>
          </w:tcPr>
          <w:p w14:paraId="296FB747" w14:textId="0F0F02A3" w:rsidR="002412F0" w:rsidRPr="00E11FFB" w:rsidRDefault="0093735D" w:rsidP="0093735D">
            <w:pPr>
              <w:pStyle w:val="Paragraphedeliste"/>
              <w:numPr>
                <w:ilvl w:val="0"/>
                <w:numId w:val="36"/>
              </w:numPr>
              <w:spacing w:after="5" w:line="271" w:lineRule="auto"/>
              <w:ind w:left="196" w:hanging="196"/>
              <w:rPr>
                <w:rFonts w:ascii="Avenir" w:hAnsi="Avenir"/>
                <w:color w:val="111111"/>
                <w:sz w:val="16"/>
                <w:szCs w:val="16"/>
              </w:rPr>
            </w:pPr>
            <w:r w:rsidRPr="00E11FFB">
              <w:rPr>
                <w:rFonts w:ascii="Avenir" w:hAnsi="Avenir"/>
                <w:color w:val="111111"/>
                <w:sz w:val="16"/>
                <w:szCs w:val="16"/>
              </w:rPr>
              <w:t>Dans le cadre de la mise en œuvre du programme, le respect des droits humains, conformément aux dispositions de la législation nationale du travail et aux standards applicables, a constitué un principe transversal et non négociable. Ces exigences ont été formellement intégrées dans l’ensemble des accords contractuels conclus avec les partenaires de mise en œuvre et les consultants.</w:t>
            </w:r>
          </w:p>
        </w:tc>
        <w:tc>
          <w:tcPr>
            <w:tcW w:w="3434" w:type="dxa"/>
          </w:tcPr>
          <w:p w14:paraId="3DD6E59A" w14:textId="0D204919" w:rsidR="002412F0" w:rsidRPr="00E11FFB" w:rsidRDefault="00236E26" w:rsidP="002412F0">
            <w:pPr>
              <w:spacing w:after="5" w:line="271" w:lineRule="auto"/>
              <w:rPr>
                <w:rFonts w:ascii="Avenir" w:eastAsia="Avenir" w:hAnsi="Avenir" w:cs="Avenir"/>
                <w:b/>
                <w:color w:val="ED7D31"/>
                <w:sz w:val="16"/>
                <w:szCs w:val="16"/>
              </w:rPr>
            </w:pPr>
            <w:r w:rsidRPr="00E11FFB">
              <w:rPr>
                <w:rFonts w:ascii="Avenir" w:eastAsia="Avenir" w:hAnsi="Avenir" w:cs="Avenir"/>
                <w:bCs/>
                <w:color w:val="000000" w:themeColor="text1"/>
                <w:sz w:val="16"/>
                <w:szCs w:val="16"/>
              </w:rPr>
              <w:t>RAS</w:t>
            </w:r>
          </w:p>
        </w:tc>
      </w:tr>
      <w:tr w:rsidR="002412F0" w:rsidRPr="00E11FFB" w14:paraId="08B4990A" w14:textId="77777777" w:rsidTr="00975025">
        <w:trPr>
          <w:jc w:val="center"/>
        </w:trPr>
        <w:tc>
          <w:tcPr>
            <w:tcW w:w="1975" w:type="dxa"/>
          </w:tcPr>
          <w:p w14:paraId="3D6D1356" w14:textId="43C231F7" w:rsidR="002412F0" w:rsidRPr="00E11FFB" w:rsidRDefault="002412F0" w:rsidP="00236E2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a) Que les actions complètent ou sont conformes aux objectifs des programmes forestiers nationaux et des conventions et accords internationaux pertinents ;</w:t>
            </w:r>
          </w:p>
        </w:tc>
        <w:tc>
          <w:tcPr>
            <w:tcW w:w="4230" w:type="dxa"/>
          </w:tcPr>
          <w:p w14:paraId="1C8BA91B" w14:textId="5FFCA6A6" w:rsidR="002412F0" w:rsidRPr="00E11FFB" w:rsidRDefault="00236E26" w:rsidP="002412F0">
            <w:pPr>
              <w:spacing w:after="5" w:line="271" w:lineRule="auto"/>
              <w:rPr>
                <w:rFonts w:ascii="Avenir" w:eastAsia="Avenir" w:hAnsi="Avenir" w:cs="Avenir"/>
                <w:bCs/>
                <w:color w:val="000000" w:themeColor="text1"/>
                <w:sz w:val="16"/>
                <w:szCs w:val="16"/>
              </w:rPr>
            </w:pPr>
            <w:r w:rsidRPr="00E11FFB">
              <w:rPr>
                <w:rFonts w:ascii="Avenir" w:eastAsia="Avenir" w:hAnsi="Avenir" w:cs="Avenir"/>
                <w:bCs/>
                <w:color w:val="000000" w:themeColor="text1"/>
                <w:sz w:val="16"/>
                <w:szCs w:val="16"/>
              </w:rPr>
              <w:t>Les actions de ce programme s’alignent prioritairement dans l’objectif de réduction de la déforestation et conservation des ressources naturelles et forestières</w:t>
            </w:r>
          </w:p>
        </w:tc>
        <w:tc>
          <w:tcPr>
            <w:tcW w:w="3434" w:type="dxa"/>
          </w:tcPr>
          <w:p w14:paraId="34E322A3" w14:textId="2AA10C77" w:rsidR="002412F0" w:rsidRPr="00E11FFB" w:rsidRDefault="00236E26" w:rsidP="002412F0">
            <w:pPr>
              <w:spacing w:after="5" w:line="271" w:lineRule="auto"/>
              <w:rPr>
                <w:rFonts w:ascii="Avenir" w:eastAsia="Avenir" w:hAnsi="Avenir" w:cs="Avenir"/>
                <w:b/>
                <w:color w:val="ED7D31"/>
                <w:sz w:val="16"/>
                <w:szCs w:val="16"/>
              </w:rPr>
            </w:pPr>
            <w:r w:rsidRPr="00E11FFB">
              <w:rPr>
                <w:rFonts w:ascii="Avenir" w:eastAsia="Avenir" w:hAnsi="Avenir" w:cs="Avenir"/>
                <w:bCs/>
                <w:color w:val="000000" w:themeColor="text1"/>
                <w:sz w:val="16"/>
                <w:szCs w:val="16"/>
              </w:rPr>
              <w:t>RAS</w:t>
            </w:r>
          </w:p>
        </w:tc>
      </w:tr>
      <w:tr w:rsidR="002412F0" w:rsidRPr="00E11FFB" w14:paraId="55A15FFA" w14:textId="77777777" w:rsidTr="00975025">
        <w:trPr>
          <w:jc w:val="center"/>
        </w:trPr>
        <w:tc>
          <w:tcPr>
            <w:tcW w:w="1975" w:type="dxa"/>
          </w:tcPr>
          <w:p w14:paraId="5E921490" w14:textId="0C03AB66" w:rsidR="002412F0" w:rsidRPr="00E11FFB" w:rsidRDefault="002412F0" w:rsidP="00236E2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b) Mesures visant à réduire les déplacements d’émissions.</w:t>
            </w:r>
          </w:p>
        </w:tc>
        <w:tc>
          <w:tcPr>
            <w:tcW w:w="4230" w:type="dxa"/>
          </w:tcPr>
          <w:p w14:paraId="252BCB2E" w14:textId="415A8A0A" w:rsidR="002412F0" w:rsidRPr="00E11FFB" w:rsidRDefault="00236E26" w:rsidP="002412F0">
            <w:pPr>
              <w:spacing w:after="5" w:line="271" w:lineRule="auto"/>
              <w:rPr>
                <w:rFonts w:ascii="Avenir" w:eastAsia="Avenir" w:hAnsi="Avenir" w:cs="Avenir"/>
                <w:bCs/>
                <w:color w:val="000000" w:themeColor="text1"/>
                <w:sz w:val="16"/>
                <w:szCs w:val="16"/>
              </w:rPr>
            </w:pPr>
            <w:r w:rsidRPr="00E11FFB">
              <w:rPr>
                <w:rFonts w:ascii="Avenir" w:eastAsia="Avenir" w:hAnsi="Avenir" w:cs="Avenir"/>
                <w:bCs/>
                <w:color w:val="000000" w:themeColor="text1"/>
                <w:sz w:val="16"/>
                <w:szCs w:val="16"/>
              </w:rPr>
              <w:t>Les t</w:t>
            </w:r>
            <w:r w:rsidR="00357443" w:rsidRPr="00E11FFB">
              <w:rPr>
                <w:rFonts w:ascii="Avenir" w:eastAsia="Avenir" w:hAnsi="Avenir" w:cs="Avenir"/>
                <w:bCs/>
                <w:color w:val="000000" w:themeColor="text1"/>
                <w:sz w:val="16"/>
                <w:szCs w:val="16"/>
              </w:rPr>
              <w:t xml:space="preserve">extes </w:t>
            </w:r>
            <w:r w:rsidRPr="00E11FFB">
              <w:rPr>
                <w:rFonts w:ascii="Avenir" w:eastAsia="Avenir" w:hAnsi="Avenir" w:cs="Avenir"/>
                <w:bCs/>
                <w:color w:val="000000" w:themeColor="text1"/>
                <w:sz w:val="16"/>
                <w:szCs w:val="16"/>
              </w:rPr>
              <w:t>règlementaires</w:t>
            </w:r>
            <w:r w:rsidR="00357443" w:rsidRPr="00E11FFB">
              <w:rPr>
                <w:rFonts w:ascii="Avenir" w:eastAsia="Avenir" w:hAnsi="Avenir" w:cs="Avenir"/>
                <w:bCs/>
                <w:color w:val="000000" w:themeColor="text1"/>
                <w:sz w:val="16"/>
                <w:szCs w:val="16"/>
              </w:rPr>
              <w:t xml:space="preserve"> </w:t>
            </w:r>
            <w:r w:rsidRPr="00E11FFB">
              <w:rPr>
                <w:rFonts w:ascii="Avenir" w:eastAsia="Avenir" w:hAnsi="Avenir" w:cs="Avenir"/>
                <w:bCs/>
                <w:color w:val="000000" w:themeColor="text1"/>
                <w:sz w:val="16"/>
                <w:szCs w:val="16"/>
              </w:rPr>
              <w:t xml:space="preserve">des </w:t>
            </w:r>
            <w:r w:rsidR="00357443" w:rsidRPr="00E11FFB">
              <w:rPr>
                <w:rFonts w:ascii="Avenir" w:eastAsia="Avenir" w:hAnsi="Avenir" w:cs="Avenir"/>
                <w:bCs/>
                <w:color w:val="000000" w:themeColor="text1"/>
                <w:sz w:val="16"/>
                <w:szCs w:val="16"/>
              </w:rPr>
              <w:t>secteur</w:t>
            </w:r>
            <w:r w:rsidRPr="00E11FFB">
              <w:rPr>
                <w:rFonts w:ascii="Avenir" w:eastAsia="Avenir" w:hAnsi="Avenir" w:cs="Avenir"/>
                <w:bCs/>
                <w:color w:val="000000" w:themeColor="text1"/>
                <w:sz w:val="16"/>
                <w:szCs w:val="16"/>
              </w:rPr>
              <w:t>s de</w:t>
            </w:r>
            <w:r w:rsidR="00357443" w:rsidRPr="00E11FFB">
              <w:rPr>
                <w:rFonts w:ascii="Avenir" w:eastAsia="Avenir" w:hAnsi="Avenir" w:cs="Avenir"/>
                <w:bCs/>
                <w:color w:val="000000" w:themeColor="text1"/>
                <w:sz w:val="16"/>
                <w:szCs w:val="16"/>
              </w:rPr>
              <w:t xml:space="preserve"> mines et </w:t>
            </w:r>
            <w:r w:rsidRPr="00E11FFB">
              <w:rPr>
                <w:rFonts w:ascii="Avenir" w:eastAsia="Avenir" w:hAnsi="Avenir" w:cs="Avenir"/>
                <w:bCs/>
                <w:color w:val="000000" w:themeColor="text1"/>
                <w:sz w:val="16"/>
                <w:szCs w:val="16"/>
              </w:rPr>
              <w:t xml:space="preserve">des </w:t>
            </w:r>
            <w:r w:rsidR="00357443" w:rsidRPr="00E11FFB">
              <w:rPr>
                <w:rFonts w:ascii="Avenir" w:eastAsia="Avenir" w:hAnsi="Avenir" w:cs="Avenir"/>
                <w:bCs/>
                <w:color w:val="000000" w:themeColor="text1"/>
                <w:sz w:val="16"/>
                <w:szCs w:val="16"/>
              </w:rPr>
              <w:t xml:space="preserve">hydrocarbures </w:t>
            </w:r>
            <w:r w:rsidRPr="00E11FFB">
              <w:rPr>
                <w:rFonts w:ascii="Avenir" w:eastAsia="Avenir" w:hAnsi="Avenir" w:cs="Avenir"/>
                <w:bCs/>
                <w:color w:val="000000" w:themeColor="text1"/>
                <w:sz w:val="16"/>
                <w:szCs w:val="16"/>
              </w:rPr>
              <w:t xml:space="preserve">ont été élaborés dans le but de </w:t>
            </w:r>
            <w:r w:rsidR="00357443" w:rsidRPr="00E11FFB">
              <w:rPr>
                <w:rFonts w:ascii="Avenir" w:eastAsia="Avenir" w:hAnsi="Avenir" w:cs="Avenir"/>
                <w:bCs/>
                <w:color w:val="000000" w:themeColor="text1"/>
                <w:sz w:val="16"/>
                <w:szCs w:val="16"/>
              </w:rPr>
              <w:t xml:space="preserve">diminuer les impacts </w:t>
            </w:r>
            <w:r w:rsidRPr="00E11FFB">
              <w:rPr>
                <w:rFonts w:ascii="Avenir" w:eastAsia="Avenir" w:hAnsi="Avenir" w:cs="Avenir"/>
                <w:bCs/>
                <w:color w:val="000000" w:themeColor="text1"/>
                <w:sz w:val="16"/>
                <w:szCs w:val="16"/>
              </w:rPr>
              <w:t>environnemental</w:t>
            </w:r>
            <w:r w:rsidR="00357443" w:rsidRPr="00E11FFB">
              <w:rPr>
                <w:rFonts w:ascii="Avenir" w:eastAsia="Avenir" w:hAnsi="Avenir" w:cs="Avenir"/>
                <w:bCs/>
                <w:color w:val="000000" w:themeColor="text1"/>
                <w:sz w:val="16"/>
                <w:szCs w:val="16"/>
              </w:rPr>
              <w:t xml:space="preserve"> et social </w:t>
            </w:r>
            <w:r w:rsidRPr="00E11FFB">
              <w:rPr>
                <w:rFonts w:ascii="Avenir" w:eastAsia="Avenir" w:hAnsi="Avenir" w:cs="Avenir"/>
                <w:bCs/>
                <w:color w:val="000000" w:themeColor="text1"/>
                <w:sz w:val="16"/>
                <w:szCs w:val="16"/>
              </w:rPr>
              <w:t xml:space="preserve">de ces secteurs sur les ressources naturelles et forestières. </w:t>
            </w:r>
          </w:p>
        </w:tc>
        <w:tc>
          <w:tcPr>
            <w:tcW w:w="3434" w:type="dxa"/>
          </w:tcPr>
          <w:p w14:paraId="1C1E68A6" w14:textId="7F67F689" w:rsidR="002412F0" w:rsidRPr="00E11FFB" w:rsidRDefault="00236E26" w:rsidP="002412F0">
            <w:pPr>
              <w:spacing w:after="5" w:line="271" w:lineRule="auto"/>
              <w:rPr>
                <w:rFonts w:ascii="Avenir" w:eastAsia="Avenir" w:hAnsi="Avenir" w:cs="Avenir"/>
                <w:b/>
                <w:color w:val="ED7D31"/>
                <w:sz w:val="16"/>
                <w:szCs w:val="16"/>
              </w:rPr>
            </w:pPr>
            <w:r w:rsidRPr="00E11FFB">
              <w:rPr>
                <w:rFonts w:ascii="Avenir" w:eastAsia="Avenir" w:hAnsi="Avenir" w:cs="Avenir"/>
                <w:bCs/>
                <w:color w:val="000000" w:themeColor="text1"/>
                <w:sz w:val="16"/>
                <w:szCs w:val="16"/>
              </w:rPr>
              <w:t>RAS</w:t>
            </w:r>
          </w:p>
        </w:tc>
      </w:tr>
      <w:tr w:rsidR="002412F0" w:rsidRPr="00E11FFB" w14:paraId="23736FEC" w14:textId="77777777" w:rsidTr="00975025">
        <w:trPr>
          <w:jc w:val="center"/>
        </w:trPr>
        <w:tc>
          <w:tcPr>
            <w:tcW w:w="1975" w:type="dxa"/>
          </w:tcPr>
          <w:p w14:paraId="33E76EC9" w14:textId="03D3134B" w:rsidR="002412F0" w:rsidRPr="00E11FFB" w:rsidRDefault="002412F0" w:rsidP="00236E26">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C) Norme de performance 2 : Main-d’œuvre et conditions de travail</w:t>
            </w:r>
          </w:p>
        </w:tc>
        <w:tc>
          <w:tcPr>
            <w:tcW w:w="4230" w:type="dxa"/>
          </w:tcPr>
          <w:p w14:paraId="5091D1DC" w14:textId="22262142" w:rsidR="002412F0" w:rsidRPr="00E11FFB" w:rsidRDefault="009536B5" w:rsidP="002412F0">
            <w:pPr>
              <w:spacing w:after="5" w:line="271" w:lineRule="auto"/>
              <w:rPr>
                <w:rFonts w:ascii="Avenir" w:eastAsia="Avenir" w:hAnsi="Avenir" w:cs="Avenir"/>
                <w:bCs/>
                <w:color w:val="000000" w:themeColor="text1"/>
                <w:sz w:val="16"/>
                <w:szCs w:val="16"/>
              </w:rPr>
            </w:pPr>
            <w:r w:rsidRPr="00E11FFB">
              <w:rPr>
                <w:rFonts w:ascii="Avenir" w:eastAsia="Avenir" w:hAnsi="Avenir" w:cs="Avenir"/>
                <w:bCs/>
                <w:color w:val="000000" w:themeColor="text1"/>
                <w:sz w:val="16"/>
                <w:szCs w:val="16"/>
              </w:rPr>
              <w:t>Les partenaires de mise en œuvre sont suivis de manière régulière pour évaluer leur performance. L’utilisation de la main d’œuvre et le respect des conditions de travail suivent la législation sociale en vigueur en RD Congo</w:t>
            </w:r>
          </w:p>
        </w:tc>
        <w:tc>
          <w:tcPr>
            <w:tcW w:w="3434" w:type="dxa"/>
          </w:tcPr>
          <w:p w14:paraId="052CD1A6" w14:textId="77777777" w:rsidR="002412F0" w:rsidRPr="00E11FFB" w:rsidRDefault="002412F0" w:rsidP="002412F0">
            <w:pPr>
              <w:spacing w:after="5" w:line="271" w:lineRule="auto"/>
              <w:rPr>
                <w:rFonts w:ascii="Avenir" w:eastAsia="Avenir" w:hAnsi="Avenir" w:cs="Avenir"/>
                <w:b/>
                <w:color w:val="ED7D31"/>
                <w:sz w:val="16"/>
                <w:szCs w:val="16"/>
              </w:rPr>
            </w:pPr>
          </w:p>
        </w:tc>
      </w:tr>
    </w:tbl>
    <w:p w14:paraId="1E99876E" w14:textId="77777777" w:rsidR="0024617D" w:rsidRPr="00E11FFB" w:rsidRDefault="0024617D">
      <w:pPr>
        <w:keepNext/>
        <w:spacing w:after="5" w:line="271" w:lineRule="auto"/>
        <w:ind w:right="29"/>
        <w:jc w:val="both"/>
        <w:rPr>
          <w:rFonts w:ascii="Avenir" w:eastAsia="Avenir" w:hAnsi="Avenir" w:cs="Avenir"/>
          <w:i/>
          <w:color w:val="000000"/>
          <w:sz w:val="20"/>
          <w:szCs w:val="20"/>
        </w:rPr>
      </w:pPr>
    </w:p>
    <w:p w14:paraId="02ED4083" w14:textId="77777777" w:rsidR="0024617D" w:rsidRPr="00E11FFB" w:rsidRDefault="00C83F85">
      <w:pPr>
        <w:pStyle w:val="Titre1"/>
        <w:numPr>
          <w:ilvl w:val="0"/>
          <w:numId w:val="1"/>
        </w:numPr>
      </w:pPr>
      <w:bookmarkStart w:id="43" w:name="_Toc224044731"/>
      <w:r w:rsidRPr="00E11FFB">
        <w:t>Gestion des risques</w:t>
      </w:r>
      <w:bookmarkEnd w:id="43"/>
    </w:p>
    <w:p w14:paraId="62D081E2" w14:textId="77777777" w:rsidR="0024617D" w:rsidRPr="00E11FFB" w:rsidRDefault="0024617D">
      <w:pPr>
        <w:pBdr>
          <w:top w:val="nil"/>
          <w:left w:val="nil"/>
          <w:bottom w:val="nil"/>
          <w:right w:val="nil"/>
          <w:between w:val="nil"/>
        </w:pBdr>
        <w:ind w:left="20" w:right="28" w:hanging="10"/>
        <w:jc w:val="both"/>
        <w:rPr>
          <w:rFonts w:ascii="Avenir" w:eastAsia="Avenir" w:hAnsi="Avenir" w:cs="Avenir"/>
          <w:color w:val="000000"/>
          <w:sz w:val="16"/>
          <w:szCs w:val="16"/>
        </w:rPr>
      </w:pPr>
    </w:p>
    <w:p w14:paraId="74139FF4" w14:textId="77777777" w:rsidR="0024617D" w:rsidRPr="00E11FFB" w:rsidRDefault="00C83F85">
      <w:pPr>
        <w:pStyle w:val="Titre2"/>
      </w:pPr>
      <w:bookmarkStart w:id="44" w:name="_Toc224044732"/>
      <w:r w:rsidRPr="00E11FFB">
        <w:t>10.1 Matrice de gestion des risques sur la base de l'analyse effectuée</w:t>
      </w:r>
      <w:bookmarkEnd w:id="44"/>
    </w:p>
    <w:p w14:paraId="2FEC5737" w14:textId="77777777" w:rsidR="0024617D" w:rsidRPr="00E11FFB" w:rsidRDefault="00C83F85">
      <w:pPr>
        <w:pBdr>
          <w:top w:val="nil"/>
          <w:left w:val="nil"/>
          <w:bottom w:val="nil"/>
          <w:right w:val="nil"/>
          <w:between w:val="nil"/>
        </w:pBdr>
        <w:jc w:val="both"/>
        <w:rPr>
          <w:rFonts w:ascii="Avenir" w:eastAsia="Avenir" w:hAnsi="Avenir" w:cs="Avenir"/>
          <w:i/>
          <w:color w:val="000000"/>
          <w:sz w:val="20"/>
          <w:szCs w:val="20"/>
        </w:rPr>
      </w:pPr>
      <w:r w:rsidRPr="00E11FFB">
        <w:rPr>
          <w:rFonts w:ascii="Avenir" w:eastAsia="Avenir" w:hAnsi="Avenir" w:cs="Avenir"/>
          <w:i/>
          <w:color w:val="000000"/>
          <w:sz w:val="20"/>
          <w:szCs w:val="20"/>
        </w:rPr>
        <w:t xml:space="preserve"> </w:t>
      </w:r>
    </w:p>
    <w:p w14:paraId="0ED6242C" w14:textId="77777777" w:rsidR="0024617D" w:rsidRPr="00E11FFB" w:rsidRDefault="00C83F85">
      <w:pPr>
        <w:spacing w:after="5"/>
        <w:ind w:left="20" w:right="28" w:hanging="10"/>
        <w:jc w:val="both"/>
        <w:rPr>
          <w:rFonts w:ascii="Avenir" w:eastAsia="Avenir" w:hAnsi="Avenir" w:cs="Avenir"/>
          <w:color w:val="000000"/>
        </w:rPr>
      </w:pPr>
      <w:r w:rsidRPr="00E11FFB">
        <w:rPr>
          <w:rFonts w:ascii="Avenir" w:eastAsia="Avenir" w:hAnsi="Avenir" w:cs="Avenir"/>
          <w:color w:val="000000"/>
        </w:rPr>
        <w:t>Gestion des risques</w:t>
      </w:r>
    </w:p>
    <w:tbl>
      <w:tblPr>
        <w:tblStyle w:val="2"/>
        <w:tblW w:w="9582" w:type="dxa"/>
        <w:jc w:val="center"/>
        <w:tblLayout w:type="fixed"/>
        <w:tblLook w:val="0400" w:firstRow="0" w:lastRow="0" w:firstColumn="0" w:lastColumn="0" w:noHBand="0" w:noVBand="1"/>
      </w:tblPr>
      <w:tblGrid>
        <w:gridCol w:w="1356"/>
        <w:gridCol w:w="1333"/>
        <w:gridCol w:w="1134"/>
        <w:gridCol w:w="2112"/>
        <w:gridCol w:w="1507"/>
        <w:gridCol w:w="1301"/>
        <w:gridCol w:w="839"/>
      </w:tblGrid>
      <w:tr w:rsidR="00CA2E53" w:rsidRPr="00E11FFB" w14:paraId="74EE5335" w14:textId="77777777" w:rsidTr="00103B6C">
        <w:trPr>
          <w:trHeight w:val="280"/>
          <w:jc w:val="center"/>
        </w:trPr>
        <w:tc>
          <w:tcPr>
            <w:tcW w:w="3823" w:type="dxa"/>
            <w:gridSpan w:val="3"/>
            <w:tcBorders>
              <w:top w:val="single" w:sz="4" w:space="0" w:color="000000"/>
              <w:left w:val="single" w:sz="4" w:space="0" w:color="000000"/>
              <w:bottom w:val="single" w:sz="4" w:space="0" w:color="000000"/>
              <w:right w:val="single" w:sz="4" w:space="0" w:color="000000"/>
            </w:tcBorders>
            <w:shd w:val="clear" w:color="auto" w:fill="DBE6B6"/>
            <w:vAlign w:val="bottom"/>
          </w:tcPr>
          <w:p w14:paraId="2F5CD892" w14:textId="77777777" w:rsidR="00CA2E53" w:rsidRPr="00E11FFB" w:rsidRDefault="00CA2E53" w:rsidP="003A6DE1">
            <w:pPr>
              <w:rPr>
                <w:rFonts w:ascii="Avenir" w:eastAsia="Avenir" w:hAnsi="Avenir" w:cs="Avenir"/>
                <w:b/>
                <w:sz w:val="16"/>
                <w:szCs w:val="16"/>
              </w:rPr>
            </w:pPr>
            <w:r w:rsidRPr="00E11FFB">
              <w:rPr>
                <w:rFonts w:ascii="Avenir" w:eastAsia="Avenir" w:hAnsi="Avenir" w:cs="Avenir"/>
                <w:b/>
                <w:sz w:val="16"/>
                <w:szCs w:val="16"/>
              </w:rPr>
              <w:t>Identification des risques</w:t>
            </w:r>
          </w:p>
        </w:tc>
        <w:tc>
          <w:tcPr>
            <w:tcW w:w="2112" w:type="dxa"/>
            <w:tcBorders>
              <w:top w:val="single" w:sz="4" w:space="0" w:color="000000"/>
              <w:left w:val="nil"/>
              <w:bottom w:val="single" w:sz="4" w:space="0" w:color="000000"/>
              <w:right w:val="nil"/>
            </w:tcBorders>
            <w:shd w:val="clear" w:color="auto" w:fill="DBE6B6"/>
          </w:tcPr>
          <w:p w14:paraId="17ED37E7" w14:textId="77777777" w:rsidR="00CA2E53" w:rsidRPr="00E11FFB" w:rsidRDefault="00CA2E53" w:rsidP="003A6DE1">
            <w:pPr>
              <w:jc w:val="center"/>
              <w:rPr>
                <w:rFonts w:ascii="Avenir" w:eastAsia="Avenir" w:hAnsi="Avenir" w:cs="Avenir"/>
                <w:b/>
                <w:sz w:val="16"/>
                <w:szCs w:val="16"/>
              </w:rPr>
            </w:pPr>
          </w:p>
        </w:tc>
        <w:tc>
          <w:tcPr>
            <w:tcW w:w="3647" w:type="dxa"/>
            <w:gridSpan w:val="3"/>
            <w:tcBorders>
              <w:top w:val="single" w:sz="4" w:space="0" w:color="000000"/>
              <w:left w:val="nil"/>
              <w:bottom w:val="single" w:sz="4" w:space="0" w:color="000000"/>
              <w:right w:val="single" w:sz="4" w:space="0" w:color="000000"/>
            </w:tcBorders>
            <w:shd w:val="clear" w:color="auto" w:fill="DBE6B6"/>
            <w:vAlign w:val="bottom"/>
          </w:tcPr>
          <w:p w14:paraId="02864AC0" w14:textId="77777777" w:rsidR="00CA2E53" w:rsidRPr="00E11FFB" w:rsidRDefault="00CA2E53" w:rsidP="003A6DE1">
            <w:pPr>
              <w:jc w:val="center"/>
              <w:rPr>
                <w:rFonts w:ascii="Avenir" w:eastAsia="Avenir" w:hAnsi="Avenir" w:cs="Avenir"/>
                <w:b/>
                <w:sz w:val="16"/>
                <w:szCs w:val="16"/>
              </w:rPr>
            </w:pPr>
            <w:r w:rsidRPr="00E11FFB">
              <w:rPr>
                <w:rFonts w:ascii="Avenir" w:eastAsia="Avenir" w:hAnsi="Avenir" w:cs="Avenir"/>
                <w:b/>
                <w:sz w:val="16"/>
                <w:szCs w:val="16"/>
              </w:rPr>
              <w:t>Traitement du risque</w:t>
            </w:r>
          </w:p>
        </w:tc>
      </w:tr>
      <w:tr w:rsidR="00CA2E53" w:rsidRPr="00E11FFB" w14:paraId="73D023BF" w14:textId="77777777" w:rsidTr="00103B6C">
        <w:trPr>
          <w:trHeight w:val="476"/>
          <w:jc w:val="center"/>
        </w:trPr>
        <w:tc>
          <w:tcPr>
            <w:tcW w:w="1356" w:type="dxa"/>
            <w:tcBorders>
              <w:top w:val="nil"/>
              <w:left w:val="single" w:sz="4" w:space="0" w:color="000000"/>
              <w:bottom w:val="single" w:sz="4" w:space="0" w:color="000000"/>
              <w:right w:val="single" w:sz="4" w:space="0" w:color="000000"/>
            </w:tcBorders>
            <w:vAlign w:val="center"/>
          </w:tcPr>
          <w:p w14:paraId="75FAFF94"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Description du risque</w:t>
            </w:r>
          </w:p>
        </w:tc>
        <w:tc>
          <w:tcPr>
            <w:tcW w:w="1333" w:type="dxa"/>
            <w:tcBorders>
              <w:top w:val="nil"/>
              <w:left w:val="nil"/>
              <w:bottom w:val="single" w:sz="4" w:space="0" w:color="000000"/>
              <w:right w:val="single" w:sz="4" w:space="0" w:color="000000"/>
            </w:tcBorders>
            <w:vAlign w:val="center"/>
          </w:tcPr>
          <w:p w14:paraId="392BD41E"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Période d'identification</w:t>
            </w:r>
          </w:p>
        </w:tc>
        <w:tc>
          <w:tcPr>
            <w:tcW w:w="1134" w:type="dxa"/>
            <w:tcBorders>
              <w:top w:val="nil"/>
              <w:left w:val="nil"/>
              <w:bottom w:val="single" w:sz="4" w:space="0" w:color="000000"/>
              <w:right w:val="single" w:sz="4" w:space="0" w:color="000000"/>
            </w:tcBorders>
            <w:vAlign w:val="center"/>
          </w:tcPr>
          <w:p w14:paraId="61754668"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Catégorie de risque</w:t>
            </w:r>
          </w:p>
        </w:tc>
        <w:tc>
          <w:tcPr>
            <w:tcW w:w="2112" w:type="dxa"/>
            <w:tcBorders>
              <w:top w:val="single" w:sz="4" w:space="0" w:color="000000"/>
              <w:left w:val="nil"/>
              <w:bottom w:val="single" w:sz="4" w:space="0" w:color="000000"/>
              <w:right w:val="single" w:sz="4" w:space="0" w:color="000000"/>
            </w:tcBorders>
          </w:tcPr>
          <w:p w14:paraId="6B1AF6DE"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 xml:space="preserve">Evolution du risque (stable, accru, amoindri) par rapport au dernier rapport </w:t>
            </w:r>
          </w:p>
        </w:tc>
        <w:tc>
          <w:tcPr>
            <w:tcW w:w="1507" w:type="dxa"/>
            <w:tcBorders>
              <w:top w:val="nil"/>
              <w:left w:val="single" w:sz="4" w:space="0" w:color="000000"/>
              <w:bottom w:val="single" w:sz="4" w:space="0" w:color="000000"/>
              <w:right w:val="single" w:sz="4" w:space="0" w:color="000000"/>
            </w:tcBorders>
            <w:vAlign w:val="center"/>
          </w:tcPr>
          <w:p w14:paraId="047DA2DB"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Action(s)</w:t>
            </w:r>
          </w:p>
        </w:tc>
        <w:tc>
          <w:tcPr>
            <w:tcW w:w="1301" w:type="dxa"/>
            <w:tcBorders>
              <w:top w:val="nil"/>
              <w:left w:val="nil"/>
              <w:bottom w:val="single" w:sz="4" w:space="0" w:color="000000"/>
              <w:right w:val="single" w:sz="4" w:space="0" w:color="000000"/>
            </w:tcBorders>
            <w:vAlign w:val="center"/>
          </w:tcPr>
          <w:p w14:paraId="62DD56F1"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Responsabilité</w:t>
            </w:r>
          </w:p>
        </w:tc>
        <w:tc>
          <w:tcPr>
            <w:tcW w:w="839" w:type="dxa"/>
            <w:tcBorders>
              <w:top w:val="nil"/>
              <w:left w:val="nil"/>
              <w:bottom w:val="single" w:sz="4" w:space="0" w:color="000000"/>
              <w:right w:val="single" w:sz="4" w:space="0" w:color="000000"/>
            </w:tcBorders>
            <w:vAlign w:val="center"/>
          </w:tcPr>
          <w:p w14:paraId="605D3BE8" w14:textId="77777777" w:rsidR="00CA2E53" w:rsidRPr="00E11FFB" w:rsidRDefault="00CA2E53" w:rsidP="003A6DE1">
            <w:pPr>
              <w:jc w:val="center"/>
              <w:rPr>
                <w:rFonts w:ascii="Avenir" w:eastAsia="Avenir" w:hAnsi="Avenir" w:cs="Avenir"/>
                <w:sz w:val="16"/>
                <w:szCs w:val="16"/>
              </w:rPr>
            </w:pPr>
            <w:r w:rsidRPr="00E11FFB">
              <w:rPr>
                <w:rFonts w:ascii="Avenir" w:eastAsia="Avenir" w:hAnsi="Avenir" w:cs="Avenir"/>
                <w:sz w:val="16"/>
                <w:szCs w:val="16"/>
              </w:rPr>
              <w:t>Date limite</w:t>
            </w:r>
          </w:p>
        </w:tc>
      </w:tr>
      <w:tr w:rsidR="00CA2E53" w:rsidRPr="00E11FFB" w14:paraId="5D5343DD" w14:textId="77777777" w:rsidTr="00103B6C">
        <w:trPr>
          <w:trHeight w:val="237"/>
          <w:jc w:val="center"/>
        </w:trPr>
        <w:tc>
          <w:tcPr>
            <w:tcW w:w="1356" w:type="dxa"/>
            <w:vMerge w:val="restart"/>
            <w:tcBorders>
              <w:top w:val="nil"/>
              <w:left w:val="single" w:sz="4" w:space="0" w:color="000000"/>
              <w:bottom w:val="single" w:sz="4" w:space="0" w:color="000000"/>
              <w:right w:val="single" w:sz="4" w:space="0" w:color="000000"/>
            </w:tcBorders>
            <w:vAlign w:val="center"/>
          </w:tcPr>
          <w:p w14:paraId="12F848E1"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Faible capacité technique des membres des Taskforces</w:t>
            </w:r>
          </w:p>
        </w:tc>
        <w:tc>
          <w:tcPr>
            <w:tcW w:w="1333" w:type="dxa"/>
            <w:vMerge w:val="restart"/>
            <w:tcBorders>
              <w:top w:val="nil"/>
              <w:left w:val="single" w:sz="4" w:space="0" w:color="000000"/>
              <w:bottom w:val="single" w:sz="4" w:space="0" w:color="000000"/>
              <w:right w:val="single" w:sz="4" w:space="0" w:color="000000"/>
            </w:tcBorders>
            <w:vAlign w:val="center"/>
          </w:tcPr>
          <w:p w14:paraId="5A10A831" w14:textId="3342A66C"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Depuis mars 2025 </w:t>
            </w:r>
          </w:p>
        </w:tc>
        <w:tc>
          <w:tcPr>
            <w:tcW w:w="1134" w:type="dxa"/>
            <w:vMerge w:val="restart"/>
            <w:tcBorders>
              <w:top w:val="nil"/>
              <w:left w:val="single" w:sz="4" w:space="0" w:color="000000"/>
              <w:bottom w:val="single" w:sz="4" w:space="0" w:color="000000"/>
              <w:right w:val="single" w:sz="4" w:space="0" w:color="000000"/>
            </w:tcBorders>
            <w:vAlign w:val="center"/>
          </w:tcPr>
          <w:p w14:paraId="4C115271"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Programmatique  </w:t>
            </w:r>
          </w:p>
        </w:tc>
        <w:tc>
          <w:tcPr>
            <w:tcW w:w="2112" w:type="dxa"/>
            <w:vMerge w:val="restart"/>
            <w:tcBorders>
              <w:top w:val="single" w:sz="4" w:space="0" w:color="000000"/>
              <w:left w:val="nil"/>
              <w:right w:val="single" w:sz="4" w:space="0" w:color="000000"/>
            </w:tcBorders>
            <w:vAlign w:val="center"/>
          </w:tcPr>
          <w:p w14:paraId="4F948F71" w14:textId="7F1FAA38"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 xml:space="preserve">Amoindri </w:t>
            </w:r>
          </w:p>
        </w:tc>
        <w:tc>
          <w:tcPr>
            <w:tcW w:w="1507" w:type="dxa"/>
            <w:tcBorders>
              <w:top w:val="nil"/>
              <w:left w:val="single" w:sz="4" w:space="0" w:color="000000"/>
              <w:bottom w:val="single" w:sz="4" w:space="0" w:color="000000"/>
              <w:right w:val="single" w:sz="4" w:space="0" w:color="000000"/>
            </w:tcBorders>
            <w:vAlign w:val="center"/>
          </w:tcPr>
          <w:p w14:paraId="114FCC74" w14:textId="77777777" w:rsidR="00CA2E53" w:rsidRPr="00E11FFB" w:rsidRDefault="00CA2E53" w:rsidP="003A6DE1">
            <w:pPr>
              <w:ind w:left="-39" w:right="-141"/>
              <w:rPr>
                <w:rFonts w:ascii="Avenir" w:eastAsia="Avenir" w:hAnsi="Avenir" w:cs="Avenir"/>
                <w:sz w:val="16"/>
                <w:szCs w:val="16"/>
              </w:rPr>
            </w:pPr>
            <w:r w:rsidRPr="00E11FFB">
              <w:rPr>
                <w:rFonts w:ascii="Avenir" w:eastAsia="Avenir" w:hAnsi="Avenir" w:cs="Avenir"/>
                <w:sz w:val="16"/>
                <w:szCs w:val="16"/>
              </w:rPr>
              <w:t xml:space="preserve">Sensibilisation des SG </w:t>
            </w:r>
          </w:p>
        </w:tc>
        <w:tc>
          <w:tcPr>
            <w:tcW w:w="1301" w:type="dxa"/>
            <w:tcBorders>
              <w:top w:val="nil"/>
              <w:left w:val="nil"/>
              <w:bottom w:val="single" w:sz="4" w:space="0" w:color="000000"/>
              <w:right w:val="single" w:sz="4" w:space="0" w:color="000000"/>
            </w:tcBorders>
            <w:vAlign w:val="center"/>
          </w:tcPr>
          <w:p w14:paraId="3D632EEB" w14:textId="77777777" w:rsidR="00CA2E53" w:rsidRPr="00E11FFB" w:rsidRDefault="00CA2E53" w:rsidP="003A6DE1">
            <w:pPr>
              <w:ind w:left="-39" w:right="-141"/>
              <w:rPr>
                <w:rFonts w:ascii="Avenir" w:eastAsia="Avenir" w:hAnsi="Avenir" w:cs="Avenir"/>
                <w:sz w:val="16"/>
                <w:szCs w:val="16"/>
              </w:rPr>
            </w:pPr>
            <w:r w:rsidRPr="00E11FFB">
              <w:rPr>
                <w:rFonts w:ascii="Avenir" w:eastAsia="Avenir" w:hAnsi="Avenir" w:cs="Avenir"/>
                <w:sz w:val="16"/>
                <w:szCs w:val="16"/>
              </w:rPr>
              <w:t>Projet </w:t>
            </w:r>
          </w:p>
        </w:tc>
        <w:tc>
          <w:tcPr>
            <w:tcW w:w="839" w:type="dxa"/>
            <w:tcBorders>
              <w:top w:val="nil"/>
              <w:left w:val="nil"/>
              <w:bottom w:val="single" w:sz="4" w:space="0" w:color="000000"/>
              <w:right w:val="single" w:sz="4" w:space="0" w:color="000000"/>
            </w:tcBorders>
            <w:vAlign w:val="center"/>
          </w:tcPr>
          <w:p w14:paraId="210BD0BA" w14:textId="77777777" w:rsidR="00CA2E53" w:rsidRPr="00E11FFB" w:rsidRDefault="00CA2E53" w:rsidP="00103B6C">
            <w:pPr>
              <w:ind w:right="-32"/>
              <w:rPr>
                <w:rFonts w:ascii="Avenir" w:eastAsia="Avenir" w:hAnsi="Avenir" w:cs="Avenir"/>
                <w:sz w:val="16"/>
                <w:szCs w:val="16"/>
              </w:rPr>
            </w:pPr>
            <w:r w:rsidRPr="00E11FFB">
              <w:rPr>
                <w:rFonts w:ascii="Avenir" w:eastAsia="Avenir" w:hAnsi="Avenir" w:cs="Avenir"/>
                <w:sz w:val="16"/>
                <w:szCs w:val="16"/>
              </w:rPr>
              <w:t>Déc 2025 </w:t>
            </w:r>
          </w:p>
        </w:tc>
      </w:tr>
      <w:tr w:rsidR="00CA2E53" w:rsidRPr="00E11FFB" w14:paraId="17031A6C" w14:textId="77777777" w:rsidTr="00103B6C">
        <w:trPr>
          <w:trHeight w:val="237"/>
          <w:jc w:val="center"/>
        </w:trPr>
        <w:tc>
          <w:tcPr>
            <w:tcW w:w="1356" w:type="dxa"/>
            <w:vMerge/>
            <w:tcBorders>
              <w:top w:val="nil"/>
              <w:left w:val="single" w:sz="4" w:space="0" w:color="000000"/>
              <w:bottom w:val="single" w:sz="4" w:space="0" w:color="000000"/>
              <w:right w:val="single" w:sz="4" w:space="0" w:color="000000"/>
            </w:tcBorders>
            <w:vAlign w:val="center"/>
          </w:tcPr>
          <w:p w14:paraId="5E5F5C63"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333" w:type="dxa"/>
            <w:vMerge/>
            <w:tcBorders>
              <w:top w:val="nil"/>
              <w:left w:val="single" w:sz="4" w:space="0" w:color="000000"/>
              <w:bottom w:val="single" w:sz="4" w:space="0" w:color="000000"/>
              <w:right w:val="single" w:sz="4" w:space="0" w:color="000000"/>
            </w:tcBorders>
            <w:vAlign w:val="center"/>
          </w:tcPr>
          <w:p w14:paraId="0B681969"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134" w:type="dxa"/>
            <w:vMerge/>
            <w:tcBorders>
              <w:top w:val="nil"/>
              <w:left w:val="single" w:sz="4" w:space="0" w:color="000000"/>
              <w:bottom w:val="single" w:sz="4" w:space="0" w:color="000000"/>
              <w:right w:val="single" w:sz="4" w:space="0" w:color="000000"/>
            </w:tcBorders>
            <w:vAlign w:val="center"/>
          </w:tcPr>
          <w:p w14:paraId="33A383A6"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2112" w:type="dxa"/>
            <w:vMerge/>
            <w:tcBorders>
              <w:top w:val="single" w:sz="4" w:space="0" w:color="000000"/>
              <w:left w:val="nil"/>
              <w:right w:val="single" w:sz="4" w:space="0" w:color="000000"/>
            </w:tcBorders>
            <w:vAlign w:val="center"/>
          </w:tcPr>
          <w:p w14:paraId="22FE3B1E"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507" w:type="dxa"/>
            <w:tcBorders>
              <w:top w:val="nil"/>
              <w:left w:val="single" w:sz="4" w:space="0" w:color="000000"/>
              <w:bottom w:val="single" w:sz="4" w:space="0" w:color="000000"/>
              <w:right w:val="single" w:sz="4" w:space="0" w:color="000000"/>
            </w:tcBorders>
            <w:vAlign w:val="center"/>
          </w:tcPr>
          <w:p w14:paraId="0E2EB023" w14:textId="77B1A26B" w:rsidR="00CA2E53" w:rsidRPr="00E11FFB" w:rsidRDefault="00CA2E53" w:rsidP="003A6DE1">
            <w:pPr>
              <w:ind w:left="-39" w:right="-141"/>
              <w:rPr>
                <w:rFonts w:ascii="Avenir" w:eastAsia="Avenir" w:hAnsi="Avenir" w:cs="Avenir"/>
                <w:sz w:val="16"/>
                <w:szCs w:val="16"/>
              </w:rPr>
            </w:pPr>
            <w:r w:rsidRPr="00E11FFB">
              <w:rPr>
                <w:rFonts w:ascii="Avenir" w:eastAsia="Avenir" w:hAnsi="Avenir" w:cs="Avenir"/>
                <w:sz w:val="16"/>
                <w:szCs w:val="16"/>
              </w:rPr>
              <w:t>Exigence de rapport individuel par membre</w:t>
            </w:r>
          </w:p>
        </w:tc>
        <w:tc>
          <w:tcPr>
            <w:tcW w:w="1301" w:type="dxa"/>
            <w:tcBorders>
              <w:top w:val="nil"/>
              <w:left w:val="nil"/>
              <w:bottom w:val="single" w:sz="4" w:space="0" w:color="000000"/>
              <w:right w:val="single" w:sz="4" w:space="0" w:color="000000"/>
            </w:tcBorders>
            <w:vAlign w:val="center"/>
          </w:tcPr>
          <w:p w14:paraId="3027F812" w14:textId="77777777" w:rsidR="00CA2E53" w:rsidRPr="00E11FFB" w:rsidRDefault="00CA2E53" w:rsidP="003A6DE1">
            <w:pPr>
              <w:ind w:left="-39" w:right="-141"/>
              <w:rPr>
                <w:rFonts w:ascii="Avenir" w:eastAsia="Avenir" w:hAnsi="Avenir" w:cs="Avenir"/>
                <w:sz w:val="16"/>
                <w:szCs w:val="16"/>
              </w:rPr>
            </w:pPr>
            <w:r w:rsidRPr="00E11FFB">
              <w:rPr>
                <w:rFonts w:ascii="Avenir" w:eastAsia="Avenir" w:hAnsi="Avenir" w:cs="Avenir"/>
                <w:sz w:val="16"/>
                <w:szCs w:val="16"/>
              </w:rPr>
              <w:t>Projet</w:t>
            </w:r>
          </w:p>
        </w:tc>
        <w:tc>
          <w:tcPr>
            <w:tcW w:w="839" w:type="dxa"/>
            <w:tcBorders>
              <w:top w:val="nil"/>
              <w:left w:val="nil"/>
              <w:bottom w:val="single" w:sz="4" w:space="0" w:color="000000"/>
              <w:right w:val="single" w:sz="4" w:space="0" w:color="000000"/>
            </w:tcBorders>
            <w:vAlign w:val="center"/>
          </w:tcPr>
          <w:p w14:paraId="08649DB7" w14:textId="77777777" w:rsidR="00CA2E53" w:rsidRPr="00E11FFB" w:rsidRDefault="00CA2E53" w:rsidP="00103B6C">
            <w:pPr>
              <w:ind w:left="-39" w:right="-32"/>
              <w:rPr>
                <w:rFonts w:ascii="Avenir" w:eastAsia="Avenir" w:hAnsi="Avenir" w:cs="Avenir"/>
                <w:sz w:val="16"/>
                <w:szCs w:val="16"/>
              </w:rPr>
            </w:pPr>
            <w:r w:rsidRPr="00E11FFB">
              <w:rPr>
                <w:rFonts w:ascii="Avenir" w:eastAsia="Avenir" w:hAnsi="Avenir" w:cs="Avenir"/>
                <w:sz w:val="16"/>
                <w:szCs w:val="16"/>
              </w:rPr>
              <w:t>  Continue</w:t>
            </w:r>
          </w:p>
        </w:tc>
      </w:tr>
      <w:tr w:rsidR="00CA2E53" w:rsidRPr="00E11FFB" w14:paraId="4393DB16" w14:textId="77777777" w:rsidTr="00103B6C">
        <w:trPr>
          <w:trHeight w:val="237"/>
          <w:jc w:val="center"/>
        </w:trPr>
        <w:tc>
          <w:tcPr>
            <w:tcW w:w="1356" w:type="dxa"/>
            <w:vMerge/>
            <w:tcBorders>
              <w:top w:val="nil"/>
              <w:left w:val="single" w:sz="4" w:space="0" w:color="000000"/>
              <w:bottom w:val="single" w:sz="4" w:space="0" w:color="auto"/>
              <w:right w:val="single" w:sz="4" w:space="0" w:color="000000"/>
            </w:tcBorders>
            <w:vAlign w:val="center"/>
          </w:tcPr>
          <w:p w14:paraId="6D1969C3"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333" w:type="dxa"/>
            <w:vMerge/>
            <w:tcBorders>
              <w:top w:val="nil"/>
              <w:left w:val="single" w:sz="4" w:space="0" w:color="000000"/>
              <w:bottom w:val="single" w:sz="4" w:space="0" w:color="auto"/>
              <w:right w:val="single" w:sz="4" w:space="0" w:color="000000"/>
            </w:tcBorders>
            <w:vAlign w:val="center"/>
          </w:tcPr>
          <w:p w14:paraId="02FB5774"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134" w:type="dxa"/>
            <w:vMerge/>
            <w:tcBorders>
              <w:top w:val="nil"/>
              <w:left w:val="single" w:sz="4" w:space="0" w:color="000000"/>
              <w:bottom w:val="single" w:sz="4" w:space="0" w:color="auto"/>
              <w:right w:val="single" w:sz="4" w:space="0" w:color="000000"/>
            </w:tcBorders>
            <w:vAlign w:val="center"/>
          </w:tcPr>
          <w:p w14:paraId="7F56A91F"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2112" w:type="dxa"/>
            <w:vMerge/>
            <w:tcBorders>
              <w:top w:val="single" w:sz="4" w:space="0" w:color="000000"/>
              <w:left w:val="nil"/>
              <w:bottom w:val="single" w:sz="4" w:space="0" w:color="auto"/>
              <w:right w:val="single" w:sz="4" w:space="0" w:color="000000"/>
            </w:tcBorders>
            <w:vAlign w:val="center"/>
          </w:tcPr>
          <w:p w14:paraId="3AA2FC02"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507" w:type="dxa"/>
            <w:tcBorders>
              <w:top w:val="nil"/>
              <w:left w:val="single" w:sz="4" w:space="0" w:color="000000"/>
              <w:bottom w:val="single" w:sz="4" w:space="0" w:color="auto"/>
              <w:right w:val="single" w:sz="4" w:space="0" w:color="000000"/>
            </w:tcBorders>
            <w:vAlign w:val="center"/>
          </w:tcPr>
          <w:p w14:paraId="19AA98F1"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 xml:space="preserve"> Accompagnement rapproché </w:t>
            </w:r>
          </w:p>
        </w:tc>
        <w:tc>
          <w:tcPr>
            <w:tcW w:w="1301" w:type="dxa"/>
            <w:tcBorders>
              <w:top w:val="nil"/>
              <w:left w:val="nil"/>
              <w:bottom w:val="single" w:sz="4" w:space="0" w:color="auto"/>
              <w:right w:val="single" w:sz="4" w:space="0" w:color="000000"/>
            </w:tcBorders>
            <w:vAlign w:val="center"/>
          </w:tcPr>
          <w:p w14:paraId="40BA2294"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 xml:space="preserve"> Projet </w:t>
            </w:r>
          </w:p>
        </w:tc>
        <w:tc>
          <w:tcPr>
            <w:tcW w:w="839" w:type="dxa"/>
            <w:tcBorders>
              <w:top w:val="nil"/>
              <w:left w:val="nil"/>
              <w:bottom w:val="single" w:sz="4" w:space="0" w:color="auto"/>
              <w:right w:val="single" w:sz="4" w:space="0" w:color="000000"/>
            </w:tcBorders>
            <w:vAlign w:val="center"/>
          </w:tcPr>
          <w:p w14:paraId="3FCD571D" w14:textId="77777777" w:rsidR="00CA2E53" w:rsidRPr="00E11FFB" w:rsidRDefault="00CA2E53" w:rsidP="00103B6C">
            <w:pPr>
              <w:ind w:right="-32"/>
              <w:rPr>
                <w:rFonts w:ascii="Avenir" w:eastAsia="Avenir" w:hAnsi="Avenir" w:cs="Avenir"/>
                <w:sz w:val="16"/>
                <w:szCs w:val="16"/>
              </w:rPr>
            </w:pPr>
            <w:r w:rsidRPr="00E11FFB">
              <w:rPr>
                <w:rFonts w:ascii="Avenir" w:eastAsia="Avenir" w:hAnsi="Avenir" w:cs="Avenir"/>
                <w:sz w:val="16"/>
                <w:szCs w:val="16"/>
              </w:rPr>
              <w:t> Continue</w:t>
            </w:r>
          </w:p>
        </w:tc>
      </w:tr>
      <w:tr w:rsidR="00CA2E53" w:rsidRPr="00E11FFB" w14:paraId="1AB10A2C" w14:textId="77777777" w:rsidTr="00103B6C">
        <w:trPr>
          <w:trHeight w:val="237"/>
          <w:jc w:val="center"/>
        </w:trPr>
        <w:tc>
          <w:tcPr>
            <w:tcW w:w="1356" w:type="dxa"/>
            <w:vMerge w:val="restart"/>
            <w:tcBorders>
              <w:top w:val="single" w:sz="4" w:space="0" w:color="auto"/>
              <w:left w:val="single" w:sz="4" w:space="0" w:color="auto"/>
              <w:bottom w:val="single" w:sz="4" w:space="0" w:color="auto"/>
              <w:right w:val="single" w:sz="4" w:space="0" w:color="auto"/>
            </w:tcBorders>
            <w:vAlign w:val="center"/>
          </w:tcPr>
          <w:p w14:paraId="1A48B5E2"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Retard de réalisation des jalons</w:t>
            </w:r>
          </w:p>
        </w:tc>
        <w:tc>
          <w:tcPr>
            <w:tcW w:w="1333" w:type="dxa"/>
            <w:vMerge w:val="restart"/>
            <w:tcBorders>
              <w:top w:val="single" w:sz="4" w:space="0" w:color="auto"/>
              <w:left w:val="single" w:sz="4" w:space="0" w:color="auto"/>
              <w:bottom w:val="single" w:sz="4" w:space="0" w:color="auto"/>
              <w:right w:val="single" w:sz="4" w:space="0" w:color="auto"/>
            </w:tcBorders>
            <w:vAlign w:val="center"/>
          </w:tcPr>
          <w:p w14:paraId="72765F3D" w14:textId="1A445720"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Depuis avril 2025  </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2309395"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 Programmatique  </w:t>
            </w:r>
          </w:p>
        </w:tc>
        <w:tc>
          <w:tcPr>
            <w:tcW w:w="2112" w:type="dxa"/>
            <w:vMerge w:val="restart"/>
            <w:tcBorders>
              <w:top w:val="single" w:sz="4" w:space="0" w:color="auto"/>
              <w:left w:val="single" w:sz="4" w:space="0" w:color="auto"/>
              <w:bottom w:val="single" w:sz="4" w:space="0" w:color="auto"/>
              <w:right w:val="single" w:sz="4" w:space="0" w:color="auto"/>
            </w:tcBorders>
            <w:vAlign w:val="center"/>
          </w:tcPr>
          <w:p w14:paraId="5C9A8EAC" w14:textId="3ADD6D5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 xml:space="preserve">Amoindri </w:t>
            </w:r>
          </w:p>
        </w:tc>
        <w:tc>
          <w:tcPr>
            <w:tcW w:w="1507" w:type="dxa"/>
            <w:tcBorders>
              <w:top w:val="single" w:sz="4" w:space="0" w:color="auto"/>
              <w:left w:val="single" w:sz="4" w:space="0" w:color="auto"/>
              <w:bottom w:val="single" w:sz="4" w:space="0" w:color="auto"/>
              <w:right w:val="single" w:sz="4" w:space="0" w:color="auto"/>
            </w:tcBorders>
            <w:vAlign w:val="center"/>
          </w:tcPr>
          <w:p w14:paraId="30604AA1"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Élaboration de feuille de route pour chaque secteur</w:t>
            </w:r>
          </w:p>
        </w:tc>
        <w:tc>
          <w:tcPr>
            <w:tcW w:w="1301" w:type="dxa"/>
            <w:tcBorders>
              <w:top w:val="single" w:sz="4" w:space="0" w:color="auto"/>
              <w:left w:val="single" w:sz="4" w:space="0" w:color="auto"/>
              <w:bottom w:val="single" w:sz="4" w:space="0" w:color="auto"/>
              <w:right w:val="single" w:sz="4" w:space="0" w:color="auto"/>
            </w:tcBorders>
            <w:vAlign w:val="center"/>
          </w:tcPr>
          <w:p w14:paraId="791BDCC6" w14:textId="77777777" w:rsidR="00CA2E53" w:rsidRPr="00E11FFB" w:rsidRDefault="00CA2E53" w:rsidP="00103B6C">
            <w:pPr>
              <w:ind w:right="-149"/>
              <w:rPr>
                <w:rFonts w:ascii="Avenir" w:eastAsia="Avenir" w:hAnsi="Avenir" w:cs="Avenir"/>
                <w:sz w:val="16"/>
                <w:szCs w:val="16"/>
              </w:rPr>
            </w:pPr>
            <w:r w:rsidRPr="00E11FFB">
              <w:rPr>
                <w:rFonts w:ascii="Avenir" w:eastAsia="Avenir" w:hAnsi="Avenir" w:cs="Avenir"/>
                <w:sz w:val="16"/>
                <w:szCs w:val="16"/>
              </w:rPr>
              <w:t>Coordonnateur Taskforce/Projet </w:t>
            </w:r>
          </w:p>
        </w:tc>
        <w:tc>
          <w:tcPr>
            <w:tcW w:w="839" w:type="dxa"/>
            <w:tcBorders>
              <w:top w:val="single" w:sz="4" w:space="0" w:color="auto"/>
              <w:left w:val="single" w:sz="4" w:space="0" w:color="auto"/>
              <w:bottom w:val="single" w:sz="4" w:space="0" w:color="auto"/>
              <w:right w:val="single" w:sz="4" w:space="0" w:color="auto"/>
            </w:tcBorders>
            <w:vAlign w:val="center"/>
          </w:tcPr>
          <w:p w14:paraId="3CF19369" w14:textId="77777777" w:rsidR="00CA2E53" w:rsidRPr="00E11FFB" w:rsidRDefault="00CA2E53" w:rsidP="00103B6C">
            <w:pPr>
              <w:ind w:right="-32"/>
              <w:rPr>
                <w:rFonts w:ascii="Avenir" w:eastAsia="Avenir" w:hAnsi="Avenir" w:cs="Avenir"/>
                <w:sz w:val="16"/>
                <w:szCs w:val="16"/>
              </w:rPr>
            </w:pPr>
            <w:r w:rsidRPr="00E11FFB">
              <w:rPr>
                <w:rFonts w:ascii="Avenir" w:eastAsia="Avenir" w:hAnsi="Avenir" w:cs="Avenir"/>
                <w:sz w:val="16"/>
                <w:szCs w:val="16"/>
              </w:rPr>
              <w:t>Continue </w:t>
            </w:r>
          </w:p>
        </w:tc>
      </w:tr>
      <w:tr w:rsidR="00CA2E53" w:rsidRPr="00E11FFB" w14:paraId="20D54F43" w14:textId="77777777" w:rsidTr="00103B6C">
        <w:trPr>
          <w:trHeight w:val="237"/>
          <w:jc w:val="center"/>
        </w:trPr>
        <w:tc>
          <w:tcPr>
            <w:tcW w:w="1356" w:type="dxa"/>
            <w:vMerge/>
            <w:tcBorders>
              <w:top w:val="single" w:sz="4" w:space="0" w:color="auto"/>
              <w:left w:val="single" w:sz="4" w:space="0" w:color="auto"/>
              <w:bottom w:val="single" w:sz="4" w:space="0" w:color="auto"/>
              <w:right w:val="single" w:sz="4" w:space="0" w:color="auto"/>
            </w:tcBorders>
            <w:vAlign w:val="center"/>
          </w:tcPr>
          <w:p w14:paraId="14E00A76"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333" w:type="dxa"/>
            <w:vMerge/>
            <w:tcBorders>
              <w:top w:val="single" w:sz="4" w:space="0" w:color="auto"/>
              <w:left w:val="single" w:sz="4" w:space="0" w:color="auto"/>
              <w:bottom w:val="single" w:sz="4" w:space="0" w:color="auto"/>
              <w:right w:val="single" w:sz="4" w:space="0" w:color="auto"/>
            </w:tcBorders>
            <w:vAlign w:val="center"/>
          </w:tcPr>
          <w:p w14:paraId="71FE077D"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9723036"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2112" w:type="dxa"/>
            <w:vMerge/>
            <w:tcBorders>
              <w:top w:val="single" w:sz="4" w:space="0" w:color="auto"/>
              <w:left w:val="single" w:sz="4" w:space="0" w:color="auto"/>
              <w:bottom w:val="single" w:sz="4" w:space="0" w:color="auto"/>
              <w:right w:val="single" w:sz="4" w:space="0" w:color="auto"/>
            </w:tcBorders>
            <w:vAlign w:val="center"/>
          </w:tcPr>
          <w:p w14:paraId="6CB04D5F" w14:textId="77777777" w:rsidR="00CA2E53" w:rsidRPr="00E11FFB" w:rsidRDefault="00CA2E53" w:rsidP="003A6DE1">
            <w:pPr>
              <w:widowControl w:val="0"/>
              <w:pBdr>
                <w:top w:val="nil"/>
                <w:left w:val="nil"/>
                <w:bottom w:val="nil"/>
                <w:right w:val="nil"/>
                <w:between w:val="nil"/>
              </w:pBdr>
              <w:spacing w:line="276" w:lineRule="auto"/>
              <w:rPr>
                <w:rFonts w:ascii="Avenir" w:eastAsia="Avenir" w:hAnsi="Avenir" w:cs="Avenir"/>
                <w:sz w:val="16"/>
                <w:szCs w:val="16"/>
              </w:rPr>
            </w:pPr>
          </w:p>
        </w:tc>
        <w:tc>
          <w:tcPr>
            <w:tcW w:w="1507" w:type="dxa"/>
            <w:tcBorders>
              <w:top w:val="single" w:sz="4" w:space="0" w:color="auto"/>
              <w:left w:val="single" w:sz="4" w:space="0" w:color="auto"/>
              <w:bottom w:val="single" w:sz="4" w:space="0" w:color="auto"/>
              <w:right w:val="single" w:sz="4" w:space="0" w:color="auto"/>
            </w:tcBorders>
            <w:vAlign w:val="center"/>
          </w:tcPr>
          <w:p w14:paraId="429539D6"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Système de rappel d’activité prévues sur la feuille de route</w:t>
            </w:r>
          </w:p>
        </w:tc>
        <w:tc>
          <w:tcPr>
            <w:tcW w:w="1301" w:type="dxa"/>
            <w:tcBorders>
              <w:top w:val="single" w:sz="4" w:space="0" w:color="auto"/>
              <w:left w:val="single" w:sz="4" w:space="0" w:color="auto"/>
              <w:bottom w:val="single" w:sz="4" w:space="0" w:color="auto"/>
              <w:right w:val="single" w:sz="4" w:space="0" w:color="auto"/>
            </w:tcBorders>
            <w:vAlign w:val="center"/>
          </w:tcPr>
          <w:p w14:paraId="71D89830" w14:textId="77777777" w:rsidR="00CA2E53" w:rsidRPr="00E11FFB" w:rsidRDefault="00CA2E53" w:rsidP="003A6DE1">
            <w:pPr>
              <w:rPr>
                <w:rFonts w:ascii="Avenir" w:eastAsia="Avenir" w:hAnsi="Avenir" w:cs="Avenir"/>
                <w:sz w:val="16"/>
                <w:szCs w:val="16"/>
              </w:rPr>
            </w:pPr>
            <w:r w:rsidRPr="00E11FFB">
              <w:rPr>
                <w:rFonts w:ascii="Avenir" w:eastAsia="Avenir" w:hAnsi="Avenir" w:cs="Avenir"/>
                <w:sz w:val="16"/>
                <w:szCs w:val="16"/>
              </w:rPr>
              <w:t> Coordonnateur task-force/projet</w:t>
            </w:r>
          </w:p>
        </w:tc>
        <w:tc>
          <w:tcPr>
            <w:tcW w:w="839" w:type="dxa"/>
            <w:tcBorders>
              <w:top w:val="single" w:sz="4" w:space="0" w:color="auto"/>
              <w:left w:val="single" w:sz="4" w:space="0" w:color="auto"/>
              <w:bottom w:val="single" w:sz="4" w:space="0" w:color="auto"/>
              <w:right w:val="single" w:sz="4" w:space="0" w:color="auto"/>
            </w:tcBorders>
            <w:vAlign w:val="center"/>
          </w:tcPr>
          <w:p w14:paraId="1D53544A" w14:textId="77777777" w:rsidR="00CA2E53" w:rsidRPr="00E11FFB" w:rsidRDefault="00CA2E53" w:rsidP="00103B6C">
            <w:pPr>
              <w:ind w:right="-32"/>
              <w:rPr>
                <w:rFonts w:ascii="Avenir" w:eastAsia="Avenir" w:hAnsi="Avenir" w:cs="Avenir"/>
                <w:sz w:val="16"/>
                <w:szCs w:val="16"/>
              </w:rPr>
            </w:pPr>
            <w:r w:rsidRPr="00E11FFB">
              <w:rPr>
                <w:rFonts w:ascii="Avenir" w:eastAsia="Avenir" w:hAnsi="Avenir" w:cs="Avenir"/>
                <w:sz w:val="16"/>
                <w:szCs w:val="16"/>
              </w:rPr>
              <w:t> Continue</w:t>
            </w:r>
          </w:p>
        </w:tc>
      </w:tr>
    </w:tbl>
    <w:p w14:paraId="1ED4FE69" w14:textId="77777777" w:rsidR="0024617D" w:rsidRPr="00E11FFB" w:rsidRDefault="00C83F85">
      <w:pPr>
        <w:pStyle w:val="Titre2"/>
      </w:pPr>
      <w:bookmarkStart w:id="45" w:name="_Toc224044733"/>
      <w:r w:rsidRPr="00E11FFB">
        <w:t>10.2 Évaluation de la transparence et de l'intégrité</w:t>
      </w:r>
      <w:bookmarkEnd w:id="45"/>
    </w:p>
    <w:p w14:paraId="6C30C68D" w14:textId="77777777" w:rsidR="0024617D" w:rsidRPr="00E11FFB" w:rsidRDefault="0024617D">
      <w:pPr>
        <w:keepNext/>
        <w:pBdr>
          <w:top w:val="nil"/>
          <w:left w:val="nil"/>
          <w:bottom w:val="nil"/>
          <w:right w:val="nil"/>
          <w:between w:val="nil"/>
        </w:pBdr>
        <w:spacing w:line="271" w:lineRule="auto"/>
        <w:ind w:left="10" w:right="29"/>
        <w:jc w:val="both"/>
        <w:rPr>
          <w:rFonts w:ascii="Avenir" w:eastAsia="Avenir" w:hAnsi="Avenir" w:cs="Avenir"/>
          <w:color w:val="000000"/>
          <w:sz w:val="21"/>
          <w:szCs w:val="21"/>
        </w:rPr>
      </w:pPr>
    </w:p>
    <w:tbl>
      <w:tblPr>
        <w:tblStyle w:val="3"/>
        <w:tblW w:w="8908"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3830"/>
        <w:gridCol w:w="4290"/>
        <w:gridCol w:w="788"/>
      </w:tblGrid>
      <w:tr w:rsidR="0024617D" w:rsidRPr="00E11FFB" w14:paraId="5289AFE6" w14:textId="77777777">
        <w:trPr>
          <w:trHeight w:val="521"/>
          <w:jc w:val="center"/>
        </w:trPr>
        <w:tc>
          <w:tcPr>
            <w:tcW w:w="38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63E0935"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b/>
                <w:color w:val="000000"/>
                <w:sz w:val="16"/>
                <w:szCs w:val="16"/>
              </w:rPr>
              <w:t>Cas de Fraude, mauvaise utilisation de fonds et corruption</w:t>
            </w:r>
          </w:p>
        </w:tc>
        <w:tc>
          <w:tcPr>
            <w:tcW w:w="4290"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34F40501" w14:textId="15C9E518"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Oui (reporter ci-dessous combien de cas allégés, en cours d’</w:t>
            </w:r>
            <w:r w:rsidR="00A5406A" w:rsidRPr="00E11FFB">
              <w:rPr>
                <w:rFonts w:ascii="Avenir" w:eastAsia="Avenir" w:hAnsi="Avenir" w:cs="Avenir"/>
                <w:color w:val="000000"/>
                <w:sz w:val="16"/>
                <w:szCs w:val="16"/>
              </w:rPr>
              <w:t>investigation</w:t>
            </w:r>
            <w:r w:rsidRPr="00E11FFB">
              <w:rPr>
                <w:rFonts w:ascii="Avenir" w:eastAsia="Avenir" w:hAnsi="Avenir" w:cs="Avenir"/>
                <w:color w:val="000000"/>
                <w:sz w:val="16"/>
                <w:szCs w:val="16"/>
              </w:rPr>
              <w:t xml:space="preserve"> et/ou ayant conduit à des sanctions pour la période de rapportage, et une brève description de chacun des cas)</w:t>
            </w:r>
          </w:p>
        </w:tc>
        <w:tc>
          <w:tcPr>
            <w:tcW w:w="788"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1070CD89" w14:textId="77777777" w:rsidR="0024617D" w:rsidRPr="00E11FFB" w:rsidRDefault="00C83F85">
            <w:pPr>
              <w:spacing w:after="5" w:line="271" w:lineRule="auto"/>
              <w:ind w:left="-2" w:right="29" w:hanging="2"/>
              <w:rPr>
                <w:rFonts w:ascii="Avenir" w:eastAsia="Avenir" w:hAnsi="Avenir" w:cs="Avenir"/>
                <w:color w:val="000000"/>
                <w:sz w:val="16"/>
                <w:szCs w:val="16"/>
              </w:rPr>
            </w:pPr>
            <w:r w:rsidRPr="00E11FFB">
              <w:rPr>
                <w:rFonts w:ascii="Avenir" w:eastAsia="Avenir" w:hAnsi="Avenir" w:cs="Avenir"/>
                <w:color w:val="000000"/>
                <w:sz w:val="16"/>
                <w:szCs w:val="16"/>
              </w:rPr>
              <w:t>Non</w:t>
            </w:r>
          </w:p>
        </w:tc>
      </w:tr>
      <w:tr w:rsidR="00A5406A" w:rsidRPr="00E11FFB" w14:paraId="793503BA" w14:textId="77777777">
        <w:trPr>
          <w:trHeight w:val="260"/>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72DEE10" w14:textId="77777777" w:rsidR="00A5406A" w:rsidRPr="00E11FFB" w:rsidRDefault="00A5406A" w:rsidP="00A5406A">
            <w:pPr>
              <w:spacing w:after="5" w:line="271" w:lineRule="auto"/>
              <w:ind w:left="-2" w:hanging="2"/>
              <w:rPr>
                <w:rFonts w:ascii="Avenir" w:eastAsia="Avenir" w:hAnsi="Avenir" w:cs="Avenir"/>
                <w:color w:val="000000"/>
                <w:sz w:val="16"/>
                <w:szCs w:val="16"/>
              </w:rPr>
            </w:pPr>
            <w:r w:rsidRPr="00E11FFB">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081297AF"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C51CD12" w14:textId="616D116E" w:rsidR="00A5406A" w:rsidRPr="00E11FFB" w:rsidRDefault="00A5406A" w:rsidP="00A5406A">
            <w:pPr>
              <w:spacing w:after="5" w:line="271" w:lineRule="auto"/>
              <w:rPr>
                <w:rFonts w:ascii="Avenir" w:eastAsia="Avenir" w:hAnsi="Avenir" w:cs="Avenir"/>
                <w:color w:val="000000"/>
                <w:sz w:val="16"/>
                <w:szCs w:val="16"/>
              </w:rPr>
            </w:pPr>
            <w:r w:rsidRPr="00E11FFB">
              <w:rPr>
                <w:rFonts w:ascii="Avenir" w:eastAsia="Avenir" w:hAnsi="Avenir" w:cs="Avenir"/>
                <w:sz w:val="20"/>
                <w:szCs w:val="20"/>
              </w:rPr>
              <w:t>X</w:t>
            </w:r>
          </w:p>
        </w:tc>
      </w:tr>
      <w:tr w:rsidR="00A5406A" w:rsidRPr="00E11FFB" w14:paraId="4C954EC6"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1DCEEC2" w14:textId="77777777" w:rsidR="00A5406A" w:rsidRPr="00E11FFB" w:rsidRDefault="00A5406A" w:rsidP="00A5406A">
            <w:pPr>
              <w:spacing w:after="5" w:line="271" w:lineRule="auto"/>
              <w:ind w:left="-2" w:hanging="2"/>
              <w:rPr>
                <w:rFonts w:ascii="Avenir" w:eastAsia="Avenir" w:hAnsi="Avenir" w:cs="Avenir"/>
                <w:color w:val="000000"/>
                <w:sz w:val="16"/>
                <w:szCs w:val="16"/>
              </w:rPr>
            </w:pPr>
            <w:r w:rsidRPr="00E11FFB">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13C04971"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52CE3A09" w14:textId="04B76C18" w:rsidR="00A5406A" w:rsidRPr="00E11FFB" w:rsidRDefault="00A5406A" w:rsidP="00A5406A">
            <w:pPr>
              <w:spacing w:after="5" w:line="271" w:lineRule="auto"/>
              <w:rPr>
                <w:rFonts w:ascii="Avenir" w:eastAsia="Avenir" w:hAnsi="Avenir" w:cs="Avenir"/>
                <w:color w:val="000000"/>
                <w:sz w:val="16"/>
                <w:szCs w:val="16"/>
              </w:rPr>
            </w:pPr>
            <w:r w:rsidRPr="00E11FFB">
              <w:rPr>
                <w:rFonts w:ascii="Avenir" w:eastAsia="Avenir" w:hAnsi="Avenir" w:cs="Avenir"/>
                <w:sz w:val="20"/>
                <w:szCs w:val="20"/>
              </w:rPr>
              <w:t>X</w:t>
            </w:r>
          </w:p>
        </w:tc>
      </w:tr>
      <w:tr w:rsidR="00A5406A" w:rsidRPr="00E11FFB" w14:paraId="5D8C8528"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16FBE42A" w14:textId="77777777" w:rsidR="00A5406A" w:rsidRPr="00E11FFB" w:rsidRDefault="00A5406A" w:rsidP="00A5406A">
            <w:pPr>
              <w:spacing w:after="5" w:line="271" w:lineRule="auto"/>
              <w:ind w:left="-2" w:hanging="2"/>
              <w:rPr>
                <w:rFonts w:ascii="Avenir" w:eastAsia="Avenir" w:hAnsi="Avenir" w:cs="Avenir"/>
                <w:color w:val="000000"/>
                <w:sz w:val="16"/>
                <w:szCs w:val="16"/>
              </w:rPr>
            </w:pPr>
            <w:r w:rsidRPr="00E11FFB">
              <w:rPr>
                <w:rFonts w:ascii="Avenir" w:eastAsia="Avenir" w:hAnsi="Avenir" w:cs="Avenir"/>
                <w:color w:val="000000"/>
                <w:sz w:val="16"/>
                <w:szCs w:val="16"/>
              </w:rPr>
              <w:t>Sanctions (y compris les recouvrements effectués et leurs montants)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86CD7C1"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629DDF4D" w14:textId="0BBA887F" w:rsidR="00A5406A" w:rsidRPr="00E11FFB" w:rsidRDefault="00A5406A" w:rsidP="00A5406A">
            <w:pPr>
              <w:spacing w:after="5" w:line="271" w:lineRule="auto"/>
              <w:rPr>
                <w:rFonts w:ascii="Avenir" w:eastAsia="Avenir" w:hAnsi="Avenir" w:cs="Avenir"/>
                <w:color w:val="000000"/>
                <w:sz w:val="16"/>
                <w:szCs w:val="16"/>
              </w:rPr>
            </w:pPr>
            <w:r w:rsidRPr="00E11FFB">
              <w:rPr>
                <w:rFonts w:ascii="Avenir" w:eastAsia="Avenir" w:hAnsi="Avenir" w:cs="Avenir"/>
                <w:sz w:val="20"/>
                <w:szCs w:val="20"/>
              </w:rPr>
              <w:t>X</w:t>
            </w:r>
          </w:p>
        </w:tc>
      </w:tr>
      <w:tr w:rsidR="00A5406A" w:rsidRPr="00E11FFB" w14:paraId="3BCC66B2"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2DD36DB" w14:textId="77777777" w:rsidR="00A5406A" w:rsidRPr="00E11FFB" w:rsidRDefault="00A5406A" w:rsidP="00A5406A">
            <w:pPr>
              <w:spacing w:after="5" w:line="271" w:lineRule="auto"/>
              <w:ind w:left="10" w:firstLine="0"/>
              <w:rPr>
                <w:rFonts w:ascii="Avenir" w:eastAsia="Avenir" w:hAnsi="Avenir" w:cs="Avenir"/>
                <w:color w:val="000000"/>
                <w:sz w:val="16"/>
                <w:szCs w:val="16"/>
              </w:rPr>
            </w:pPr>
            <w:r w:rsidRPr="00E11FFB">
              <w:rPr>
                <w:rFonts w:ascii="Avenir" w:eastAsia="Avenir" w:hAnsi="Avenir" w:cs="Avenir"/>
                <w:b/>
                <w:color w:val="000000"/>
                <w:sz w:val="16"/>
                <w:szCs w:val="16"/>
              </w:rPr>
              <w:t>Cas d’exploitation, abus et harcèlement sexuels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2B8E5BE8"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0F689FF0" w14:textId="77777777" w:rsidR="00A5406A" w:rsidRPr="00E11FFB" w:rsidRDefault="00A5406A" w:rsidP="00A5406A">
            <w:pPr>
              <w:spacing w:after="5" w:line="271" w:lineRule="auto"/>
              <w:rPr>
                <w:rFonts w:ascii="Avenir" w:eastAsia="Avenir" w:hAnsi="Avenir" w:cs="Avenir"/>
                <w:color w:val="000000"/>
                <w:sz w:val="16"/>
                <w:szCs w:val="16"/>
              </w:rPr>
            </w:pPr>
          </w:p>
        </w:tc>
      </w:tr>
      <w:tr w:rsidR="00A5406A" w:rsidRPr="00E11FFB" w14:paraId="442AFF2C"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B8C9075" w14:textId="77777777" w:rsidR="00A5406A" w:rsidRPr="00E11FFB" w:rsidRDefault="00A5406A" w:rsidP="00A5406A">
            <w:pPr>
              <w:spacing w:after="5" w:line="271" w:lineRule="auto"/>
              <w:ind w:left="-2" w:hanging="2"/>
              <w:rPr>
                <w:rFonts w:ascii="Avenir" w:eastAsia="Avenir" w:hAnsi="Avenir" w:cs="Avenir"/>
                <w:color w:val="000000"/>
                <w:sz w:val="16"/>
                <w:szCs w:val="16"/>
              </w:rPr>
            </w:pPr>
            <w:r w:rsidRPr="00E11FFB">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4A8EB185"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5F3D0D10" w14:textId="0E133752" w:rsidR="00A5406A" w:rsidRPr="00E11FFB" w:rsidRDefault="00A5406A" w:rsidP="00A5406A">
            <w:pPr>
              <w:spacing w:after="5" w:line="271" w:lineRule="auto"/>
              <w:rPr>
                <w:rFonts w:ascii="Avenir" w:eastAsia="Avenir" w:hAnsi="Avenir" w:cs="Avenir"/>
                <w:color w:val="000000"/>
                <w:sz w:val="16"/>
                <w:szCs w:val="16"/>
              </w:rPr>
            </w:pPr>
            <w:r w:rsidRPr="00E11FFB">
              <w:rPr>
                <w:rFonts w:ascii="Avenir" w:eastAsia="Avenir" w:hAnsi="Avenir" w:cs="Avenir"/>
                <w:sz w:val="20"/>
                <w:szCs w:val="20"/>
              </w:rPr>
              <w:t>X</w:t>
            </w:r>
          </w:p>
        </w:tc>
      </w:tr>
      <w:tr w:rsidR="00A5406A" w:rsidRPr="00E11FFB" w14:paraId="627DB123"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408C0517" w14:textId="77777777" w:rsidR="00A5406A" w:rsidRPr="00E11FFB" w:rsidRDefault="00A5406A" w:rsidP="00A5406A">
            <w:pPr>
              <w:spacing w:after="5" w:line="271" w:lineRule="auto"/>
              <w:ind w:left="-2" w:hanging="2"/>
              <w:rPr>
                <w:rFonts w:ascii="Avenir" w:eastAsia="Avenir" w:hAnsi="Avenir" w:cs="Avenir"/>
                <w:color w:val="000000"/>
                <w:sz w:val="16"/>
                <w:szCs w:val="16"/>
              </w:rPr>
            </w:pPr>
            <w:r w:rsidRPr="00E11FFB">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6AC0F7B"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21DAD081" w14:textId="123E0DB3" w:rsidR="00A5406A" w:rsidRPr="00E11FFB" w:rsidRDefault="00A5406A" w:rsidP="00A5406A">
            <w:pPr>
              <w:spacing w:after="5" w:line="271" w:lineRule="auto"/>
              <w:rPr>
                <w:rFonts w:ascii="Avenir" w:eastAsia="Avenir" w:hAnsi="Avenir" w:cs="Avenir"/>
                <w:color w:val="000000"/>
                <w:sz w:val="16"/>
                <w:szCs w:val="16"/>
              </w:rPr>
            </w:pPr>
            <w:r w:rsidRPr="00E11FFB">
              <w:rPr>
                <w:rFonts w:ascii="Avenir" w:eastAsia="Avenir" w:hAnsi="Avenir" w:cs="Avenir"/>
                <w:sz w:val="20"/>
                <w:szCs w:val="20"/>
              </w:rPr>
              <w:t>X</w:t>
            </w:r>
          </w:p>
        </w:tc>
      </w:tr>
      <w:tr w:rsidR="00A5406A" w:rsidRPr="00E11FFB" w14:paraId="017F25DE" w14:textId="77777777">
        <w:trPr>
          <w:trHeight w:val="315"/>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B018879" w14:textId="77777777" w:rsidR="00A5406A" w:rsidRPr="00E11FFB" w:rsidRDefault="00A5406A" w:rsidP="00A5406A">
            <w:pPr>
              <w:spacing w:after="5" w:line="271" w:lineRule="auto"/>
              <w:ind w:left="-2" w:hanging="2"/>
              <w:rPr>
                <w:rFonts w:ascii="Avenir" w:eastAsia="Avenir" w:hAnsi="Avenir" w:cs="Avenir"/>
                <w:color w:val="000000"/>
                <w:sz w:val="16"/>
                <w:szCs w:val="16"/>
              </w:rPr>
            </w:pPr>
            <w:r w:rsidRPr="00E11FFB">
              <w:rPr>
                <w:rFonts w:ascii="Avenir" w:eastAsia="Avenir" w:hAnsi="Avenir" w:cs="Avenir"/>
                <w:color w:val="000000"/>
                <w:sz w:val="16"/>
                <w:szCs w:val="16"/>
              </w:rPr>
              <w:t>Sanctions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4DD4DFE" w14:textId="77777777" w:rsidR="00A5406A" w:rsidRPr="00E11FFB" w:rsidRDefault="00A5406A" w:rsidP="00A5406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905E06A" w14:textId="71A03563" w:rsidR="00A5406A" w:rsidRPr="00E11FFB" w:rsidRDefault="00A5406A" w:rsidP="00A5406A">
            <w:pPr>
              <w:spacing w:after="5" w:line="271" w:lineRule="auto"/>
              <w:rPr>
                <w:rFonts w:ascii="Avenir" w:eastAsia="Avenir" w:hAnsi="Avenir" w:cs="Avenir"/>
                <w:color w:val="000000"/>
                <w:sz w:val="16"/>
                <w:szCs w:val="16"/>
              </w:rPr>
            </w:pPr>
            <w:r w:rsidRPr="00E11FFB">
              <w:rPr>
                <w:rFonts w:ascii="Avenir" w:eastAsia="Avenir" w:hAnsi="Avenir" w:cs="Avenir"/>
                <w:sz w:val="20"/>
                <w:szCs w:val="20"/>
              </w:rPr>
              <w:t>X</w:t>
            </w:r>
          </w:p>
        </w:tc>
      </w:tr>
    </w:tbl>
    <w:p w14:paraId="05DC6395" w14:textId="77777777" w:rsidR="0024617D" w:rsidRPr="00E11FFB" w:rsidRDefault="0024617D">
      <w:pPr>
        <w:spacing w:after="240" w:line="271" w:lineRule="auto"/>
        <w:ind w:right="28"/>
        <w:jc w:val="both"/>
        <w:rPr>
          <w:rFonts w:ascii="Avenir" w:eastAsia="Avenir" w:hAnsi="Avenir" w:cs="Avenir"/>
          <w:color w:val="000000"/>
        </w:rPr>
      </w:pPr>
    </w:p>
    <w:tbl>
      <w:tblPr>
        <w:tblStyle w:val="2"/>
        <w:tblW w:w="8977"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5198"/>
        <w:gridCol w:w="1768"/>
        <w:gridCol w:w="2011"/>
      </w:tblGrid>
      <w:tr w:rsidR="0024617D" w:rsidRPr="00E11FFB" w14:paraId="58052696" w14:textId="77777777" w:rsidTr="00103B6C">
        <w:trPr>
          <w:trHeight w:val="358"/>
          <w:jc w:val="center"/>
        </w:trPr>
        <w:tc>
          <w:tcPr>
            <w:tcW w:w="8977"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72E50BDE" w14:textId="77777777" w:rsidR="0024617D" w:rsidRPr="00E11FFB" w:rsidRDefault="00C83F85">
            <w:pPr>
              <w:spacing w:after="5" w:line="271" w:lineRule="auto"/>
              <w:ind w:left="-2" w:right="29" w:hanging="2"/>
              <w:rPr>
                <w:rFonts w:ascii="Avenir" w:eastAsia="Avenir" w:hAnsi="Avenir" w:cs="Avenir"/>
                <w:color w:val="000000"/>
                <w:sz w:val="16"/>
                <w:szCs w:val="16"/>
              </w:rPr>
            </w:pPr>
            <w:r w:rsidRPr="00E11FFB">
              <w:rPr>
                <w:rFonts w:ascii="Avenir" w:eastAsia="Avenir" w:hAnsi="Avenir" w:cs="Avenir"/>
                <w:b/>
                <w:color w:val="000000"/>
                <w:sz w:val="16"/>
                <w:szCs w:val="16"/>
              </w:rPr>
              <w:t xml:space="preserve">Fraude, mauvaise utilisation de fonds et corruption : </w:t>
            </w:r>
            <w:r w:rsidRPr="00E11FFB">
              <w:rPr>
                <w:rFonts w:ascii="Avenir" w:eastAsia="Avenir" w:hAnsi="Avenir" w:cs="Avenir"/>
                <w:color w:val="000000"/>
                <w:sz w:val="16"/>
                <w:szCs w:val="16"/>
              </w:rPr>
              <w:t>Veuillez détailler les formations fournies aux staffs, consultants et sous-contractants sur fraude, la mégestion de fonds et la corruption depuis le début du programme </w:t>
            </w:r>
          </w:p>
        </w:tc>
      </w:tr>
      <w:tr w:rsidR="0024617D" w:rsidRPr="00E11FFB" w14:paraId="32BEFFF7" w14:textId="77777777" w:rsidTr="00103B6C">
        <w:trPr>
          <w:trHeight w:val="358"/>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8A62879" w14:textId="77777777" w:rsidR="0024617D" w:rsidRPr="00E11FFB" w:rsidRDefault="0024617D">
            <w:pPr>
              <w:spacing w:after="5" w:line="271" w:lineRule="auto"/>
              <w:rPr>
                <w:rFonts w:ascii="Avenir" w:eastAsia="Avenir" w:hAnsi="Avenir" w:cs="Avenir"/>
                <w:color w:val="000000"/>
                <w:sz w:val="16"/>
                <w:szCs w:val="16"/>
              </w:rPr>
            </w:pP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796B9DF1"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Pour la période de rapportage</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30972DA6"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Depuis le début du programme</w:t>
            </w:r>
          </w:p>
        </w:tc>
      </w:tr>
      <w:tr w:rsidR="0024617D" w:rsidRPr="00E11FFB" w14:paraId="3D4F7471" w14:textId="77777777" w:rsidTr="00103B6C">
        <w:trPr>
          <w:trHeight w:val="358"/>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646E6538"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Nombre de staffs formés /nombre de staff total</w:t>
            </w: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7A2E01E9" w14:textId="57B96438" w:rsidR="0024617D" w:rsidRPr="00E11FFB" w:rsidRDefault="00103B6C">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60</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520C4F6A" w14:textId="5BDB4A89" w:rsidR="0024617D" w:rsidRPr="00E11FFB" w:rsidRDefault="00103B6C">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60</w:t>
            </w:r>
          </w:p>
        </w:tc>
      </w:tr>
      <w:tr w:rsidR="0024617D" w:rsidRPr="00E11FFB" w14:paraId="56543A73" w14:textId="77777777" w:rsidTr="00103B6C">
        <w:trPr>
          <w:trHeight w:val="358"/>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C32F236"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Nombre de consultants formés / nombre total</w:t>
            </w: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3982CF52" w14:textId="2FE88762" w:rsidR="0024617D" w:rsidRPr="00E11FFB" w:rsidRDefault="00AA06D4">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6A583E20" w14:textId="069E8130" w:rsidR="0024617D" w:rsidRPr="00E11FFB" w:rsidRDefault="00AA06D4">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0</w:t>
            </w:r>
          </w:p>
        </w:tc>
      </w:tr>
      <w:tr w:rsidR="0024617D" w:rsidRPr="00E11FFB" w14:paraId="7893CD84" w14:textId="77777777" w:rsidTr="00103B6C">
        <w:trPr>
          <w:trHeight w:val="358"/>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8532C09" w14:textId="77777777" w:rsidR="0024617D" w:rsidRPr="00E11FFB" w:rsidRDefault="00C83F85">
            <w:pPr>
              <w:spacing w:after="5" w:line="271" w:lineRule="auto"/>
              <w:ind w:left="-2" w:right="29" w:hanging="2"/>
              <w:rPr>
                <w:rFonts w:ascii="Avenir" w:eastAsia="Avenir" w:hAnsi="Avenir" w:cs="Avenir"/>
                <w:color w:val="000000"/>
                <w:sz w:val="16"/>
                <w:szCs w:val="16"/>
              </w:rPr>
            </w:pPr>
            <w:r w:rsidRPr="00E11FFB">
              <w:rPr>
                <w:rFonts w:ascii="Avenir" w:eastAsia="Avenir" w:hAnsi="Avenir" w:cs="Avenir"/>
                <w:color w:val="000000"/>
                <w:sz w:val="16"/>
                <w:szCs w:val="16"/>
              </w:rPr>
              <w:t>Nombre de sous-contractants formés / nombre total</w:t>
            </w: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29CD4271" w14:textId="5C8D38B2" w:rsidR="0024617D" w:rsidRPr="00E11FFB" w:rsidRDefault="00AA06D4">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427AB58E" w14:textId="09CEC5F7" w:rsidR="0024617D" w:rsidRPr="00E11FFB" w:rsidRDefault="00AA06D4">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0</w:t>
            </w:r>
          </w:p>
        </w:tc>
      </w:tr>
      <w:tr w:rsidR="0024617D" w:rsidRPr="00E11FFB" w14:paraId="11B1660A" w14:textId="77777777" w:rsidTr="00103B6C">
        <w:trPr>
          <w:trHeight w:val="152"/>
          <w:jc w:val="center"/>
        </w:trPr>
        <w:tc>
          <w:tcPr>
            <w:tcW w:w="8977" w:type="dxa"/>
            <w:gridSpan w:val="3"/>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940455A" w14:textId="77777777" w:rsidR="0024617D" w:rsidRPr="00E11FFB" w:rsidRDefault="00C83F85">
            <w:pPr>
              <w:spacing w:after="5" w:line="271" w:lineRule="auto"/>
              <w:ind w:left="10" w:firstLine="0"/>
              <w:rPr>
                <w:rFonts w:ascii="Avenir" w:eastAsia="Avenir" w:hAnsi="Avenir" w:cs="Avenir"/>
                <w:color w:val="000000"/>
                <w:sz w:val="16"/>
                <w:szCs w:val="16"/>
              </w:rPr>
            </w:pPr>
            <w:r w:rsidRPr="00E11FFB">
              <w:rPr>
                <w:rFonts w:ascii="Avenir" w:eastAsia="Avenir" w:hAnsi="Avenir" w:cs="Avenir"/>
                <w:b/>
                <w:color w:val="000000"/>
                <w:sz w:val="16"/>
                <w:szCs w:val="16"/>
              </w:rPr>
              <w:t>Exploitation, abus et harcèlement sexuels</w:t>
            </w:r>
          </w:p>
        </w:tc>
      </w:tr>
      <w:tr w:rsidR="0024617D" w:rsidRPr="00E11FFB" w14:paraId="7BE1212A" w14:textId="77777777" w:rsidTr="00103B6C">
        <w:trPr>
          <w:trHeight w:val="304"/>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DA44707"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Veuillez détailler les formations fournies aux staffs, consultants et sous contractants sur l’exploitation, les abus et le harcèlement sexuel</w:t>
            </w: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0245B6A2"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Pour la période de rapportage</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477C0538"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Depuis le début du programme</w:t>
            </w:r>
          </w:p>
        </w:tc>
      </w:tr>
      <w:tr w:rsidR="0024617D" w:rsidRPr="00E11FFB" w14:paraId="6ADCD78B" w14:textId="77777777" w:rsidTr="00103B6C">
        <w:trPr>
          <w:trHeight w:val="312"/>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6C247B7"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Nombre de staffs formés</w:t>
            </w:r>
          </w:p>
          <w:p w14:paraId="6645E9E8" w14:textId="77777777" w:rsidR="0024617D" w:rsidRPr="00E11FFB" w:rsidRDefault="00C83F85">
            <w:pPr>
              <w:spacing w:after="5" w:line="271" w:lineRule="auto"/>
              <w:ind w:left="10" w:right="29" w:firstLine="0"/>
              <w:rPr>
                <w:rFonts w:ascii="Avenir" w:eastAsia="Avenir" w:hAnsi="Avenir" w:cs="Avenir"/>
                <w:color w:val="000000"/>
                <w:sz w:val="16"/>
                <w:szCs w:val="16"/>
              </w:rPr>
            </w:pPr>
            <w:r w:rsidRPr="00E11FFB">
              <w:rPr>
                <w:rFonts w:ascii="Avenir" w:eastAsia="Avenir" w:hAnsi="Avenir" w:cs="Avenir"/>
                <w:color w:val="000000"/>
                <w:sz w:val="16"/>
                <w:szCs w:val="16"/>
              </w:rPr>
              <w:t>/nombre de staff total</w:t>
            </w: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0CACC020" w14:textId="77777777" w:rsidR="0024617D" w:rsidRPr="00E11FFB" w:rsidRDefault="0024617D" w:rsidP="00AA06D4">
            <w:pPr>
              <w:spacing w:after="5" w:line="271" w:lineRule="auto"/>
              <w:jc w:val="center"/>
              <w:rPr>
                <w:rFonts w:ascii="Avenir" w:eastAsia="Avenir" w:hAnsi="Avenir" w:cs="Avenir"/>
                <w:color w:val="000000"/>
                <w:sz w:val="16"/>
                <w:szCs w:val="16"/>
              </w:rPr>
            </w:pPr>
          </w:p>
          <w:p w14:paraId="232B4C7D" w14:textId="5A5332A9" w:rsidR="00AA06D4" w:rsidRPr="00E11FFB" w:rsidRDefault="00AA06D4" w:rsidP="00AA06D4">
            <w:pPr>
              <w:jc w:val="center"/>
              <w:rPr>
                <w:rFonts w:ascii="Avenir" w:eastAsia="Avenir" w:hAnsi="Avenir" w:cs="Avenir"/>
                <w:sz w:val="16"/>
                <w:szCs w:val="16"/>
              </w:rPr>
            </w:pPr>
            <w:r w:rsidRPr="00E11FFB">
              <w:rPr>
                <w:rFonts w:ascii="Avenir" w:eastAsia="Avenir" w:hAnsi="Avenir" w:cs="Avenir"/>
                <w:sz w:val="16"/>
                <w:szCs w:val="16"/>
              </w:rPr>
              <w:t>0</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6BB0881E" w14:textId="77777777" w:rsidR="00C81BFE" w:rsidRPr="00E11FFB" w:rsidRDefault="00C81BFE" w:rsidP="00AA06D4">
            <w:pPr>
              <w:spacing w:after="5" w:line="271" w:lineRule="auto"/>
              <w:jc w:val="center"/>
              <w:rPr>
                <w:rFonts w:ascii="Avenir" w:eastAsia="Avenir" w:hAnsi="Avenir" w:cs="Avenir"/>
                <w:color w:val="000000"/>
                <w:sz w:val="16"/>
                <w:szCs w:val="16"/>
              </w:rPr>
            </w:pPr>
          </w:p>
          <w:p w14:paraId="4F221DC4" w14:textId="108F7CB9" w:rsidR="0024617D" w:rsidRPr="00E11FFB" w:rsidRDefault="00AA06D4" w:rsidP="00AA06D4">
            <w:pPr>
              <w:spacing w:after="5" w:line="271" w:lineRule="auto"/>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r>
      <w:tr w:rsidR="0024617D" w:rsidRPr="00E11FFB" w14:paraId="0FA62F05" w14:textId="77777777" w:rsidTr="00103B6C">
        <w:trPr>
          <w:trHeight w:val="464"/>
          <w:jc w:val="center"/>
        </w:trPr>
        <w:tc>
          <w:tcPr>
            <w:tcW w:w="5198"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690BD34" w14:textId="07B3F812" w:rsidR="0024617D" w:rsidRPr="00E11FFB" w:rsidRDefault="00C83F85" w:rsidP="00103B6C">
            <w:pPr>
              <w:spacing w:after="5" w:line="271" w:lineRule="auto"/>
              <w:rPr>
                <w:rFonts w:ascii="Avenir" w:eastAsia="Avenir" w:hAnsi="Avenir" w:cs="Avenir"/>
                <w:color w:val="000000"/>
                <w:sz w:val="16"/>
                <w:szCs w:val="16"/>
              </w:rPr>
            </w:pPr>
            <w:r w:rsidRPr="00E11FFB">
              <w:rPr>
                <w:rFonts w:ascii="Avenir" w:eastAsia="Avenir" w:hAnsi="Avenir" w:cs="Avenir"/>
                <w:color w:val="000000"/>
                <w:sz w:val="16"/>
                <w:szCs w:val="16"/>
              </w:rPr>
              <w:t> Nombre de consultants formés / nombre total</w:t>
            </w:r>
          </w:p>
          <w:p w14:paraId="09B767E2" w14:textId="77777777" w:rsidR="0024617D" w:rsidRPr="00E11FFB" w:rsidRDefault="00C83F85">
            <w:pPr>
              <w:spacing w:after="5" w:line="271" w:lineRule="auto"/>
              <w:ind w:left="10" w:firstLine="0"/>
              <w:rPr>
                <w:rFonts w:ascii="Avenir" w:eastAsia="Avenir" w:hAnsi="Avenir" w:cs="Avenir"/>
                <w:color w:val="000000"/>
                <w:sz w:val="16"/>
                <w:szCs w:val="16"/>
              </w:rPr>
            </w:pPr>
            <w:r w:rsidRPr="00E11FFB">
              <w:rPr>
                <w:rFonts w:ascii="Avenir" w:eastAsia="Avenir" w:hAnsi="Avenir" w:cs="Avenir"/>
                <w:color w:val="000000"/>
                <w:sz w:val="16"/>
                <w:szCs w:val="16"/>
              </w:rPr>
              <w:t>Nombre de sous-contractants formés / nombre total</w:t>
            </w:r>
          </w:p>
        </w:tc>
        <w:tc>
          <w:tcPr>
            <w:tcW w:w="1768" w:type="dxa"/>
            <w:tcBorders>
              <w:top w:val="nil"/>
              <w:left w:val="nil"/>
              <w:bottom w:val="single" w:sz="8" w:space="0" w:color="000000"/>
              <w:right w:val="single" w:sz="8" w:space="0" w:color="000000"/>
            </w:tcBorders>
            <w:tcMar>
              <w:top w:w="0" w:type="dxa"/>
              <w:left w:w="115" w:type="dxa"/>
              <w:bottom w:w="0" w:type="dxa"/>
              <w:right w:w="115" w:type="dxa"/>
            </w:tcMar>
          </w:tcPr>
          <w:p w14:paraId="5C190378" w14:textId="3A0BC573" w:rsidR="0024617D" w:rsidRPr="00E11FFB" w:rsidRDefault="00AA06D4" w:rsidP="00AA06D4">
            <w:pPr>
              <w:spacing w:after="5" w:line="271" w:lineRule="auto"/>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c>
          <w:tcPr>
            <w:tcW w:w="2010" w:type="dxa"/>
            <w:tcBorders>
              <w:top w:val="nil"/>
              <w:left w:val="nil"/>
              <w:bottom w:val="single" w:sz="8" w:space="0" w:color="000000"/>
              <w:right w:val="single" w:sz="8" w:space="0" w:color="000000"/>
            </w:tcBorders>
            <w:tcMar>
              <w:top w:w="0" w:type="dxa"/>
              <w:left w:w="115" w:type="dxa"/>
              <w:bottom w:w="0" w:type="dxa"/>
              <w:right w:w="115" w:type="dxa"/>
            </w:tcMar>
          </w:tcPr>
          <w:p w14:paraId="46A6FF8A" w14:textId="4B84A070" w:rsidR="0024617D" w:rsidRPr="00E11FFB" w:rsidRDefault="00AA06D4" w:rsidP="00AA06D4">
            <w:pPr>
              <w:spacing w:after="5" w:line="271" w:lineRule="auto"/>
              <w:jc w:val="center"/>
              <w:rPr>
                <w:rFonts w:ascii="Avenir" w:eastAsia="Avenir" w:hAnsi="Avenir" w:cs="Avenir"/>
                <w:color w:val="000000"/>
                <w:sz w:val="16"/>
                <w:szCs w:val="16"/>
              </w:rPr>
            </w:pPr>
            <w:r w:rsidRPr="00E11FFB">
              <w:rPr>
                <w:rFonts w:ascii="Avenir" w:eastAsia="Avenir" w:hAnsi="Avenir" w:cs="Avenir"/>
                <w:color w:val="000000"/>
                <w:sz w:val="16"/>
                <w:szCs w:val="16"/>
              </w:rPr>
              <w:t>0</w:t>
            </w:r>
          </w:p>
        </w:tc>
      </w:tr>
    </w:tbl>
    <w:p w14:paraId="5BD7E0DA" w14:textId="77777777" w:rsidR="0024617D" w:rsidRPr="00E11FFB" w:rsidRDefault="00C83F85">
      <w:pPr>
        <w:pStyle w:val="Titre1"/>
        <w:numPr>
          <w:ilvl w:val="0"/>
          <w:numId w:val="1"/>
        </w:numPr>
      </w:pPr>
      <w:bookmarkStart w:id="46" w:name="_heading=h.vx1227" w:colFirst="0" w:colLast="0"/>
      <w:bookmarkStart w:id="47" w:name="_Toc224044734"/>
      <w:bookmarkEnd w:id="46"/>
      <w:r w:rsidRPr="00E11FFB">
        <w:t>Récapitulatif des livrables</w:t>
      </w:r>
      <w:bookmarkEnd w:id="47"/>
      <w:r w:rsidRPr="00E11FFB">
        <w:t xml:space="preserve"> </w:t>
      </w:r>
    </w:p>
    <w:p w14:paraId="53FD24DD" w14:textId="67769D08" w:rsidR="00A6240B" w:rsidRDefault="005225EF" w:rsidP="00A6240B">
      <w:pPr>
        <w:rPr>
          <w:b/>
          <w:bCs/>
          <w:sz w:val="28"/>
          <w:szCs w:val="28"/>
          <w:u w:val="single"/>
        </w:rPr>
      </w:pPr>
      <w:r>
        <w:rPr>
          <w:b/>
          <w:bCs/>
          <w:sz w:val="28"/>
          <w:szCs w:val="28"/>
          <w:u w:val="single"/>
        </w:rPr>
        <w:t>11.1. Composante</w:t>
      </w:r>
      <w:r w:rsidR="009320F1">
        <w:rPr>
          <w:b/>
          <w:bCs/>
          <w:sz w:val="28"/>
          <w:szCs w:val="28"/>
          <w:u w:val="single"/>
        </w:rPr>
        <w:t xml:space="preserve"> 1 :</w:t>
      </w:r>
      <w:r>
        <w:rPr>
          <w:b/>
          <w:bCs/>
          <w:sz w:val="28"/>
          <w:szCs w:val="28"/>
          <w:u w:val="single"/>
        </w:rPr>
        <w:t> A</w:t>
      </w:r>
      <w:r w:rsidR="00A6240B" w:rsidRPr="00E11FFB">
        <w:rPr>
          <w:b/>
          <w:bCs/>
          <w:sz w:val="28"/>
          <w:szCs w:val="28"/>
          <w:u w:val="single"/>
        </w:rPr>
        <w:t xml:space="preserve">ménagement du territoire </w:t>
      </w:r>
    </w:p>
    <w:p w14:paraId="4A871E51" w14:textId="77777777" w:rsidR="005225EF" w:rsidRPr="00E11FFB" w:rsidRDefault="005225EF" w:rsidP="00A6240B">
      <w:pPr>
        <w:rPr>
          <w:b/>
          <w:bCs/>
          <w:sz w:val="28"/>
          <w:szCs w:val="28"/>
          <w:u w:val="single"/>
        </w:rPr>
      </w:pPr>
    </w:p>
    <w:tbl>
      <w:tblPr>
        <w:tblStyle w:val="Grilledutableau"/>
        <w:tblW w:w="9922" w:type="dxa"/>
        <w:tblLook w:val="04A0" w:firstRow="1" w:lastRow="0" w:firstColumn="1" w:lastColumn="0" w:noHBand="0" w:noVBand="1"/>
      </w:tblPr>
      <w:tblGrid>
        <w:gridCol w:w="3336"/>
        <w:gridCol w:w="6586"/>
      </w:tblGrid>
      <w:tr w:rsidR="00A6240B" w:rsidRPr="00E11FFB" w14:paraId="3165927F" w14:textId="77777777" w:rsidTr="00965B89">
        <w:trPr>
          <w:trHeight w:val="359"/>
          <w:tblHeader/>
        </w:trPr>
        <w:tc>
          <w:tcPr>
            <w:tcW w:w="3336" w:type="dxa"/>
            <w:shd w:val="clear" w:color="auto" w:fill="FDE9D9" w:themeFill="accent6" w:themeFillTint="33"/>
          </w:tcPr>
          <w:p w14:paraId="317C25D3" w14:textId="77777777" w:rsidR="00A6240B" w:rsidRPr="00E11FFB" w:rsidRDefault="00A6240B" w:rsidP="003A6DE1">
            <w:pPr>
              <w:rPr>
                <w:b/>
                <w:bCs/>
                <w:sz w:val="20"/>
                <w:szCs w:val="20"/>
                <w:u w:val="single"/>
                <w:lang w:val="fr-CD"/>
              </w:rPr>
            </w:pPr>
            <w:r w:rsidRPr="00E11FFB">
              <w:rPr>
                <w:b/>
                <w:bCs/>
                <w:sz w:val="20"/>
                <w:szCs w:val="20"/>
                <w:u w:val="single"/>
                <w:lang w:val="fr-CD"/>
              </w:rPr>
              <w:t>Activité</w:t>
            </w:r>
          </w:p>
        </w:tc>
        <w:tc>
          <w:tcPr>
            <w:tcW w:w="6586" w:type="dxa"/>
            <w:shd w:val="clear" w:color="auto" w:fill="FDE9D9" w:themeFill="accent6" w:themeFillTint="33"/>
          </w:tcPr>
          <w:p w14:paraId="02C3ECF1" w14:textId="77777777" w:rsidR="00A6240B" w:rsidRPr="00E11FFB" w:rsidRDefault="00A6240B" w:rsidP="003A6DE1">
            <w:pPr>
              <w:rPr>
                <w:sz w:val="20"/>
                <w:szCs w:val="20"/>
                <w:lang w:val="fr-CD"/>
              </w:rPr>
            </w:pPr>
            <w:r w:rsidRPr="00E11FFB">
              <w:rPr>
                <w:sz w:val="20"/>
                <w:szCs w:val="20"/>
                <w:lang w:val="fr-CD"/>
              </w:rPr>
              <w:t xml:space="preserve">Listes de livrables </w:t>
            </w:r>
          </w:p>
        </w:tc>
      </w:tr>
      <w:tr w:rsidR="00A6240B" w:rsidRPr="00E11FFB" w14:paraId="39770731" w14:textId="77777777" w:rsidTr="002A0E14">
        <w:trPr>
          <w:trHeight w:val="1917"/>
        </w:trPr>
        <w:tc>
          <w:tcPr>
            <w:tcW w:w="3336" w:type="dxa"/>
          </w:tcPr>
          <w:p w14:paraId="20B1EDC7" w14:textId="77777777" w:rsidR="00A6240B" w:rsidRPr="00E11FFB" w:rsidRDefault="00A6240B" w:rsidP="003A6DE1">
            <w:pPr>
              <w:rPr>
                <w:sz w:val="20"/>
                <w:szCs w:val="20"/>
                <w:lang w:val="fr-CD"/>
              </w:rPr>
            </w:pPr>
            <w:r w:rsidRPr="00E11FFB">
              <w:rPr>
                <w:sz w:val="20"/>
                <w:szCs w:val="20"/>
                <w:lang w:val="fr-CD"/>
              </w:rPr>
              <w:t>Activité 1.1.1 : Installation et renforcement des capacités des membres de Conseil National d'AT après Désignation et des membres des Conseil Provinciaux d'AT dans deux provinces PIREDD pilotes, et tenue de la 1ère session du CNAT et des CPAT dans deux provinces PIREDD pilotes.</w:t>
            </w:r>
          </w:p>
        </w:tc>
        <w:tc>
          <w:tcPr>
            <w:tcW w:w="6586" w:type="dxa"/>
          </w:tcPr>
          <w:p w14:paraId="64FBBB64" w14:textId="77777777" w:rsidR="00A6240B" w:rsidRPr="002A0E14" w:rsidRDefault="00A6240B" w:rsidP="00A6240B">
            <w:pPr>
              <w:pStyle w:val="Paragraphedeliste"/>
              <w:numPr>
                <w:ilvl w:val="0"/>
                <w:numId w:val="32"/>
              </w:numPr>
              <w:rPr>
                <w:sz w:val="20"/>
                <w:szCs w:val="20"/>
                <w:lang w:val="fr-FR"/>
              </w:rPr>
            </w:pPr>
            <w:hyperlink r:id="rId83" w:history="1">
              <w:r w:rsidRPr="002A0E14">
                <w:rPr>
                  <w:rStyle w:val="Lienhypertexte"/>
                  <w:sz w:val="20"/>
                  <w:szCs w:val="20"/>
                  <w:lang w:val="fr-FR"/>
                </w:rPr>
                <w:t>Atelier d’échange sur les mesures d’application de la loi</w:t>
              </w:r>
            </w:hyperlink>
          </w:p>
          <w:p w14:paraId="2850CBD6" w14:textId="77777777" w:rsidR="00A6240B" w:rsidRPr="00E11FFB" w:rsidRDefault="00A6240B" w:rsidP="00A6240B">
            <w:pPr>
              <w:pStyle w:val="Paragraphedeliste"/>
              <w:numPr>
                <w:ilvl w:val="0"/>
                <w:numId w:val="32"/>
              </w:numPr>
              <w:rPr>
                <w:sz w:val="20"/>
                <w:szCs w:val="20"/>
              </w:rPr>
            </w:pPr>
            <w:hyperlink r:id="rId84" w:history="1">
              <w:r w:rsidRPr="00E11FFB">
                <w:rPr>
                  <w:rStyle w:val="Lienhypertexte"/>
                  <w:sz w:val="20"/>
                  <w:szCs w:val="20"/>
                </w:rPr>
                <w:t>Loi d’aménagement du territoire</w:t>
              </w:r>
            </w:hyperlink>
          </w:p>
          <w:p w14:paraId="3EA8A8C9" w14:textId="77777777" w:rsidR="00A6240B" w:rsidRPr="002A0E14" w:rsidRDefault="00A6240B" w:rsidP="00A6240B">
            <w:pPr>
              <w:pStyle w:val="Paragraphedeliste"/>
              <w:numPr>
                <w:ilvl w:val="0"/>
                <w:numId w:val="32"/>
              </w:numPr>
              <w:rPr>
                <w:sz w:val="20"/>
                <w:szCs w:val="20"/>
                <w:lang w:val="fr-FR"/>
              </w:rPr>
            </w:pPr>
            <w:hyperlink r:id="rId85" w:history="1">
              <w:r w:rsidRPr="002A0E14">
                <w:rPr>
                  <w:rStyle w:val="Lienhypertexte"/>
                  <w:sz w:val="20"/>
                  <w:szCs w:val="20"/>
                  <w:lang w:val="fr-FR"/>
                </w:rPr>
                <w:t>Désignation équipe de suivi des mesures d’application de la loi</w:t>
              </w:r>
            </w:hyperlink>
          </w:p>
          <w:p w14:paraId="675FEAE7" w14:textId="77777777" w:rsidR="00A6240B" w:rsidRPr="002A0E14" w:rsidRDefault="00A6240B" w:rsidP="00A6240B">
            <w:pPr>
              <w:pStyle w:val="Paragraphedeliste"/>
              <w:numPr>
                <w:ilvl w:val="0"/>
                <w:numId w:val="32"/>
              </w:numPr>
              <w:rPr>
                <w:sz w:val="20"/>
                <w:szCs w:val="20"/>
                <w:lang w:val="fr-FR"/>
              </w:rPr>
            </w:pPr>
            <w:hyperlink r:id="rId86" w:history="1">
              <w:r w:rsidRPr="002A0E14">
                <w:rPr>
                  <w:rStyle w:val="Lienhypertexte"/>
                  <w:sz w:val="20"/>
                  <w:szCs w:val="20"/>
                  <w:lang w:val="fr-FR"/>
                </w:rPr>
                <w:t>Compte rendu du conseil de ministre d’adoption du décret de création du CNAT</w:t>
              </w:r>
            </w:hyperlink>
          </w:p>
          <w:p w14:paraId="65C38F7C" w14:textId="77777777" w:rsidR="00A6240B" w:rsidRPr="002A0E14" w:rsidRDefault="00A6240B" w:rsidP="00A6240B">
            <w:pPr>
              <w:pStyle w:val="Paragraphedeliste"/>
              <w:numPr>
                <w:ilvl w:val="0"/>
                <w:numId w:val="32"/>
              </w:numPr>
              <w:rPr>
                <w:sz w:val="20"/>
                <w:szCs w:val="20"/>
                <w:lang w:val="fr-FR"/>
              </w:rPr>
            </w:pPr>
            <w:hyperlink r:id="rId87" w:history="1">
              <w:r w:rsidRPr="002A0E14">
                <w:rPr>
                  <w:rStyle w:val="Lienhypertexte"/>
                  <w:sz w:val="20"/>
                  <w:szCs w:val="20"/>
                  <w:lang w:val="fr-FR"/>
                </w:rPr>
                <w:t>Arrêté mis en place de CPAT dans le Kasai Oriental</w:t>
              </w:r>
            </w:hyperlink>
          </w:p>
          <w:p w14:paraId="1A6473A6" w14:textId="77777777" w:rsidR="00A6240B" w:rsidRPr="002A0E14" w:rsidRDefault="00A6240B" w:rsidP="00A6240B">
            <w:pPr>
              <w:pStyle w:val="Paragraphedeliste"/>
              <w:numPr>
                <w:ilvl w:val="0"/>
                <w:numId w:val="32"/>
              </w:numPr>
              <w:rPr>
                <w:sz w:val="20"/>
                <w:szCs w:val="20"/>
                <w:lang w:val="fr-FR"/>
              </w:rPr>
            </w:pPr>
            <w:r w:rsidRPr="002A0E14">
              <w:rPr>
                <w:sz w:val="20"/>
                <w:szCs w:val="20"/>
                <w:lang w:val="fr-FR"/>
              </w:rPr>
              <w:t xml:space="preserve">Modules de formation des membres CPAT et CNAT                                 </w:t>
            </w:r>
          </w:p>
          <w:p w14:paraId="1AB5547D" w14:textId="77777777" w:rsidR="00A6240B" w:rsidRPr="002A0E14" w:rsidRDefault="00A6240B" w:rsidP="00A6240B">
            <w:pPr>
              <w:pStyle w:val="Paragraphedeliste"/>
              <w:numPr>
                <w:ilvl w:val="0"/>
                <w:numId w:val="32"/>
              </w:numPr>
              <w:rPr>
                <w:sz w:val="20"/>
                <w:szCs w:val="20"/>
                <w:lang w:val="fr-FR"/>
              </w:rPr>
            </w:pPr>
            <w:hyperlink r:id="rId88" w:history="1">
              <w:r w:rsidRPr="002A0E14">
                <w:rPr>
                  <w:rStyle w:val="Lienhypertexte"/>
                  <w:sz w:val="20"/>
                  <w:szCs w:val="20"/>
                  <w:lang w:val="fr-FR"/>
                </w:rPr>
                <w:t>Projet d’arrêté PPAT dans le PIREDD KORLOM</w:t>
              </w:r>
            </w:hyperlink>
          </w:p>
        </w:tc>
      </w:tr>
      <w:tr w:rsidR="00A6240B" w:rsidRPr="00E11FFB" w14:paraId="486458CD" w14:textId="77777777" w:rsidTr="002A0E14">
        <w:trPr>
          <w:trHeight w:val="441"/>
        </w:trPr>
        <w:tc>
          <w:tcPr>
            <w:tcW w:w="3336" w:type="dxa"/>
          </w:tcPr>
          <w:p w14:paraId="265BBD17" w14:textId="77777777" w:rsidR="00A6240B" w:rsidRPr="00E11FFB" w:rsidRDefault="00A6240B" w:rsidP="003A6DE1">
            <w:pPr>
              <w:rPr>
                <w:b/>
                <w:bCs/>
                <w:sz w:val="20"/>
                <w:szCs w:val="20"/>
                <w:u w:val="single"/>
                <w:lang w:val="fr-CD"/>
              </w:rPr>
            </w:pPr>
            <w:r w:rsidRPr="00E11FFB">
              <w:rPr>
                <w:sz w:val="20"/>
                <w:szCs w:val="20"/>
                <w:lang w:val="fr-CD"/>
              </w:rPr>
              <w:t>Activité 1.2.1 Mettre à jour l'Annuaire National des ressources naturelles</w:t>
            </w:r>
          </w:p>
        </w:tc>
        <w:tc>
          <w:tcPr>
            <w:tcW w:w="6586" w:type="dxa"/>
          </w:tcPr>
          <w:p w14:paraId="2871F07A" w14:textId="77777777" w:rsidR="00A6240B" w:rsidRPr="002A0E14" w:rsidRDefault="00A6240B" w:rsidP="00A6240B">
            <w:pPr>
              <w:pStyle w:val="Paragraphedeliste"/>
              <w:numPr>
                <w:ilvl w:val="0"/>
                <w:numId w:val="32"/>
              </w:numPr>
              <w:rPr>
                <w:sz w:val="20"/>
                <w:szCs w:val="20"/>
                <w:lang w:val="fr-FR"/>
              </w:rPr>
            </w:pPr>
            <w:hyperlink r:id="rId89" w:history="1">
              <w:r w:rsidRPr="002A0E14">
                <w:rPr>
                  <w:rStyle w:val="Lienhypertexte"/>
                  <w:sz w:val="20"/>
                  <w:szCs w:val="20"/>
                  <w:lang w:val="fr-FR"/>
                </w:rPr>
                <w:t>Liste des présidents de groupes thématiques</w:t>
              </w:r>
            </w:hyperlink>
            <w:r w:rsidRPr="002A0E14">
              <w:rPr>
                <w:sz w:val="20"/>
                <w:szCs w:val="20"/>
                <w:lang w:val="fr-FR"/>
              </w:rPr>
              <w:t xml:space="preserve"> </w:t>
            </w:r>
          </w:p>
          <w:p w14:paraId="362338FC" w14:textId="77777777" w:rsidR="00A6240B" w:rsidRPr="002A0E14" w:rsidRDefault="00A6240B" w:rsidP="00A6240B">
            <w:pPr>
              <w:pStyle w:val="Paragraphedeliste"/>
              <w:numPr>
                <w:ilvl w:val="0"/>
                <w:numId w:val="32"/>
              </w:numPr>
              <w:rPr>
                <w:sz w:val="20"/>
                <w:szCs w:val="20"/>
                <w:lang w:val="fr-FR"/>
              </w:rPr>
            </w:pPr>
            <w:r w:rsidRPr="002A0E14">
              <w:rPr>
                <w:sz w:val="20"/>
                <w:szCs w:val="20"/>
                <w:lang w:val="fr-FR"/>
              </w:rPr>
              <w:t xml:space="preserve">Draft de l’annuaire National des ressources naturelles </w:t>
            </w:r>
          </w:p>
          <w:p w14:paraId="004DEC06" w14:textId="77777777" w:rsidR="00A6240B" w:rsidRPr="00E11FFB" w:rsidRDefault="00A6240B" w:rsidP="003A6DE1">
            <w:pPr>
              <w:rPr>
                <w:b/>
                <w:bCs/>
                <w:sz w:val="20"/>
                <w:szCs w:val="20"/>
                <w:u w:val="single"/>
                <w:lang w:val="fr-CD"/>
              </w:rPr>
            </w:pPr>
          </w:p>
        </w:tc>
      </w:tr>
      <w:tr w:rsidR="00A6240B" w:rsidRPr="00E11FFB" w14:paraId="2CE7955C" w14:textId="77777777" w:rsidTr="00965B89">
        <w:trPr>
          <w:trHeight w:val="406"/>
        </w:trPr>
        <w:tc>
          <w:tcPr>
            <w:tcW w:w="3336" w:type="dxa"/>
          </w:tcPr>
          <w:p w14:paraId="4CAF9A46" w14:textId="77777777" w:rsidR="00A6240B" w:rsidRPr="00E11FFB" w:rsidRDefault="00A6240B" w:rsidP="003A6DE1">
            <w:pPr>
              <w:rPr>
                <w:b/>
                <w:bCs/>
                <w:sz w:val="20"/>
                <w:szCs w:val="20"/>
                <w:u w:val="single"/>
                <w:lang w:val="fr-CD"/>
              </w:rPr>
            </w:pPr>
            <w:r w:rsidRPr="00E11FFB">
              <w:rPr>
                <w:sz w:val="20"/>
                <w:szCs w:val="20"/>
                <w:lang w:val="fr-CD"/>
              </w:rPr>
              <w:t>Activité 1.2.2 Elaborer l'atlas d'AT prioritaire</w:t>
            </w:r>
          </w:p>
        </w:tc>
        <w:tc>
          <w:tcPr>
            <w:tcW w:w="6586" w:type="dxa"/>
          </w:tcPr>
          <w:p w14:paraId="07BE4394" w14:textId="77777777" w:rsidR="00A6240B" w:rsidRPr="00E11FFB" w:rsidRDefault="00A6240B" w:rsidP="00A6240B">
            <w:pPr>
              <w:pStyle w:val="Paragraphedeliste"/>
              <w:numPr>
                <w:ilvl w:val="0"/>
                <w:numId w:val="32"/>
              </w:numPr>
              <w:rPr>
                <w:sz w:val="20"/>
                <w:szCs w:val="20"/>
              </w:rPr>
            </w:pPr>
            <w:hyperlink r:id="rId90" w:history="1">
              <w:r w:rsidRPr="00E11FFB">
                <w:rPr>
                  <w:rStyle w:val="Lienhypertexte"/>
                  <w:sz w:val="20"/>
                  <w:szCs w:val="20"/>
                </w:rPr>
                <w:t>1 draft de l’atlas d’AT</w:t>
              </w:r>
            </w:hyperlink>
          </w:p>
          <w:p w14:paraId="29333792" w14:textId="77777777" w:rsidR="00A6240B" w:rsidRPr="00E11FFB" w:rsidRDefault="00A6240B" w:rsidP="003A6DE1">
            <w:pPr>
              <w:rPr>
                <w:b/>
                <w:bCs/>
                <w:sz w:val="20"/>
                <w:szCs w:val="20"/>
                <w:u w:val="single"/>
                <w:lang w:val="fr-CD"/>
              </w:rPr>
            </w:pPr>
          </w:p>
        </w:tc>
      </w:tr>
      <w:tr w:rsidR="00A6240B" w:rsidRPr="00E11FFB" w14:paraId="72F1D82E" w14:textId="77777777" w:rsidTr="00965B89">
        <w:trPr>
          <w:trHeight w:val="1137"/>
        </w:trPr>
        <w:tc>
          <w:tcPr>
            <w:tcW w:w="3336" w:type="dxa"/>
          </w:tcPr>
          <w:p w14:paraId="4B59C28A" w14:textId="77777777" w:rsidR="00A6240B" w:rsidRPr="00E11FFB" w:rsidRDefault="00A6240B" w:rsidP="003A6DE1">
            <w:pPr>
              <w:rPr>
                <w:sz w:val="20"/>
                <w:szCs w:val="20"/>
                <w:lang w:val="fr-CD"/>
              </w:rPr>
            </w:pPr>
            <w:r w:rsidRPr="00E11FFB">
              <w:rPr>
                <w:sz w:val="20"/>
                <w:szCs w:val="20"/>
                <w:lang w:val="fr-CD"/>
              </w:rPr>
              <w:t>Activité 1.3.1 Identification et cartographie des principaux conflits d'usage et d'affectation des terres</w:t>
            </w:r>
          </w:p>
          <w:p w14:paraId="4D88F2FC" w14:textId="77777777" w:rsidR="00A6240B" w:rsidRPr="00E11FFB" w:rsidRDefault="00A6240B" w:rsidP="003A6DE1">
            <w:pPr>
              <w:rPr>
                <w:sz w:val="20"/>
                <w:szCs w:val="20"/>
                <w:lang w:val="fr-CD"/>
              </w:rPr>
            </w:pPr>
          </w:p>
        </w:tc>
        <w:tc>
          <w:tcPr>
            <w:tcW w:w="6586" w:type="dxa"/>
          </w:tcPr>
          <w:p w14:paraId="19DE98FF" w14:textId="77777777" w:rsidR="00A6240B" w:rsidRPr="002A0E14" w:rsidRDefault="00A6240B" w:rsidP="00A6240B">
            <w:pPr>
              <w:pStyle w:val="Paragraphedeliste"/>
              <w:numPr>
                <w:ilvl w:val="0"/>
                <w:numId w:val="32"/>
              </w:numPr>
              <w:rPr>
                <w:sz w:val="20"/>
                <w:szCs w:val="20"/>
                <w:lang w:val="fr-FR"/>
              </w:rPr>
            </w:pPr>
            <w:hyperlink r:id="rId91" w:history="1">
              <w:r w:rsidRPr="002A0E14">
                <w:rPr>
                  <w:rStyle w:val="Lienhypertexte"/>
                  <w:sz w:val="20"/>
                  <w:szCs w:val="20"/>
                  <w:lang w:val="fr-FR"/>
                </w:rPr>
                <w:t>Rapport d’atelier d’identification et cartographie des principaux conflits d’usage</w:t>
              </w:r>
            </w:hyperlink>
            <w:r w:rsidRPr="002A0E14">
              <w:rPr>
                <w:sz w:val="20"/>
                <w:szCs w:val="20"/>
                <w:lang w:val="fr-FR"/>
              </w:rPr>
              <w:t xml:space="preserve"> </w:t>
            </w:r>
          </w:p>
          <w:p w14:paraId="0BA03440" w14:textId="77777777" w:rsidR="00A6240B" w:rsidRPr="002A0E14" w:rsidRDefault="00A6240B" w:rsidP="00A6240B">
            <w:pPr>
              <w:pStyle w:val="Paragraphedeliste"/>
              <w:numPr>
                <w:ilvl w:val="0"/>
                <w:numId w:val="32"/>
              </w:numPr>
              <w:rPr>
                <w:sz w:val="20"/>
                <w:szCs w:val="20"/>
                <w:lang w:val="fr-FR"/>
              </w:rPr>
            </w:pPr>
            <w:hyperlink r:id="rId92" w:history="1">
              <w:r w:rsidRPr="002A0E14">
                <w:rPr>
                  <w:rStyle w:val="Lienhypertexte"/>
                  <w:sz w:val="20"/>
                  <w:szCs w:val="20"/>
                  <w:lang w:val="fr-FR"/>
                </w:rPr>
                <w:t>2 consultations identifications de conflit (Tshopo, Equateur)</w:t>
              </w:r>
            </w:hyperlink>
          </w:p>
          <w:p w14:paraId="1C0124EA" w14:textId="77777777" w:rsidR="00A6240B" w:rsidRPr="002A0E14" w:rsidRDefault="00A6240B" w:rsidP="00A6240B">
            <w:pPr>
              <w:pStyle w:val="Paragraphedeliste"/>
              <w:numPr>
                <w:ilvl w:val="0"/>
                <w:numId w:val="32"/>
              </w:numPr>
              <w:rPr>
                <w:sz w:val="20"/>
                <w:szCs w:val="20"/>
                <w:lang w:val="fr-FR"/>
              </w:rPr>
            </w:pPr>
            <w:hyperlink r:id="rId93" w:history="1">
              <w:r w:rsidRPr="002A0E14">
                <w:rPr>
                  <w:rStyle w:val="Lienhypertexte"/>
                  <w:sz w:val="20"/>
                  <w:szCs w:val="20"/>
                  <w:lang w:val="fr-FR"/>
                </w:rPr>
                <w:t>Cartographie des zones des conflits d’affectation des terres (Tshopo, Haut Lomami et Equateur)</w:t>
              </w:r>
            </w:hyperlink>
          </w:p>
        </w:tc>
      </w:tr>
      <w:tr w:rsidR="00A6240B" w:rsidRPr="00E11FFB" w14:paraId="370FD4F4" w14:textId="77777777" w:rsidTr="00965B89">
        <w:trPr>
          <w:trHeight w:val="567"/>
        </w:trPr>
        <w:tc>
          <w:tcPr>
            <w:tcW w:w="3336" w:type="dxa"/>
          </w:tcPr>
          <w:p w14:paraId="42FF5F3C" w14:textId="77777777" w:rsidR="00A6240B" w:rsidRPr="00E11FFB" w:rsidRDefault="00A6240B" w:rsidP="003A6DE1">
            <w:pPr>
              <w:rPr>
                <w:sz w:val="20"/>
                <w:szCs w:val="20"/>
                <w:lang w:val="fr-CD"/>
              </w:rPr>
            </w:pPr>
            <w:r w:rsidRPr="00E11FFB">
              <w:rPr>
                <w:sz w:val="20"/>
                <w:szCs w:val="20"/>
                <w:lang w:val="fr-CD"/>
              </w:rPr>
              <w:t xml:space="preserve">Activité 1.3.2 : Arbitrage des conflits d'affectation des terres conformément à la loi </w:t>
            </w:r>
          </w:p>
        </w:tc>
        <w:tc>
          <w:tcPr>
            <w:tcW w:w="6586" w:type="dxa"/>
          </w:tcPr>
          <w:p w14:paraId="59F56AD2" w14:textId="77777777" w:rsidR="00A6240B" w:rsidRPr="002A0E14" w:rsidRDefault="00A6240B" w:rsidP="00A6240B">
            <w:pPr>
              <w:pStyle w:val="Paragraphedeliste"/>
              <w:numPr>
                <w:ilvl w:val="0"/>
                <w:numId w:val="32"/>
              </w:numPr>
              <w:rPr>
                <w:sz w:val="20"/>
                <w:szCs w:val="20"/>
                <w:lang w:val="fr-FR"/>
              </w:rPr>
            </w:pPr>
            <w:hyperlink r:id="rId94" w:history="1">
              <w:r w:rsidRPr="002A0E14">
                <w:rPr>
                  <w:rStyle w:val="Lienhypertexte"/>
                  <w:sz w:val="20"/>
                  <w:szCs w:val="20"/>
                  <w:lang w:val="fr-FR"/>
                </w:rPr>
                <w:t>Contrats de consultance avec les cartographes pour la production des cartes des conflits d’usages de terre</w:t>
              </w:r>
            </w:hyperlink>
          </w:p>
        </w:tc>
      </w:tr>
      <w:tr w:rsidR="00A6240B" w:rsidRPr="00E11FFB" w14:paraId="229E7387" w14:textId="77777777" w:rsidTr="00965B89">
        <w:trPr>
          <w:trHeight w:val="755"/>
        </w:trPr>
        <w:tc>
          <w:tcPr>
            <w:tcW w:w="3336" w:type="dxa"/>
          </w:tcPr>
          <w:p w14:paraId="67840494" w14:textId="7BFFB210" w:rsidR="00A6240B" w:rsidRPr="00E11FFB" w:rsidRDefault="00A6240B" w:rsidP="003A6DE1">
            <w:pPr>
              <w:rPr>
                <w:sz w:val="20"/>
                <w:szCs w:val="20"/>
                <w:lang w:val="fr-CD"/>
              </w:rPr>
            </w:pPr>
            <w:r w:rsidRPr="00E11FFB">
              <w:rPr>
                <w:sz w:val="20"/>
                <w:szCs w:val="20"/>
                <w:lang w:val="fr-CD"/>
              </w:rPr>
              <w:t>Activité 1.4.1 Centraliser et publier contrats d'affectation des terres</w:t>
            </w:r>
          </w:p>
        </w:tc>
        <w:tc>
          <w:tcPr>
            <w:tcW w:w="6586" w:type="dxa"/>
          </w:tcPr>
          <w:p w14:paraId="4EB09A79" w14:textId="77777777" w:rsidR="00A6240B" w:rsidRPr="002A0E14" w:rsidRDefault="00A6240B" w:rsidP="00A6240B">
            <w:pPr>
              <w:pStyle w:val="Paragraphedeliste"/>
              <w:numPr>
                <w:ilvl w:val="0"/>
                <w:numId w:val="32"/>
              </w:numPr>
              <w:rPr>
                <w:sz w:val="20"/>
                <w:szCs w:val="20"/>
                <w:lang w:val="fr-FR"/>
              </w:rPr>
            </w:pPr>
            <w:hyperlink r:id="rId95" w:history="1">
              <w:r w:rsidRPr="002A0E14">
                <w:rPr>
                  <w:rStyle w:val="Lienhypertexte"/>
                  <w:sz w:val="20"/>
                  <w:szCs w:val="20"/>
                  <w:lang w:val="fr-FR"/>
                </w:rPr>
                <w:t>Ordre de collecte des données au sein des ministères sectoriels</w:t>
              </w:r>
            </w:hyperlink>
          </w:p>
          <w:p w14:paraId="682305B2" w14:textId="3CD4CFF9" w:rsidR="00A6240B" w:rsidRPr="002A0E14" w:rsidRDefault="00A6240B" w:rsidP="00A6240B">
            <w:pPr>
              <w:pStyle w:val="Paragraphedeliste"/>
              <w:numPr>
                <w:ilvl w:val="0"/>
                <w:numId w:val="32"/>
              </w:numPr>
              <w:rPr>
                <w:sz w:val="20"/>
                <w:szCs w:val="20"/>
                <w:lang w:val="fr-FR"/>
              </w:rPr>
            </w:pPr>
            <w:hyperlink r:id="rId96" w:history="1">
              <w:r w:rsidRPr="002A0E14">
                <w:rPr>
                  <w:rStyle w:val="Lienhypertexte"/>
                  <w:sz w:val="20"/>
                  <w:szCs w:val="20"/>
                  <w:lang w:val="fr-FR"/>
                </w:rPr>
                <w:t>Contrat de consultance sur la publication de données</w:t>
              </w:r>
            </w:hyperlink>
          </w:p>
        </w:tc>
      </w:tr>
      <w:tr w:rsidR="00A6240B" w:rsidRPr="00E11FFB" w14:paraId="2054CB3B" w14:textId="77777777" w:rsidTr="00965B89">
        <w:trPr>
          <w:trHeight w:val="1450"/>
        </w:trPr>
        <w:tc>
          <w:tcPr>
            <w:tcW w:w="3336" w:type="dxa"/>
          </w:tcPr>
          <w:p w14:paraId="33C2D12B" w14:textId="77777777" w:rsidR="00A6240B" w:rsidRPr="00E11FFB" w:rsidRDefault="00A6240B" w:rsidP="003A6DE1">
            <w:pPr>
              <w:rPr>
                <w:sz w:val="20"/>
                <w:szCs w:val="20"/>
                <w:lang w:val="fr-CD"/>
              </w:rPr>
            </w:pPr>
            <w:r w:rsidRPr="00E11FFB">
              <w:rPr>
                <w:sz w:val="20"/>
                <w:szCs w:val="20"/>
                <w:lang w:val="fr-CD"/>
              </w:rPr>
              <w:t>Activité 1.5.1 Réaliser le Schéma National d'AT</w:t>
            </w:r>
          </w:p>
        </w:tc>
        <w:tc>
          <w:tcPr>
            <w:tcW w:w="6586" w:type="dxa"/>
          </w:tcPr>
          <w:p w14:paraId="53DF3144" w14:textId="77777777" w:rsidR="00A6240B" w:rsidRPr="002A0E14" w:rsidRDefault="00A6240B" w:rsidP="00A6240B">
            <w:pPr>
              <w:pStyle w:val="Paragraphedeliste"/>
              <w:numPr>
                <w:ilvl w:val="0"/>
                <w:numId w:val="32"/>
              </w:numPr>
              <w:rPr>
                <w:sz w:val="20"/>
                <w:szCs w:val="20"/>
                <w:lang w:val="fr-FR"/>
              </w:rPr>
            </w:pPr>
            <w:hyperlink r:id="rId97" w:history="1">
              <w:r w:rsidRPr="002A0E14">
                <w:rPr>
                  <w:rStyle w:val="Lienhypertexte"/>
                  <w:sz w:val="20"/>
                  <w:szCs w:val="20"/>
                  <w:lang w:val="fr-FR"/>
                </w:rPr>
                <w:t>Rapport d’atelier d’élaboration et validation des options d’aménagement du territoire</w:t>
              </w:r>
            </w:hyperlink>
          </w:p>
          <w:p w14:paraId="3471E4F5" w14:textId="77777777" w:rsidR="00A6240B" w:rsidRPr="002A0E14" w:rsidRDefault="00A6240B" w:rsidP="00A6240B">
            <w:pPr>
              <w:pStyle w:val="Paragraphedeliste"/>
              <w:numPr>
                <w:ilvl w:val="0"/>
                <w:numId w:val="32"/>
              </w:numPr>
              <w:rPr>
                <w:sz w:val="20"/>
                <w:szCs w:val="20"/>
                <w:lang w:val="fr-FR"/>
              </w:rPr>
            </w:pPr>
            <w:hyperlink r:id="rId98" w:history="1">
              <w:r w:rsidRPr="002A0E14">
                <w:rPr>
                  <w:rStyle w:val="Lienhypertexte"/>
                  <w:sz w:val="20"/>
                  <w:szCs w:val="20"/>
                  <w:lang w:val="fr-FR"/>
                </w:rPr>
                <w:t>Rapport de validation des étapes de finalisation du SNAT</w:t>
              </w:r>
            </w:hyperlink>
          </w:p>
          <w:p w14:paraId="32497271" w14:textId="77777777" w:rsidR="00A6240B" w:rsidRPr="002A0E14" w:rsidRDefault="00A6240B" w:rsidP="00A6240B">
            <w:pPr>
              <w:pStyle w:val="Paragraphedeliste"/>
              <w:numPr>
                <w:ilvl w:val="0"/>
                <w:numId w:val="32"/>
              </w:numPr>
              <w:rPr>
                <w:sz w:val="20"/>
                <w:szCs w:val="20"/>
                <w:lang w:val="fr-FR"/>
              </w:rPr>
            </w:pPr>
            <w:hyperlink r:id="rId99" w:history="1">
              <w:r w:rsidRPr="002A0E14">
                <w:rPr>
                  <w:rStyle w:val="Lienhypertexte"/>
                  <w:sz w:val="20"/>
                  <w:szCs w:val="20"/>
                  <w:lang w:val="fr-FR"/>
                </w:rPr>
                <w:t>Liste de présence sur la validation des options d’aménagement</w:t>
              </w:r>
            </w:hyperlink>
            <w:r w:rsidRPr="002A0E14">
              <w:rPr>
                <w:sz w:val="20"/>
                <w:szCs w:val="20"/>
                <w:lang w:val="fr-FR"/>
              </w:rPr>
              <w:t xml:space="preserve"> </w:t>
            </w:r>
          </w:p>
          <w:p w14:paraId="46B81D9C" w14:textId="77777777" w:rsidR="00A6240B" w:rsidRPr="002A0E14" w:rsidRDefault="00A6240B" w:rsidP="00A6240B">
            <w:pPr>
              <w:pStyle w:val="Paragraphedeliste"/>
              <w:numPr>
                <w:ilvl w:val="0"/>
                <w:numId w:val="32"/>
              </w:numPr>
              <w:rPr>
                <w:sz w:val="20"/>
                <w:szCs w:val="20"/>
                <w:lang w:val="fr-FR"/>
              </w:rPr>
            </w:pPr>
            <w:hyperlink r:id="rId100" w:history="1">
              <w:r w:rsidRPr="002A0E14">
                <w:rPr>
                  <w:rStyle w:val="Lienhypertexte"/>
                  <w:sz w:val="20"/>
                  <w:szCs w:val="20"/>
                  <w:lang w:val="fr-FR"/>
                </w:rPr>
                <w:t>Liste de présence sur la validation des étapes d’aménagement</w:t>
              </w:r>
            </w:hyperlink>
          </w:p>
        </w:tc>
      </w:tr>
      <w:tr w:rsidR="00A6240B" w:rsidRPr="00E11FFB" w14:paraId="4D40AA0B" w14:textId="77777777" w:rsidTr="00965B89">
        <w:trPr>
          <w:trHeight w:val="456"/>
        </w:trPr>
        <w:tc>
          <w:tcPr>
            <w:tcW w:w="3336" w:type="dxa"/>
          </w:tcPr>
          <w:p w14:paraId="70055CF0" w14:textId="77777777" w:rsidR="00A6240B" w:rsidRPr="00E11FFB" w:rsidRDefault="00A6240B" w:rsidP="003A6DE1">
            <w:pPr>
              <w:rPr>
                <w:sz w:val="20"/>
                <w:szCs w:val="20"/>
                <w:lang w:val="fr-CD"/>
              </w:rPr>
            </w:pPr>
            <w:r w:rsidRPr="00E11FFB">
              <w:rPr>
                <w:sz w:val="20"/>
                <w:szCs w:val="20"/>
                <w:lang w:val="fr-CD"/>
              </w:rPr>
              <w:t>Activité 1.6.1 Appuyer la Task-Force de pilotage rapport de la task-force AT</w:t>
            </w:r>
          </w:p>
        </w:tc>
        <w:tc>
          <w:tcPr>
            <w:tcW w:w="6586" w:type="dxa"/>
          </w:tcPr>
          <w:p w14:paraId="18CB6078" w14:textId="77777777" w:rsidR="00A6240B" w:rsidRPr="002A0E14" w:rsidRDefault="00A6240B" w:rsidP="00A6240B">
            <w:pPr>
              <w:pStyle w:val="Paragraphedeliste"/>
              <w:numPr>
                <w:ilvl w:val="0"/>
                <w:numId w:val="32"/>
              </w:numPr>
              <w:rPr>
                <w:sz w:val="20"/>
                <w:szCs w:val="20"/>
                <w:lang w:val="fr-FR"/>
              </w:rPr>
            </w:pPr>
            <w:hyperlink r:id="rId101" w:history="1">
              <w:r w:rsidRPr="002A0E14">
                <w:rPr>
                  <w:rStyle w:val="Lienhypertexte"/>
                  <w:sz w:val="20"/>
                  <w:szCs w:val="20"/>
                  <w:lang w:val="fr-FR"/>
                </w:rPr>
                <w:t>Rapports mensuels d’activité des membres de la task-force</w:t>
              </w:r>
            </w:hyperlink>
          </w:p>
        </w:tc>
      </w:tr>
      <w:tr w:rsidR="00A6240B" w:rsidRPr="00E11FFB" w14:paraId="1908373C" w14:textId="77777777" w:rsidTr="00965B89">
        <w:trPr>
          <w:trHeight w:val="464"/>
        </w:trPr>
        <w:tc>
          <w:tcPr>
            <w:tcW w:w="3336" w:type="dxa"/>
          </w:tcPr>
          <w:p w14:paraId="44C848A7" w14:textId="77777777" w:rsidR="00A6240B" w:rsidRPr="00E11FFB" w:rsidRDefault="00A6240B" w:rsidP="003A6DE1">
            <w:pPr>
              <w:rPr>
                <w:sz w:val="20"/>
                <w:szCs w:val="20"/>
                <w:lang w:val="fr-CD"/>
              </w:rPr>
            </w:pPr>
            <w:r w:rsidRPr="00E11FFB">
              <w:rPr>
                <w:sz w:val="20"/>
                <w:szCs w:val="20"/>
                <w:lang w:val="fr-CD"/>
              </w:rPr>
              <w:t>Activité 1.6.2 Appuyer le fonctionnement et la logistique de la Task-Force</w:t>
            </w:r>
          </w:p>
        </w:tc>
        <w:tc>
          <w:tcPr>
            <w:tcW w:w="6586" w:type="dxa"/>
          </w:tcPr>
          <w:p w14:paraId="529814A5" w14:textId="77777777" w:rsidR="00A6240B" w:rsidRPr="002A0E14" w:rsidRDefault="00A6240B" w:rsidP="00A6240B">
            <w:pPr>
              <w:pStyle w:val="Paragraphedeliste"/>
              <w:numPr>
                <w:ilvl w:val="0"/>
                <w:numId w:val="32"/>
              </w:numPr>
              <w:rPr>
                <w:sz w:val="20"/>
                <w:szCs w:val="20"/>
                <w:lang w:val="fr-FR"/>
              </w:rPr>
            </w:pPr>
            <w:hyperlink r:id="rId102" w:history="1">
              <w:r w:rsidRPr="002A0E14">
                <w:rPr>
                  <w:rStyle w:val="Lienhypertexte"/>
                  <w:sz w:val="20"/>
                  <w:szCs w:val="20"/>
                  <w:lang w:val="fr-FR"/>
                </w:rPr>
                <w:t>Contrat avec les services de livraison des fournitures de bureau et appui internet</w:t>
              </w:r>
            </w:hyperlink>
          </w:p>
          <w:p w14:paraId="2F5CDFF3" w14:textId="77777777" w:rsidR="00A6240B" w:rsidRPr="002A0E14" w:rsidRDefault="00A6240B" w:rsidP="00A6240B">
            <w:pPr>
              <w:pStyle w:val="Paragraphedeliste"/>
              <w:numPr>
                <w:ilvl w:val="0"/>
                <w:numId w:val="32"/>
              </w:numPr>
              <w:rPr>
                <w:sz w:val="20"/>
                <w:szCs w:val="20"/>
                <w:lang w:val="fr-FR"/>
              </w:rPr>
            </w:pPr>
            <w:hyperlink r:id="rId103" w:history="1">
              <w:r w:rsidRPr="002A0E14">
                <w:rPr>
                  <w:rStyle w:val="Lienhypertexte"/>
                  <w:sz w:val="20"/>
                  <w:szCs w:val="20"/>
                  <w:lang w:val="fr-FR"/>
                </w:rPr>
                <w:t>Rapport réunion habituelle de la task-force</w:t>
              </w:r>
            </w:hyperlink>
          </w:p>
        </w:tc>
      </w:tr>
      <w:tr w:rsidR="00A6240B" w:rsidRPr="00E11FFB" w14:paraId="156DA447" w14:textId="77777777" w:rsidTr="00965B89">
        <w:trPr>
          <w:trHeight w:val="464"/>
        </w:trPr>
        <w:tc>
          <w:tcPr>
            <w:tcW w:w="3336" w:type="dxa"/>
          </w:tcPr>
          <w:p w14:paraId="6B3BB6FC" w14:textId="77777777" w:rsidR="00A6240B" w:rsidRPr="00E11FFB" w:rsidRDefault="00A6240B" w:rsidP="003A6DE1">
            <w:pPr>
              <w:rPr>
                <w:sz w:val="20"/>
                <w:szCs w:val="20"/>
                <w:lang w:val="fr-CD"/>
              </w:rPr>
            </w:pPr>
            <w:r w:rsidRPr="00E11FFB">
              <w:rPr>
                <w:sz w:val="20"/>
                <w:szCs w:val="20"/>
                <w:lang w:val="fr-CD"/>
              </w:rPr>
              <w:t>Activité 1.6.3 Appuyer la Direction des nouvelles technologies</w:t>
            </w:r>
          </w:p>
        </w:tc>
        <w:tc>
          <w:tcPr>
            <w:tcW w:w="6586" w:type="dxa"/>
          </w:tcPr>
          <w:p w14:paraId="2B9C1C7C" w14:textId="77777777" w:rsidR="00A6240B" w:rsidRPr="002A0E14" w:rsidRDefault="00A6240B" w:rsidP="00A6240B">
            <w:pPr>
              <w:pStyle w:val="Paragraphedeliste"/>
              <w:numPr>
                <w:ilvl w:val="0"/>
                <w:numId w:val="32"/>
              </w:numPr>
              <w:rPr>
                <w:sz w:val="20"/>
                <w:szCs w:val="20"/>
                <w:lang w:val="fr-FR"/>
              </w:rPr>
            </w:pPr>
            <w:hyperlink r:id="rId104" w:history="1">
              <w:r w:rsidRPr="002A0E14">
                <w:rPr>
                  <w:rStyle w:val="Lienhypertexte"/>
                  <w:sz w:val="20"/>
                  <w:szCs w:val="20"/>
                  <w:lang w:val="fr-FR"/>
                </w:rPr>
                <w:t>Rapport de structuration du site</w:t>
              </w:r>
              <w:r w:rsidR="00103B6C" w:rsidRPr="002A0E14">
                <w:rPr>
                  <w:rStyle w:val="Lienhypertexte"/>
                  <w:sz w:val="20"/>
                  <w:szCs w:val="20"/>
                  <w:lang w:val="fr-FR"/>
                </w:rPr>
                <w:t xml:space="preserve"> (Rapport webmaster)</w:t>
              </w:r>
            </w:hyperlink>
          </w:p>
          <w:p w14:paraId="6CE7D89B" w14:textId="1C398F46" w:rsidR="00116CA1" w:rsidRPr="002A0E14" w:rsidRDefault="00116CA1" w:rsidP="00A6240B">
            <w:pPr>
              <w:pStyle w:val="Paragraphedeliste"/>
              <w:numPr>
                <w:ilvl w:val="0"/>
                <w:numId w:val="32"/>
              </w:numPr>
              <w:rPr>
                <w:sz w:val="20"/>
                <w:szCs w:val="20"/>
                <w:lang w:val="fr-FR"/>
              </w:rPr>
            </w:pPr>
            <w:hyperlink r:id="rId105" w:history="1">
              <w:r w:rsidRPr="002A0E14">
                <w:rPr>
                  <w:rStyle w:val="Lienhypertexte"/>
                  <w:sz w:val="20"/>
                  <w:szCs w:val="20"/>
                  <w:lang w:val="fr-FR"/>
                </w:rPr>
                <w:t>Contrat de consultance pour la structuration du site</w:t>
              </w:r>
            </w:hyperlink>
            <w:r w:rsidRPr="002A0E14">
              <w:rPr>
                <w:sz w:val="20"/>
                <w:szCs w:val="20"/>
                <w:lang w:val="fr-FR"/>
              </w:rPr>
              <w:t xml:space="preserve"> </w:t>
            </w:r>
          </w:p>
        </w:tc>
      </w:tr>
    </w:tbl>
    <w:p w14:paraId="2A43F5E9" w14:textId="77777777" w:rsidR="00A6240B" w:rsidRPr="00E11FFB" w:rsidRDefault="00A6240B" w:rsidP="00A6240B">
      <w:pPr>
        <w:rPr>
          <w:b/>
          <w:bCs/>
          <w:sz w:val="28"/>
          <w:szCs w:val="28"/>
          <w:u w:val="single"/>
        </w:rPr>
      </w:pPr>
    </w:p>
    <w:p w14:paraId="0C3DB561" w14:textId="1ECCC9DE" w:rsidR="00A6240B" w:rsidRDefault="005225EF" w:rsidP="00A6240B">
      <w:pPr>
        <w:rPr>
          <w:b/>
          <w:bCs/>
          <w:sz w:val="28"/>
          <w:szCs w:val="28"/>
          <w:u w:val="single"/>
        </w:rPr>
      </w:pPr>
      <w:r>
        <w:rPr>
          <w:b/>
          <w:bCs/>
          <w:sz w:val="28"/>
          <w:szCs w:val="28"/>
          <w:u w:val="single"/>
        </w:rPr>
        <w:t>11.2.</w:t>
      </w:r>
      <w:r w:rsidR="00570061">
        <w:rPr>
          <w:b/>
          <w:bCs/>
          <w:sz w:val="28"/>
          <w:szCs w:val="28"/>
          <w:u w:val="single"/>
        </w:rPr>
        <w:t xml:space="preserve"> Composante</w:t>
      </w:r>
      <w:r w:rsidR="00570061" w:rsidRPr="00E11FFB">
        <w:rPr>
          <w:b/>
          <w:bCs/>
          <w:sz w:val="28"/>
          <w:szCs w:val="28"/>
          <w:u w:val="single"/>
        </w:rPr>
        <w:t xml:space="preserve"> </w:t>
      </w:r>
      <w:r w:rsidR="009320F1">
        <w:rPr>
          <w:b/>
          <w:bCs/>
          <w:sz w:val="28"/>
          <w:szCs w:val="28"/>
          <w:u w:val="single"/>
        </w:rPr>
        <w:t xml:space="preserve">2 : </w:t>
      </w:r>
      <w:r w:rsidR="00A6240B" w:rsidRPr="00E11FFB">
        <w:rPr>
          <w:b/>
          <w:bCs/>
          <w:sz w:val="28"/>
          <w:szCs w:val="28"/>
          <w:u w:val="single"/>
        </w:rPr>
        <w:t xml:space="preserve">Agriculture </w:t>
      </w:r>
    </w:p>
    <w:p w14:paraId="009FAF6F" w14:textId="77777777" w:rsidR="005225EF" w:rsidRPr="00E11FFB" w:rsidRDefault="005225EF" w:rsidP="00A6240B">
      <w:pPr>
        <w:rPr>
          <w:b/>
          <w:bCs/>
          <w:sz w:val="28"/>
          <w:szCs w:val="28"/>
          <w:u w:val="single"/>
        </w:rPr>
      </w:pPr>
    </w:p>
    <w:tbl>
      <w:tblPr>
        <w:tblStyle w:val="Grilledutableau"/>
        <w:tblW w:w="10025" w:type="dxa"/>
        <w:tblLook w:val="04A0" w:firstRow="1" w:lastRow="0" w:firstColumn="1" w:lastColumn="0" w:noHBand="0" w:noVBand="1"/>
      </w:tblPr>
      <w:tblGrid>
        <w:gridCol w:w="3369"/>
        <w:gridCol w:w="6656"/>
      </w:tblGrid>
      <w:tr w:rsidR="00A6240B" w:rsidRPr="00E11FFB" w14:paraId="25C79B6E" w14:textId="77777777" w:rsidTr="00965B89">
        <w:trPr>
          <w:trHeight w:val="222"/>
          <w:tblHeader/>
        </w:trPr>
        <w:tc>
          <w:tcPr>
            <w:tcW w:w="3369" w:type="dxa"/>
            <w:shd w:val="clear" w:color="auto" w:fill="FDE9D9" w:themeFill="accent6" w:themeFillTint="33"/>
          </w:tcPr>
          <w:p w14:paraId="3663F386" w14:textId="77777777" w:rsidR="00A6240B" w:rsidRPr="00E11FFB" w:rsidRDefault="00A6240B" w:rsidP="003A6DE1">
            <w:pPr>
              <w:rPr>
                <w:b/>
                <w:bCs/>
                <w:sz w:val="20"/>
                <w:szCs w:val="20"/>
                <w:u w:val="single"/>
                <w:lang w:val="fr-CD"/>
              </w:rPr>
            </w:pPr>
            <w:r w:rsidRPr="00E11FFB">
              <w:rPr>
                <w:b/>
                <w:bCs/>
                <w:sz w:val="20"/>
                <w:szCs w:val="20"/>
                <w:u w:val="single"/>
                <w:lang w:val="fr-CD"/>
              </w:rPr>
              <w:t>Activité</w:t>
            </w:r>
          </w:p>
        </w:tc>
        <w:tc>
          <w:tcPr>
            <w:tcW w:w="6656" w:type="dxa"/>
            <w:shd w:val="clear" w:color="auto" w:fill="FDE9D9" w:themeFill="accent6" w:themeFillTint="33"/>
          </w:tcPr>
          <w:p w14:paraId="338238BE" w14:textId="77777777" w:rsidR="00A6240B" w:rsidRPr="00E11FFB" w:rsidRDefault="00A6240B" w:rsidP="003A6DE1">
            <w:pPr>
              <w:rPr>
                <w:b/>
                <w:bCs/>
                <w:sz w:val="20"/>
                <w:szCs w:val="20"/>
                <w:lang w:val="fr-CD"/>
              </w:rPr>
            </w:pPr>
            <w:r w:rsidRPr="00E11FFB">
              <w:rPr>
                <w:b/>
                <w:bCs/>
                <w:sz w:val="20"/>
                <w:szCs w:val="20"/>
                <w:lang w:val="fr-CD"/>
              </w:rPr>
              <w:t xml:space="preserve">Listes de livrables </w:t>
            </w:r>
          </w:p>
        </w:tc>
      </w:tr>
      <w:tr w:rsidR="00A6240B" w:rsidRPr="00E11FFB" w14:paraId="63E4E2A3" w14:textId="77777777" w:rsidTr="00965B89">
        <w:trPr>
          <w:trHeight w:val="792"/>
        </w:trPr>
        <w:tc>
          <w:tcPr>
            <w:tcW w:w="3369" w:type="dxa"/>
          </w:tcPr>
          <w:p w14:paraId="75A28C98" w14:textId="77777777" w:rsidR="00A6240B" w:rsidRPr="00E11FFB" w:rsidRDefault="00A6240B" w:rsidP="003A6DE1">
            <w:pPr>
              <w:rPr>
                <w:sz w:val="20"/>
                <w:szCs w:val="20"/>
                <w:lang w:val="fr-CD"/>
              </w:rPr>
            </w:pPr>
            <w:r w:rsidRPr="00E11FFB">
              <w:rPr>
                <w:sz w:val="20"/>
                <w:szCs w:val="20"/>
                <w:lang w:val="fr-CD"/>
              </w:rPr>
              <w:t>Activité 2.1.1: Vulgariser la Politique agricole adoptée en Conseil des Ministres du 17 février 2023</w:t>
            </w:r>
          </w:p>
        </w:tc>
        <w:tc>
          <w:tcPr>
            <w:tcW w:w="6656" w:type="dxa"/>
          </w:tcPr>
          <w:p w14:paraId="77F8A7EA" w14:textId="77777777" w:rsidR="00A6240B" w:rsidRPr="002A0E14" w:rsidRDefault="00A6240B" w:rsidP="00A6240B">
            <w:pPr>
              <w:pStyle w:val="Paragraphedeliste"/>
              <w:numPr>
                <w:ilvl w:val="0"/>
                <w:numId w:val="32"/>
              </w:numPr>
              <w:rPr>
                <w:sz w:val="20"/>
                <w:szCs w:val="20"/>
                <w:lang w:val="fr-FR"/>
              </w:rPr>
            </w:pPr>
            <w:hyperlink r:id="rId106" w:history="1">
              <w:r w:rsidRPr="002A0E14">
                <w:rPr>
                  <w:rStyle w:val="Lienhypertexte"/>
                  <w:sz w:val="20"/>
                  <w:szCs w:val="20"/>
                  <w:lang w:val="fr-FR"/>
                </w:rPr>
                <w:t>Brochures de traductions de la politique agricole dans les langues nationale</w:t>
              </w:r>
            </w:hyperlink>
          </w:p>
          <w:p w14:paraId="194EB039" w14:textId="77777777" w:rsidR="00A6240B" w:rsidRPr="002A0E14" w:rsidRDefault="00A6240B" w:rsidP="00A6240B">
            <w:pPr>
              <w:pStyle w:val="Paragraphedeliste"/>
              <w:numPr>
                <w:ilvl w:val="0"/>
                <w:numId w:val="32"/>
              </w:numPr>
              <w:rPr>
                <w:sz w:val="20"/>
                <w:szCs w:val="20"/>
                <w:lang w:val="fr-FR"/>
              </w:rPr>
            </w:pPr>
            <w:hyperlink r:id="rId107" w:history="1">
              <w:r w:rsidRPr="002A0E14">
                <w:rPr>
                  <w:rStyle w:val="Lienhypertexte"/>
                  <w:sz w:val="20"/>
                  <w:szCs w:val="20"/>
                  <w:lang w:val="fr-FR"/>
                </w:rPr>
                <w:t>Rapports de vulgarisation de la politique forestière dans 7 provinces et leurs annexes (listes de présence)</w:t>
              </w:r>
            </w:hyperlink>
          </w:p>
          <w:p w14:paraId="7ACB4A0E" w14:textId="77777777" w:rsidR="00A6240B" w:rsidRPr="002A0E14" w:rsidRDefault="00A6240B" w:rsidP="00A6240B">
            <w:pPr>
              <w:pStyle w:val="Paragraphedeliste"/>
              <w:numPr>
                <w:ilvl w:val="0"/>
                <w:numId w:val="32"/>
              </w:numPr>
              <w:rPr>
                <w:sz w:val="20"/>
                <w:szCs w:val="20"/>
                <w:lang w:val="fr-FR"/>
              </w:rPr>
            </w:pPr>
            <w:hyperlink r:id="rId108" w:history="1">
              <w:r w:rsidRPr="002A0E14">
                <w:rPr>
                  <w:rStyle w:val="Lienhypertexte"/>
                  <w:sz w:val="20"/>
                  <w:szCs w:val="20"/>
                  <w:lang w:val="fr-FR"/>
                </w:rPr>
                <w:t>Dossier de rapport de vulgarisation dans les anciennes provinces (2024)</w:t>
              </w:r>
            </w:hyperlink>
          </w:p>
        </w:tc>
      </w:tr>
      <w:tr w:rsidR="00A6240B" w:rsidRPr="00E11FFB" w14:paraId="4F84141E" w14:textId="77777777" w:rsidTr="00965B89">
        <w:trPr>
          <w:trHeight w:val="435"/>
        </w:trPr>
        <w:tc>
          <w:tcPr>
            <w:tcW w:w="3369" w:type="dxa"/>
          </w:tcPr>
          <w:p w14:paraId="5ED76240" w14:textId="77777777" w:rsidR="00A6240B" w:rsidRPr="00E11FFB" w:rsidRDefault="00A6240B" w:rsidP="003A6DE1">
            <w:pPr>
              <w:rPr>
                <w:b/>
                <w:bCs/>
                <w:sz w:val="20"/>
                <w:szCs w:val="20"/>
                <w:u w:val="single"/>
                <w:lang w:val="fr-CD"/>
              </w:rPr>
            </w:pPr>
            <w:r w:rsidRPr="00E11FFB">
              <w:rPr>
                <w:sz w:val="20"/>
                <w:szCs w:val="20"/>
                <w:lang w:val="fr-CD"/>
              </w:rPr>
              <w:t>Activité 2.1.2: Promulguer la loi agricole révisée, et publier les textes et mesures d'application</w:t>
            </w:r>
          </w:p>
        </w:tc>
        <w:tc>
          <w:tcPr>
            <w:tcW w:w="6656" w:type="dxa"/>
          </w:tcPr>
          <w:p w14:paraId="07E125B1" w14:textId="77777777" w:rsidR="00A6240B" w:rsidRPr="002A0E14" w:rsidRDefault="00A6240B" w:rsidP="00A6240B">
            <w:pPr>
              <w:pStyle w:val="Paragraphedeliste"/>
              <w:numPr>
                <w:ilvl w:val="0"/>
                <w:numId w:val="32"/>
              </w:numPr>
              <w:rPr>
                <w:sz w:val="20"/>
                <w:szCs w:val="20"/>
                <w:lang w:val="fr-FR"/>
              </w:rPr>
            </w:pPr>
            <w:hyperlink r:id="rId109" w:history="1">
              <w:r w:rsidRPr="002A0E14">
                <w:rPr>
                  <w:rStyle w:val="Lienhypertexte"/>
                  <w:sz w:val="20"/>
                  <w:szCs w:val="20"/>
                  <w:lang w:val="fr-FR"/>
                </w:rPr>
                <w:t>Contrat de consultant pour la consolidation et la révision de la loi</w:t>
              </w:r>
            </w:hyperlink>
          </w:p>
          <w:p w14:paraId="636FB51D" w14:textId="77777777" w:rsidR="00A6240B" w:rsidRPr="002A0E14" w:rsidRDefault="00A6240B" w:rsidP="00A6240B">
            <w:pPr>
              <w:pStyle w:val="Paragraphedeliste"/>
              <w:numPr>
                <w:ilvl w:val="0"/>
                <w:numId w:val="32"/>
              </w:numPr>
              <w:rPr>
                <w:sz w:val="20"/>
                <w:szCs w:val="20"/>
                <w:lang w:val="fr-FR"/>
              </w:rPr>
            </w:pPr>
            <w:hyperlink r:id="rId110" w:history="1">
              <w:r w:rsidRPr="002A0E14">
                <w:rPr>
                  <w:rStyle w:val="Lienhypertexte"/>
                  <w:sz w:val="20"/>
                  <w:szCs w:val="20"/>
                  <w:lang w:val="fr-FR"/>
                </w:rPr>
                <w:t>Draft de la loi agricole révisée</w:t>
              </w:r>
            </w:hyperlink>
          </w:p>
        </w:tc>
      </w:tr>
      <w:tr w:rsidR="00A6240B" w:rsidRPr="00E11FFB" w14:paraId="6D61364D" w14:textId="77777777" w:rsidTr="00965B89">
        <w:trPr>
          <w:trHeight w:val="435"/>
        </w:trPr>
        <w:tc>
          <w:tcPr>
            <w:tcW w:w="3369" w:type="dxa"/>
          </w:tcPr>
          <w:p w14:paraId="1904A309" w14:textId="77777777" w:rsidR="00A6240B" w:rsidRPr="00E11FFB" w:rsidRDefault="00A6240B" w:rsidP="003A6DE1">
            <w:pPr>
              <w:rPr>
                <w:sz w:val="20"/>
                <w:szCs w:val="20"/>
                <w:lang w:val="fr-CD"/>
              </w:rPr>
            </w:pPr>
            <w:r w:rsidRPr="00E11FFB">
              <w:rPr>
                <w:sz w:val="20"/>
                <w:szCs w:val="20"/>
                <w:lang w:val="fr-CD"/>
              </w:rPr>
              <w:t>Activité 2.2.1: Concevoir et opérationnaliser un pilote du cadastre agricole (orientation et information des acquéreurs potentiels).</w:t>
            </w:r>
          </w:p>
          <w:p w14:paraId="61EF4578" w14:textId="77777777" w:rsidR="00A6240B" w:rsidRPr="00E11FFB" w:rsidRDefault="00A6240B" w:rsidP="003A6DE1">
            <w:pPr>
              <w:rPr>
                <w:sz w:val="20"/>
                <w:szCs w:val="20"/>
                <w:lang w:val="fr-CD"/>
              </w:rPr>
            </w:pPr>
          </w:p>
        </w:tc>
        <w:tc>
          <w:tcPr>
            <w:tcW w:w="6656" w:type="dxa"/>
          </w:tcPr>
          <w:p w14:paraId="3348E516" w14:textId="77777777" w:rsidR="00A6240B" w:rsidRPr="002A0E14" w:rsidRDefault="00A6240B" w:rsidP="00A6240B">
            <w:pPr>
              <w:pStyle w:val="Paragraphedeliste"/>
              <w:numPr>
                <w:ilvl w:val="0"/>
                <w:numId w:val="32"/>
              </w:numPr>
              <w:rPr>
                <w:sz w:val="20"/>
                <w:szCs w:val="20"/>
                <w:lang w:val="fr-FR"/>
              </w:rPr>
            </w:pPr>
            <w:hyperlink r:id="rId111" w:history="1">
              <w:r w:rsidRPr="002A0E14">
                <w:rPr>
                  <w:rStyle w:val="Lienhypertexte"/>
                  <w:sz w:val="20"/>
                  <w:szCs w:val="20"/>
                  <w:lang w:val="fr-FR"/>
                </w:rPr>
                <w:t>Invitation officielle à l’atelier d’harmonisation de cadastre agricole</w:t>
              </w:r>
            </w:hyperlink>
          </w:p>
          <w:p w14:paraId="0E894454" w14:textId="77777777" w:rsidR="00A6240B" w:rsidRPr="002A0E14" w:rsidRDefault="00A6240B" w:rsidP="00A6240B">
            <w:pPr>
              <w:pStyle w:val="Paragraphedeliste"/>
              <w:numPr>
                <w:ilvl w:val="0"/>
                <w:numId w:val="32"/>
              </w:numPr>
              <w:rPr>
                <w:sz w:val="20"/>
                <w:szCs w:val="20"/>
                <w:lang w:val="fr-FR"/>
              </w:rPr>
            </w:pPr>
            <w:hyperlink r:id="rId112" w:history="1">
              <w:r w:rsidRPr="002A0E14">
                <w:rPr>
                  <w:rStyle w:val="Lienhypertexte"/>
                  <w:sz w:val="20"/>
                  <w:szCs w:val="20"/>
                  <w:lang w:val="fr-FR"/>
                </w:rPr>
                <w:t>Rapport d’h</w:t>
              </w:r>
              <w:r w:rsidRPr="002A0E14">
                <w:rPr>
                  <w:rStyle w:val="Lienhypertexte"/>
                  <w:rFonts w:eastAsia="Avenir"/>
                  <w:sz w:val="20"/>
                  <w:szCs w:val="20"/>
                  <w:lang w:val="fr-FR"/>
                </w:rPr>
                <w:t>armonisation avec les autres ministères pour la mise en place de cadastre agricole</w:t>
              </w:r>
            </w:hyperlink>
          </w:p>
          <w:p w14:paraId="430EFAFF" w14:textId="77777777" w:rsidR="00A6240B" w:rsidRPr="002A0E14" w:rsidRDefault="00A6240B" w:rsidP="00A6240B">
            <w:pPr>
              <w:pStyle w:val="Paragraphedeliste"/>
              <w:numPr>
                <w:ilvl w:val="0"/>
                <w:numId w:val="32"/>
              </w:numPr>
              <w:rPr>
                <w:sz w:val="20"/>
                <w:szCs w:val="20"/>
                <w:lang w:val="fr-FR"/>
              </w:rPr>
            </w:pPr>
            <w:hyperlink r:id="rId113" w:history="1">
              <w:r w:rsidRPr="002A0E14">
                <w:rPr>
                  <w:rStyle w:val="Lienhypertexte"/>
                  <w:sz w:val="20"/>
                  <w:szCs w:val="20"/>
                  <w:lang w:val="fr-FR"/>
                </w:rPr>
                <w:t>Contrat sur l’étude portant mis en place du cadastre agricole</w:t>
              </w:r>
            </w:hyperlink>
            <w:r w:rsidRPr="002A0E14">
              <w:rPr>
                <w:sz w:val="20"/>
                <w:szCs w:val="20"/>
                <w:lang w:val="fr-FR"/>
              </w:rPr>
              <w:t xml:space="preserve"> </w:t>
            </w:r>
          </w:p>
          <w:p w14:paraId="30BFD01F" w14:textId="77777777" w:rsidR="00A6240B" w:rsidRPr="002A0E14" w:rsidRDefault="00A6240B" w:rsidP="00A6240B">
            <w:pPr>
              <w:pStyle w:val="Paragraphedeliste"/>
              <w:numPr>
                <w:ilvl w:val="0"/>
                <w:numId w:val="32"/>
              </w:numPr>
              <w:rPr>
                <w:sz w:val="20"/>
                <w:szCs w:val="20"/>
                <w:lang w:val="fr-FR"/>
              </w:rPr>
            </w:pPr>
            <w:hyperlink r:id="rId114" w:history="1">
              <w:r w:rsidRPr="002A0E14">
                <w:rPr>
                  <w:rStyle w:val="Lienhypertexte"/>
                  <w:sz w:val="20"/>
                  <w:szCs w:val="20"/>
                  <w:lang w:val="fr-FR"/>
                </w:rPr>
                <w:t>PV de l’atelier d’harmonisation avec les ministères affaires foncières, mines</w:t>
              </w:r>
            </w:hyperlink>
          </w:p>
          <w:p w14:paraId="499FF3AD" w14:textId="77777777" w:rsidR="00A6240B" w:rsidRPr="002A0E14" w:rsidRDefault="00A6240B" w:rsidP="00A6240B">
            <w:pPr>
              <w:pStyle w:val="Paragraphedeliste"/>
              <w:numPr>
                <w:ilvl w:val="0"/>
                <w:numId w:val="32"/>
              </w:numPr>
              <w:rPr>
                <w:sz w:val="20"/>
                <w:szCs w:val="20"/>
                <w:lang w:val="fr-FR"/>
              </w:rPr>
            </w:pPr>
            <w:hyperlink r:id="rId115" w:history="1">
              <w:r w:rsidRPr="002A0E14">
                <w:rPr>
                  <w:rStyle w:val="Lienhypertexte"/>
                  <w:sz w:val="20"/>
                  <w:szCs w:val="20"/>
                  <w:lang w:val="fr-FR"/>
                </w:rPr>
                <w:t>Feuille de route pour la mise en place du cadastre agricole</w:t>
              </w:r>
            </w:hyperlink>
          </w:p>
          <w:p w14:paraId="18541974" w14:textId="5AFC918A" w:rsidR="00A6240B" w:rsidRPr="002A0E14" w:rsidRDefault="00A6240B" w:rsidP="00A6240B">
            <w:pPr>
              <w:pStyle w:val="Paragraphedeliste"/>
              <w:numPr>
                <w:ilvl w:val="0"/>
                <w:numId w:val="32"/>
              </w:numPr>
              <w:rPr>
                <w:sz w:val="20"/>
                <w:szCs w:val="20"/>
                <w:lang w:val="fr-FR"/>
              </w:rPr>
            </w:pPr>
            <w:hyperlink r:id="rId116" w:history="1">
              <w:r w:rsidRPr="002A0E14">
                <w:rPr>
                  <w:rStyle w:val="Lienhypertexte"/>
                  <w:sz w:val="20"/>
                  <w:szCs w:val="20"/>
                  <w:lang w:val="fr-FR"/>
                </w:rPr>
                <w:t>D</w:t>
              </w:r>
              <w:r w:rsidRPr="002A0E14">
                <w:rPr>
                  <w:rStyle w:val="Lienhypertexte"/>
                  <w:rFonts w:eastAsia="Avenir"/>
                  <w:sz w:val="20"/>
                  <w:szCs w:val="20"/>
                  <w:lang w:val="fr-FR"/>
                </w:rPr>
                <w:t xml:space="preserve">raft du rapport </w:t>
              </w:r>
              <w:r w:rsidRPr="002A0E14">
                <w:rPr>
                  <w:rStyle w:val="Lienhypertexte"/>
                  <w:sz w:val="20"/>
                  <w:szCs w:val="20"/>
                  <w:lang w:val="fr-FR"/>
                </w:rPr>
                <w:t>sur le fonctionnement et la mis</w:t>
              </w:r>
              <w:r w:rsidRPr="002A0E14">
                <w:rPr>
                  <w:rStyle w:val="Lienhypertexte"/>
                  <w:rFonts w:eastAsia="Avenir"/>
                  <w:sz w:val="20"/>
                  <w:szCs w:val="20"/>
                  <w:lang w:val="fr-FR"/>
                </w:rPr>
                <w:t xml:space="preserve">e </w:t>
              </w:r>
              <w:r w:rsidRPr="002A0E14">
                <w:rPr>
                  <w:rStyle w:val="Lienhypertexte"/>
                  <w:sz w:val="20"/>
                  <w:szCs w:val="20"/>
                  <w:lang w:val="fr-FR"/>
                </w:rPr>
                <w:t xml:space="preserve">en place d’un </w:t>
              </w:r>
              <w:r w:rsidRPr="002A0E14">
                <w:rPr>
                  <w:rStyle w:val="Lienhypertexte"/>
                  <w:rFonts w:eastAsia="Avenir"/>
                  <w:sz w:val="20"/>
                  <w:szCs w:val="20"/>
                  <w:lang w:val="fr-FR"/>
                </w:rPr>
                <w:t>cadastre</w:t>
              </w:r>
              <w:r w:rsidRPr="002A0E14">
                <w:rPr>
                  <w:rStyle w:val="Lienhypertexte"/>
                  <w:rFonts w:asciiTheme="minorHAnsi" w:eastAsiaTheme="minorHAnsi" w:hAnsiTheme="minorHAnsi" w:cstheme="minorBidi"/>
                  <w:sz w:val="20"/>
                  <w:szCs w:val="20"/>
                  <w:lang w:val="fr-FR"/>
                </w:rPr>
                <w:t xml:space="preserve"> agricole.</w:t>
              </w:r>
            </w:hyperlink>
            <w:r w:rsidRPr="002A0E14">
              <w:rPr>
                <w:rFonts w:asciiTheme="minorHAnsi" w:eastAsiaTheme="minorHAnsi" w:hAnsiTheme="minorHAnsi" w:cstheme="minorBidi"/>
                <w:sz w:val="20"/>
                <w:szCs w:val="20"/>
                <w:lang w:val="fr-FR"/>
              </w:rPr>
              <w:t xml:space="preserve"> </w:t>
            </w:r>
          </w:p>
        </w:tc>
      </w:tr>
      <w:tr w:rsidR="00A6240B" w:rsidRPr="00E11FFB" w14:paraId="66F03861" w14:textId="77777777" w:rsidTr="00965B89">
        <w:trPr>
          <w:trHeight w:val="435"/>
        </w:trPr>
        <w:tc>
          <w:tcPr>
            <w:tcW w:w="3369" w:type="dxa"/>
          </w:tcPr>
          <w:p w14:paraId="456D2CE5" w14:textId="77777777" w:rsidR="00A6240B" w:rsidRPr="00E11FFB" w:rsidRDefault="00A6240B" w:rsidP="003A6DE1">
            <w:pPr>
              <w:rPr>
                <w:sz w:val="20"/>
                <w:szCs w:val="20"/>
                <w:lang w:val="fr-CD"/>
              </w:rPr>
            </w:pPr>
            <w:r w:rsidRPr="00E11FFB">
              <w:rPr>
                <w:sz w:val="20"/>
                <w:szCs w:val="20"/>
                <w:lang w:val="fr-CD"/>
              </w:rPr>
              <w:t>Activité 2.2.2: Procéder à l'inventaire et à la revue légale des concessions agricoles rurales.</w:t>
            </w:r>
          </w:p>
          <w:p w14:paraId="08603007" w14:textId="77777777" w:rsidR="00A6240B" w:rsidRPr="00E11FFB" w:rsidRDefault="00A6240B" w:rsidP="003A6DE1">
            <w:pPr>
              <w:rPr>
                <w:sz w:val="20"/>
                <w:szCs w:val="20"/>
                <w:lang w:val="fr-CD"/>
              </w:rPr>
            </w:pPr>
          </w:p>
        </w:tc>
        <w:tc>
          <w:tcPr>
            <w:tcW w:w="6656" w:type="dxa"/>
          </w:tcPr>
          <w:p w14:paraId="6D1F200E" w14:textId="77777777" w:rsidR="00A6240B" w:rsidRPr="00E11FFB" w:rsidRDefault="00A6240B" w:rsidP="00A6240B">
            <w:pPr>
              <w:pStyle w:val="Paragraphedeliste"/>
              <w:numPr>
                <w:ilvl w:val="0"/>
                <w:numId w:val="32"/>
              </w:numPr>
              <w:rPr>
                <w:sz w:val="20"/>
                <w:szCs w:val="20"/>
              </w:rPr>
            </w:pPr>
            <w:hyperlink r:id="rId117" w:history="1">
              <w:r w:rsidRPr="00E11FFB">
                <w:rPr>
                  <w:rStyle w:val="Lienhypertexte"/>
                  <w:sz w:val="20"/>
                  <w:szCs w:val="20"/>
                </w:rPr>
                <w:t>Liste provisoire des concessions agricoles</w:t>
              </w:r>
            </w:hyperlink>
            <w:r w:rsidRPr="00E11FFB">
              <w:rPr>
                <w:sz w:val="20"/>
                <w:szCs w:val="20"/>
              </w:rPr>
              <w:t xml:space="preserve"> </w:t>
            </w:r>
          </w:p>
          <w:p w14:paraId="5E1DBD08" w14:textId="4377BF6D" w:rsidR="00A6240B" w:rsidRPr="002A0E14" w:rsidRDefault="00A6240B" w:rsidP="00A6240B">
            <w:pPr>
              <w:pStyle w:val="Paragraphedeliste"/>
              <w:numPr>
                <w:ilvl w:val="0"/>
                <w:numId w:val="32"/>
              </w:numPr>
              <w:rPr>
                <w:sz w:val="20"/>
                <w:szCs w:val="20"/>
                <w:lang w:val="fr-FR"/>
              </w:rPr>
            </w:pPr>
            <w:hyperlink r:id="rId118" w:history="1">
              <w:r w:rsidRPr="002A0E14">
                <w:rPr>
                  <w:rStyle w:val="Lienhypertexte"/>
                  <w:sz w:val="20"/>
                  <w:szCs w:val="20"/>
                  <w:lang w:val="fr-FR"/>
                </w:rPr>
                <w:t>Ordre de service pour la formation sur la revue de concessions légale</w:t>
              </w:r>
            </w:hyperlink>
            <w:r w:rsidRPr="002A0E14">
              <w:rPr>
                <w:sz w:val="20"/>
                <w:szCs w:val="20"/>
                <w:lang w:val="fr-FR"/>
              </w:rPr>
              <w:t>s</w:t>
            </w:r>
          </w:p>
          <w:p w14:paraId="35E9D72A" w14:textId="77777777" w:rsidR="00A6240B" w:rsidRPr="002A0E14" w:rsidRDefault="00A6240B" w:rsidP="00A6240B">
            <w:pPr>
              <w:pStyle w:val="Paragraphedeliste"/>
              <w:numPr>
                <w:ilvl w:val="0"/>
                <w:numId w:val="32"/>
              </w:numPr>
              <w:rPr>
                <w:sz w:val="20"/>
                <w:szCs w:val="20"/>
                <w:lang w:val="fr-FR"/>
              </w:rPr>
            </w:pPr>
            <w:hyperlink r:id="rId119" w:history="1">
              <w:r w:rsidRPr="002A0E14">
                <w:rPr>
                  <w:rStyle w:val="Lienhypertexte"/>
                  <w:sz w:val="20"/>
                  <w:szCs w:val="20"/>
                  <w:lang w:val="fr-FR"/>
                </w:rPr>
                <w:t>TDRs sur la formation des équipes de formateurs sur la collecte de données des concessions légales</w:t>
              </w:r>
            </w:hyperlink>
          </w:p>
        </w:tc>
      </w:tr>
      <w:tr w:rsidR="00A6240B" w:rsidRPr="00E11FFB" w14:paraId="0F47B4AC" w14:textId="77777777" w:rsidTr="00965B89">
        <w:trPr>
          <w:trHeight w:val="435"/>
        </w:trPr>
        <w:tc>
          <w:tcPr>
            <w:tcW w:w="3369" w:type="dxa"/>
          </w:tcPr>
          <w:p w14:paraId="28AFBE14" w14:textId="77777777" w:rsidR="00A6240B" w:rsidRPr="00E11FFB" w:rsidRDefault="00A6240B" w:rsidP="003A6DE1">
            <w:pPr>
              <w:rPr>
                <w:rFonts w:asciiTheme="minorHAnsi" w:hAnsiTheme="minorHAnsi" w:cstheme="minorBidi"/>
                <w:sz w:val="20"/>
                <w:szCs w:val="20"/>
                <w:lang w:val="fr-CD"/>
              </w:rPr>
            </w:pPr>
            <w:r w:rsidRPr="00E11FFB">
              <w:rPr>
                <w:rFonts w:asciiTheme="minorHAnsi" w:hAnsiTheme="minorHAnsi" w:cstheme="minorBidi"/>
                <w:sz w:val="20"/>
                <w:szCs w:val="20"/>
                <w:lang w:val="fr-CD"/>
              </w:rPr>
              <w:t>Activité 2.4.1: Définir l'agriculture de taille intermédiaire (type familial).</w:t>
            </w:r>
          </w:p>
          <w:p w14:paraId="791BBAC3" w14:textId="77777777" w:rsidR="00A6240B" w:rsidRPr="00E11FFB" w:rsidRDefault="00A6240B" w:rsidP="003A6DE1">
            <w:pPr>
              <w:rPr>
                <w:sz w:val="20"/>
                <w:szCs w:val="20"/>
                <w:lang w:val="fr-CD"/>
              </w:rPr>
            </w:pPr>
          </w:p>
        </w:tc>
        <w:tc>
          <w:tcPr>
            <w:tcW w:w="6656" w:type="dxa"/>
          </w:tcPr>
          <w:p w14:paraId="37D8BF34" w14:textId="77777777" w:rsidR="00A6240B" w:rsidRPr="002A0E14" w:rsidRDefault="00A6240B" w:rsidP="00A6240B">
            <w:pPr>
              <w:pStyle w:val="Paragraphedeliste"/>
              <w:numPr>
                <w:ilvl w:val="0"/>
                <w:numId w:val="32"/>
              </w:numPr>
              <w:rPr>
                <w:sz w:val="20"/>
                <w:szCs w:val="20"/>
                <w:lang w:val="fr-FR"/>
              </w:rPr>
            </w:pPr>
            <w:hyperlink r:id="rId120" w:history="1">
              <w:r w:rsidRPr="002A0E14">
                <w:rPr>
                  <w:rStyle w:val="Lienhypertexte"/>
                  <w:sz w:val="20"/>
                  <w:szCs w:val="20"/>
                  <w:lang w:val="fr-FR"/>
                </w:rPr>
                <w:t>Contrat d’expertise d’appui à la définition de l’agriculture de taille intermédiaire</w:t>
              </w:r>
            </w:hyperlink>
            <w:r w:rsidRPr="002A0E14">
              <w:rPr>
                <w:sz w:val="20"/>
                <w:szCs w:val="20"/>
                <w:lang w:val="fr-FR"/>
              </w:rPr>
              <w:t xml:space="preserve"> </w:t>
            </w:r>
          </w:p>
          <w:p w14:paraId="112C0B2E" w14:textId="77777777" w:rsidR="00A6240B" w:rsidRPr="002A0E14" w:rsidRDefault="00A6240B" w:rsidP="00A6240B">
            <w:pPr>
              <w:pStyle w:val="Paragraphedeliste"/>
              <w:numPr>
                <w:ilvl w:val="0"/>
                <w:numId w:val="32"/>
              </w:numPr>
              <w:rPr>
                <w:sz w:val="20"/>
                <w:szCs w:val="20"/>
                <w:lang w:val="fr-FR"/>
              </w:rPr>
            </w:pPr>
            <w:hyperlink r:id="rId121" w:history="1">
              <w:r w:rsidRPr="002A0E14">
                <w:rPr>
                  <w:rStyle w:val="Lienhypertexte"/>
                  <w:sz w:val="20"/>
                  <w:szCs w:val="20"/>
                  <w:lang w:val="fr-FR"/>
                </w:rPr>
                <w:t>Draft et note de cadrage du rapport d’étude sur la définition</w:t>
              </w:r>
            </w:hyperlink>
          </w:p>
          <w:p w14:paraId="61B59CA8" w14:textId="62CBBCCA" w:rsidR="00A6240B" w:rsidRPr="002A0E14" w:rsidRDefault="00A6240B" w:rsidP="00A6240B">
            <w:pPr>
              <w:pStyle w:val="Paragraphedeliste"/>
              <w:numPr>
                <w:ilvl w:val="0"/>
                <w:numId w:val="32"/>
              </w:numPr>
              <w:rPr>
                <w:sz w:val="20"/>
                <w:szCs w:val="20"/>
                <w:lang w:val="fr-FR"/>
              </w:rPr>
            </w:pPr>
            <w:r w:rsidRPr="002A0E14">
              <w:rPr>
                <w:sz w:val="20"/>
                <w:szCs w:val="20"/>
                <w:lang w:val="fr-FR"/>
              </w:rPr>
              <w:t xml:space="preserve">Listes de présence de mission de collecte de données </w:t>
            </w:r>
            <w:r w:rsidR="00A22302" w:rsidRPr="002A0E14">
              <w:rPr>
                <w:sz w:val="20"/>
                <w:szCs w:val="20"/>
                <w:lang w:val="fr-FR"/>
              </w:rPr>
              <w:t>(</w:t>
            </w:r>
            <w:hyperlink r:id="rId122" w:history="1">
              <w:r w:rsidR="00A22302" w:rsidRPr="002A0E14">
                <w:rPr>
                  <w:rStyle w:val="Lienhypertexte"/>
                  <w:sz w:val="20"/>
                  <w:szCs w:val="20"/>
                  <w:lang w:val="fr-FR"/>
                </w:rPr>
                <w:t>Kongo central,</w:t>
              </w:r>
            </w:hyperlink>
            <w:r w:rsidR="00A22302" w:rsidRPr="002A0E14">
              <w:rPr>
                <w:sz w:val="20"/>
                <w:szCs w:val="20"/>
                <w:lang w:val="fr-FR"/>
              </w:rPr>
              <w:t xml:space="preserve"> </w:t>
            </w:r>
            <w:hyperlink r:id="rId123" w:history="1">
              <w:r w:rsidR="00A22302" w:rsidRPr="002A0E14">
                <w:rPr>
                  <w:rStyle w:val="Lienhypertexte"/>
                  <w:sz w:val="20"/>
                  <w:szCs w:val="20"/>
                  <w:lang w:val="fr-FR"/>
                </w:rPr>
                <w:t>Kasai oriental</w:t>
              </w:r>
            </w:hyperlink>
            <w:r w:rsidR="00A22302" w:rsidRPr="002A0E14">
              <w:rPr>
                <w:sz w:val="20"/>
                <w:szCs w:val="20"/>
                <w:lang w:val="fr-FR"/>
              </w:rPr>
              <w:t xml:space="preserve"> et </w:t>
            </w:r>
            <w:hyperlink r:id="rId124" w:history="1">
              <w:r w:rsidR="00A22302" w:rsidRPr="002A0E14">
                <w:rPr>
                  <w:rStyle w:val="Lienhypertexte"/>
                  <w:sz w:val="20"/>
                  <w:szCs w:val="20"/>
                  <w:lang w:val="fr-FR"/>
                </w:rPr>
                <w:t>Tshopo</w:t>
              </w:r>
            </w:hyperlink>
            <w:r w:rsidR="00A22302" w:rsidRPr="002A0E14">
              <w:rPr>
                <w:sz w:val="20"/>
                <w:szCs w:val="20"/>
                <w:lang w:val="fr-FR"/>
              </w:rPr>
              <w:t>)</w:t>
            </w:r>
          </w:p>
        </w:tc>
      </w:tr>
      <w:tr w:rsidR="00A6240B" w:rsidRPr="00E11FFB" w14:paraId="26409736" w14:textId="77777777" w:rsidTr="00965B89">
        <w:trPr>
          <w:trHeight w:val="435"/>
        </w:trPr>
        <w:tc>
          <w:tcPr>
            <w:tcW w:w="3369" w:type="dxa"/>
          </w:tcPr>
          <w:p w14:paraId="4CEAE394" w14:textId="77777777" w:rsidR="00A6240B" w:rsidRPr="00E11FFB" w:rsidRDefault="00A6240B" w:rsidP="003A6DE1">
            <w:pPr>
              <w:rPr>
                <w:sz w:val="20"/>
                <w:szCs w:val="20"/>
                <w:lang w:val="fr-CD"/>
              </w:rPr>
            </w:pPr>
            <w:r w:rsidRPr="00E11FFB">
              <w:rPr>
                <w:rFonts w:asciiTheme="minorHAnsi" w:hAnsiTheme="minorHAnsi" w:cstheme="minorBidi"/>
                <w:sz w:val="20"/>
                <w:szCs w:val="20"/>
                <w:lang w:val="fr-CD"/>
              </w:rPr>
              <w:t>Activité 2.4.2: Réaliser des études sur les potentiels provinciaux de l'agriculture de taille moyenne.</w:t>
            </w:r>
          </w:p>
          <w:p w14:paraId="6A298E56" w14:textId="77777777" w:rsidR="00A6240B" w:rsidRPr="00E11FFB" w:rsidRDefault="00A6240B" w:rsidP="003A6DE1">
            <w:pPr>
              <w:rPr>
                <w:sz w:val="20"/>
                <w:szCs w:val="20"/>
                <w:lang w:val="fr-CD"/>
              </w:rPr>
            </w:pPr>
          </w:p>
        </w:tc>
        <w:tc>
          <w:tcPr>
            <w:tcW w:w="6656" w:type="dxa"/>
          </w:tcPr>
          <w:p w14:paraId="574676D2" w14:textId="77777777" w:rsidR="00A6240B" w:rsidRPr="002A0E14" w:rsidRDefault="00A6240B" w:rsidP="00A6240B">
            <w:pPr>
              <w:pStyle w:val="Paragraphedeliste"/>
              <w:numPr>
                <w:ilvl w:val="0"/>
                <w:numId w:val="32"/>
              </w:numPr>
              <w:rPr>
                <w:sz w:val="20"/>
                <w:szCs w:val="20"/>
                <w:lang w:val="fr-FR"/>
              </w:rPr>
            </w:pPr>
            <w:hyperlink r:id="rId125" w:history="1">
              <w:r w:rsidRPr="002A0E14">
                <w:rPr>
                  <w:rStyle w:val="Lienhypertexte"/>
                  <w:sz w:val="20"/>
                  <w:szCs w:val="20"/>
                  <w:lang w:val="fr-FR"/>
                </w:rPr>
                <w:t>Contrat d’expertise pour les études sur le potentiel agricole en province</w:t>
              </w:r>
            </w:hyperlink>
          </w:p>
          <w:p w14:paraId="4549409D" w14:textId="77777777" w:rsidR="00A6240B" w:rsidRPr="002A0E14" w:rsidRDefault="00A6240B" w:rsidP="00A6240B">
            <w:pPr>
              <w:pStyle w:val="Paragraphedeliste"/>
              <w:numPr>
                <w:ilvl w:val="0"/>
                <w:numId w:val="32"/>
              </w:numPr>
              <w:rPr>
                <w:sz w:val="20"/>
                <w:szCs w:val="20"/>
                <w:lang w:val="fr-FR"/>
              </w:rPr>
            </w:pPr>
            <w:hyperlink r:id="rId126" w:history="1">
              <w:r w:rsidRPr="002A0E14">
                <w:rPr>
                  <w:rStyle w:val="Lienhypertexte"/>
                  <w:sz w:val="20"/>
                  <w:szCs w:val="20"/>
                  <w:lang w:val="fr-FR"/>
                </w:rPr>
                <w:t>Note de cadrage et rapport des études sur les potentiels agricoles (Tshopo, Haut-Katanga, Nord-Kivu, Kongo central, Maniema, Kwilu, Kasai Oriental)</w:t>
              </w:r>
            </w:hyperlink>
          </w:p>
        </w:tc>
      </w:tr>
      <w:tr w:rsidR="00A6240B" w:rsidRPr="00E11FFB" w14:paraId="10C53F0D" w14:textId="77777777" w:rsidTr="00965B89">
        <w:trPr>
          <w:trHeight w:val="435"/>
        </w:trPr>
        <w:tc>
          <w:tcPr>
            <w:tcW w:w="3369" w:type="dxa"/>
          </w:tcPr>
          <w:p w14:paraId="16F5B3BC" w14:textId="77777777" w:rsidR="00A6240B" w:rsidRPr="00E11FFB" w:rsidRDefault="00A6240B" w:rsidP="003A6DE1">
            <w:pPr>
              <w:rPr>
                <w:sz w:val="20"/>
                <w:szCs w:val="20"/>
                <w:lang w:val="fr-CD"/>
              </w:rPr>
            </w:pPr>
            <w:r w:rsidRPr="00E11FFB">
              <w:rPr>
                <w:rFonts w:asciiTheme="minorHAnsi" w:hAnsiTheme="minorHAnsi" w:cstheme="minorBidi"/>
                <w:sz w:val="20"/>
                <w:szCs w:val="20"/>
                <w:lang w:val="fr-CD"/>
              </w:rPr>
              <w:t>Activité 2.5.1: Notifications et informations formelles des partenaires au développement et les Gouverneurs de Province d’assurer la cohérence entre, d’une part, les programmes d’aide publique au développement et les programmes provinciaux incluant les investissements publics et privés et, d’autre part, les orientations de la Politique agricole nationale ainsi que les prescriptions des Schémas/Plans d’AT.</w:t>
            </w:r>
          </w:p>
        </w:tc>
        <w:tc>
          <w:tcPr>
            <w:tcW w:w="6656" w:type="dxa"/>
          </w:tcPr>
          <w:p w14:paraId="6AFCE0DA" w14:textId="77777777" w:rsidR="00A6240B" w:rsidRPr="002A0E14" w:rsidRDefault="00A6240B" w:rsidP="00A6240B">
            <w:pPr>
              <w:pStyle w:val="Paragraphedeliste"/>
              <w:numPr>
                <w:ilvl w:val="0"/>
                <w:numId w:val="32"/>
              </w:numPr>
              <w:rPr>
                <w:sz w:val="20"/>
                <w:szCs w:val="20"/>
                <w:lang w:val="fr-FR"/>
              </w:rPr>
            </w:pPr>
            <w:hyperlink r:id="rId127" w:history="1">
              <w:r w:rsidRPr="002A0E14">
                <w:rPr>
                  <w:rStyle w:val="Lienhypertexte"/>
                  <w:sz w:val="20"/>
                  <w:szCs w:val="20"/>
                  <w:lang w:val="fr-FR"/>
                </w:rPr>
                <w:t>Note technique au ministre pour le besoin de notification et informations formelles des partenaires</w:t>
              </w:r>
            </w:hyperlink>
            <w:r w:rsidRPr="002A0E14">
              <w:rPr>
                <w:sz w:val="20"/>
                <w:szCs w:val="20"/>
                <w:lang w:val="fr-FR"/>
              </w:rPr>
              <w:t xml:space="preserve"> </w:t>
            </w:r>
          </w:p>
          <w:p w14:paraId="024AF5D3" w14:textId="77777777" w:rsidR="00A6240B" w:rsidRPr="002A0E14" w:rsidRDefault="00A6240B" w:rsidP="00A6240B">
            <w:pPr>
              <w:pStyle w:val="Paragraphedeliste"/>
              <w:numPr>
                <w:ilvl w:val="0"/>
                <w:numId w:val="32"/>
              </w:numPr>
              <w:rPr>
                <w:sz w:val="20"/>
                <w:szCs w:val="20"/>
                <w:lang w:val="fr-FR"/>
              </w:rPr>
            </w:pPr>
            <w:hyperlink r:id="rId128" w:history="1">
              <w:r w:rsidRPr="002A0E14">
                <w:rPr>
                  <w:rStyle w:val="Lienhypertexte"/>
                  <w:sz w:val="20"/>
                  <w:szCs w:val="20"/>
                  <w:lang w:val="fr-FR"/>
                </w:rPr>
                <w:t>Termes de Reference de l'atelier d'information et sensibilisation des gouverneurs des Provinces</w:t>
              </w:r>
            </w:hyperlink>
          </w:p>
        </w:tc>
      </w:tr>
      <w:tr w:rsidR="00A6240B" w:rsidRPr="00E11FFB" w14:paraId="108EF92F" w14:textId="77777777" w:rsidTr="00965B89">
        <w:trPr>
          <w:trHeight w:val="27"/>
        </w:trPr>
        <w:tc>
          <w:tcPr>
            <w:tcW w:w="3369" w:type="dxa"/>
          </w:tcPr>
          <w:p w14:paraId="7A108D52" w14:textId="77777777" w:rsidR="00A6240B" w:rsidRPr="00E11FFB" w:rsidRDefault="00A6240B" w:rsidP="003A6DE1">
            <w:pPr>
              <w:rPr>
                <w:sz w:val="20"/>
                <w:szCs w:val="20"/>
                <w:lang w:val="fr-CD"/>
              </w:rPr>
            </w:pPr>
            <w:r w:rsidRPr="00E11FFB">
              <w:rPr>
                <w:rFonts w:asciiTheme="minorHAnsi" w:hAnsiTheme="minorHAnsi" w:cstheme="minorBidi"/>
                <w:sz w:val="20"/>
                <w:szCs w:val="20"/>
                <w:lang w:val="fr-CD"/>
              </w:rPr>
              <w:t>Activité 2.6.1: Plaidoyers pour augmenter graduellement l’allocation et l’exécution budgétaires domestiques au secteur de l’agriculture</w:t>
            </w:r>
          </w:p>
        </w:tc>
        <w:tc>
          <w:tcPr>
            <w:tcW w:w="6656" w:type="dxa"/>
          </w:tcPr>
          <w:p w14:paraId="680A6B16" w14:textId="77777777" w:rsidR="00A6240B" w:rsidRPr="002A0E14" w:rsidRDefault="00A6240B" w:rsidP="00A6240B">
            <w:pPr>
              <w:pStyle w:val="Paragraphedeliste"/>
              <w:numPr>
                <w:ilvl w:val="0"/>
                <w:numId w:val="32"/>
              </w:numPr>
              <w:rPr>
                <w:sz w:val="20"/>
                <w:szCs w:val="20"/>
                <w:lang w:val="fr-FR"/>
              </w:rPr>
            </w:pPr>
            <w:hyperlink r:id="rId129" w:history="1">
              <w:r w:rsidRPr="002A0E14">
                <w:rPr>
                  <w:rStyle w:val="Lienhypertexte"/>
                  <w:sz w:val="20"/>
                  <w:szCs w:val="20"/>
                  <w:lang w:val="fr-FR"/>
                </w:rPr>
                <w:t>Appui de l’Etat en équipements agricoles lors de la campagne</w:t>
              </w:r>
            </w:hyperlink>
          </w:p>
          <w:p w14:paraId="72BB2533" w14:textId="77777777" w:rsidR="00A6240B" w:rsidRPr="002A0E14" w:rsidRDefault="00A6240B" w:rsidP="00A6240B">
            <w:pPr>
              <w:pStyle w:val="Paragraphedeliste"/>
              <w:numPr>
                <w:ilvl w:val="0"/>
                <w:numId w:val="32"/>
              </w:numPr>
              <w:rPr>
                <w:sz w:val="20"/>
                <w:szCs w:val="20"/>
                <w:lang w:val="fr-FR"/>
              </w:rPr>
            </w:pPr>
          </w:p>
        </w:tc>
      </w:tr>
      <w:tr w:rsidR="00A6240B" w:rsidRPr="00E11FFB" w14:paraId="130D36C8" w14:textId="77777777" w:rsidTr="00965B89">
        <w:trPr>
          <w:trHeight w:val="375"/>
        </w:trPr>
        <w:tc>
          <w:tcPr>
            <w:tcW w:w="3369" w:type="dxa"/>
          </w:tcPr>
          <w:p w14:paraId="57FA4A07" w14:textId="77777777" w:rsidR="00A6240B" w:rsidRPr="00E11FFB" w:rsidRDefault="00A6240B" w:rsidP="003A6DE1">
            <w:pPr>
              <w:rPr>
                <w:sz w:val="20"/>
                <w:szCs w:val="20"/>
                <w:lang w:val="fr-CD"/>
              </w:rPr>
            </w:pPr>
            <w:r w:rsidRPr="00E11FFB">
              <w:rPr>
                <w:rFonts w:asciiTheme="minorHAnsi" w:hAnsiTheme="minorHAnsi" w:cstheme="minorBidi"/>
                <w:sz w:val="20"/>
                <w:szCs w:val="20"/>
                <w:lang w:val="fr-CD"/>
              </w:rPr>
              <w:t>Activité 2.7.1: Appuyer la Task-Force de pilotage de l'atteinte du processus de réalisation des jalons de LOI.</w:t>
            </w:r>
          </w:p>
        </w:tc>
        <w:tc>
          <w:tcPr>
            <w:tcW w:w="6656" w:type="dxa"/>
          </w:tcPr>
          <w:p w14:paraId="37F6D319" w14:textId="77777777" w:rsidR="00A6240B" w:rsidRPr="002A0E14" w:rsidRDefault="00A6240B" w:rsidP="00A6240B">
            <w:pPr>
              <w:pStyle w:val="Paragraphedeliste"/>
              <w:numPr>
                <w:ilvl w:val="0"/>
                <w:numId w:val="32"/>
              </w:numPr>
              <w:rPr>
                <w:sz w:val="20"/>
                <w:szCs w:val="20"/>
                <w:lang w:val="fr-FR"/>
              </w:rPr>
            </w:pPr>
            <w:hyperlink r:id="rId130" w:history="1">
              <w:r w:rsidRPr="002A0E14">
                <w:rPr>
                  <w:rStyle w:val="Lienhypertexte"/>
                  <w:sz w:val="20"/>
                  <w:szCs w:val="20"/>
                  <w:lang w:val="fr-FR"/>
                </w:rPr>
                <w:t>Rapports d’activité des membres de la task-force</w:t>
              </w:r>
            </w:hyperlink>
          </w:p>
        </w:tc>
      </w:tr>
      <w:tr w:rsidR="00A6240B" w:rsidRPr="00E11FFB" w14:paraId="3C85A28C" w14:textId="77777777" w:rsidTr="00965B89">
        <w:trPr>
          <w:trHeight w:val="435"/>
        </w:trPr>
        <w:tc>
          <w:tcPr>
            <w:tcW w:w="3369" w:type="dxa"/>
          </w:tcPr>
          <w:p w14:paraId="7CFB622E" w14:textId="77777777" w:rsidR="00A6240B" w:rsidRPr="00E11FFB" w:rsidRDefault="00A6240B" w:rsidP="003A6DE1">
            <w:pPr>
              <w:rPr>
                <w:sz w:val="20"/>
                <w:szCs w:val="20"/>
                <w:lang w:val="fr-CD"/>
              </w:rPr>
            </w:pPr>
            <w:r w:rsidRPr="00E11FFB">
              <w:rPr>
                <w:rFonts w:asciiTheme="minorHAnsi" w:hAnsiTheme="minorHAnsi" w:cstheme="minorBidi"/>
                <w:sz w:val="20"/>
                <w:szCs w:val="20"/>
                <w:lang w:val="fr-CD"/>
              </w:rPr>
              <w:t>Activité 2.7.2: Appuyer le fonctionnement et la logistique de la Task-Force d'appui à la réalisation des jalon</w:t>
            </w:r>
            <w:r w:rsidRPr="00E11FFB">
              <w:rPr>
                <w:sz w:val="20"/>
                <w:szCs w:val="20"/>
                <w:lang w:val="fr-CD"/>
              </w:rPr>
              <w:t xml:space="preserve"> </w:t>
            </w:r>
            <w:r w:rsidRPr="00E11FFB">
              <w:rPr>
                <w:rFonts w:asciiTheme="minorHAnsi" w:hAnsiTheme="minorHAnsi" w:cstheme="minorBidi"/>
                <w:sz w:val="20"/>
                <w:szCs w:val="20"/>
                <w:lang w:val="fr-CD"/>
              </w:rPr>
              <w:t>s du secteur agriculture.</w:t>
            </w:r>
          </w:p>
        </w:tc>
        <w:tc>
          <w:tcPr>
            <w:tcW w:w="6656" w:type="dxa"/>
          </w:tcPr>
          <w:p w14:paraId="52F28282" w14:textId="77777777" w:rsidR="00A6240B" w:rsidRPr="002A0E14" w:rsidRDefault="00A6240B" w:rsidP="00A6240B">
            <w:pPr>
              <w:pStyle w:val="Paragraphedeliste"/>
              <w:numPr>
                <w:ilvl w:val="0"/>
                <w:numId w:val="32"/>
              </w:numPr>
              <w:rPr>
                <w:sz w:val="20"/>
                <w:szCs w:val="20"/>
                <w:lang w:val="fr-FR"/>
              </w:rPr>
            </w:pPr>
            <w:hyperlink r:id="rId131" w:history="1">
              <w:r w:rsidRPr="002A0E14">
                <w:rPr>
                  <w:rStyle w:val="Lienhypertexte"/>
                  <w:sz w:val="20"/>
                  <w:szCs w:val="20"/>
                  <w:lang w:val="fr-FR"/>
                </w:rPr>
                <w:t>Quelques rapports d’activité de fonctionnement de la task-force</w:t>
              </w:r>
            </w:hyperlink>
          </w:p>
        </w:tc>
      </w:tr>
      <w:tr w:rsidR="00A6240B" w:rsidRPr="00E11FFB" w14:paraId="6D12C3B9" w14:textId="77777777" w:rsidTr="00965B89">
        <w:trPr>
          <w:trHeight w:val="435"/>
        </w:trPr>
        <w:tc>
          <w:tcPr>
            <w:tcW w:w="3369" w:type="dxa"/>
          </w:tcPr>
          <w:p w14:paraId="6DB9AF38" w14:textId="77777777" w:rsidR="00A6240B" w:rsidRPr="00E11FFB" w:rsidRDefault="00A6240B" w:rsidP="003A6DE1">
            <w:pPr>
              <w:rPr>
                <w:sz w:val="20"/>
                <w:szCs w:val="20"/>
                <w:lang w:val="fr-CD"/>
              </w:rPr>
            </w:pPr>
            <w:r w:rsidRPr="00E11FFB">
              <w:rPr>
                <w:sz w:val="20"/>
                <w:szCs w:val="20"/>
                <w:lang w:val="fr-CD"/>
              </w:rPr>
              <w:t>Activité 2.7.3 Appuyer la DANTIC MINAGRI</w:t>
            </w:r>
          </w:p>
        </w:tc>
        <w:tc>
          <w:tcPr>
            <w:tcW w:w="6656" w:type="dxa"/>
          </w:tcPr>
          <w:p w14:paraId="0783F9CC" w14:textId="77777777" w:rsidR="00A6240B" w:rsidRPr="002A0E14" w:rsidRDefault="00A6240B" w:rsidP="00A6240B">
            <w:pPr>
              <w:pStyle w:val="Paragraphedeliste"/>
              <w:numPr>
                <w:ilvl w:val="0"/>
                <w:numId w:val="32"/>
              </w:numPr>
              <w:rPr>
                <w:sz w:val="20"/>
                <w:szCs w:val="20"/>
                <w:lang w:val="fr-FR"/>
              </w:rPr>
            </w:pPr>
            <w:hyperlink r:id="rId132" w:history="1">
              <w:r w:rsidRPr="002A0E14">
                <w:rPr>
                  <w:rStyle w:val="Lienhypertexte"/>
                  <w:sz w:val="20"/>
                  <w:szCs w:val="20"/>
                  <w:lang w:val="fr-FR"/>
                </w:rPr>
                <w:t>Rapport de structuration du site internet et de travail d’hébergement</w:t>
              </w:r>
            </w:hyperlink>
            <w:r w:rsidRPr="002A0E14">
              <w:rPr>
                <w:sz w:val="20"/>
                <w:szCs w:val="20"/>
                <w:lang w:val="fr-FR"/>
              </w:rPr>
              <w:t xml:space="preserve"> </w:t>
            </w:r>
          </w:p>
        </w:tc>
      </w:tr>
    </w:tbl>
    <w:p w14:paraId="03EB8E64" w14:textId="77777777" w:rsidR="00A6240B" w:rsidRPr="00E11FFB" w:rsidRDefault="00A6240B" w:rsidP="00A6240B">
      <w:pPr>
        <w:pStyle w:val="Paragraphedeliste"/>
        <w:rPr>
          <w:sz w:val="22"/>
          <w:szCs w:val="22"/>
        </w:rPr>
      </w:pPr>
    </w:p>
    <w:p w14:paraId="7EC2414E" w14:textId="6C611EA5" w:rsidR="00A6240B" w:rsidRPr="00E11FFB" w:rsidRDefault="00570061" w:rsidP="00A6240B">
      <w:pPr>
        <w:rPr>
          <w:b/>
          <w:bCs/>
          <w:sz w:val="28"/>
          <w:szCs w:val="28"/>
          <w:u w:val="single"/>
        </w:rPr>
      </w:pPr>
      <w:r>
        <w:rPr>
          <w:b/>
          <w:bCs/>
          <w:sz w:val="28"/>
          <w:szCs w:val="28"/>
          <w:u w:val="single"/>
        </w:rPr>
        <w:t>11.3. Composante</w:t>
      </w:r>
      <w:r w:rsidR="009320F1">
        <w:rPr>
          <w:b/>
          <w:bCs/>
          <w:sz w:val="28"/>
          <w:szCs w:val="28"/>
          <w:u w:val="single"/>
        </w:rPr>
        <w:t xml:space="preserve"> 3 : </w:t>
      </w:r>
      <w:r w:rsidR="00A6240B" w:rsidRPr="00E11FFB">
        <w:rPr>
          <w:b/>
          <w:bCs/>
          <w:sz w:val="28"/>
          <w:szCs w:val="28"/>
          <w:u w:val="single"/>
        </w:rPr>
        <w:t>FORET</w:t>
      </w:r>
    </w:p>
    <w:p w14:paraId="7D504944" w14:textId="3C8B72CB" w:rsidR="00A6240B" w:rsidRPr="00E11FFB" w:rsidRDefault="00A6240B" w:rsidP="00A6240B">
      <w:pPr>
        <w:rPr>
          <w:b/>
          <w:bCs/>
          <w:sz w:val="28"/>
          <w:szCs w:val="28"/>
          <w:u w:val="single"/>
        </w:rPr>
      </w:pPr>
      <w:r w:rsidRPr="00E11FFB">
        <w:rPr>
          <w:b/>
          <w:bCs/>
          <w:sz w:val="28"/>
          <w:szCs w:val="28"/>
          <w:u w:val="single"/>
        </w:rPr>
        <w:t xml:space="preserve"> </w:t>
      </w:r>
    </w:p>
    <w:tbl>
      <w:tblPr>
        <w:tblStyle w:val="Grilledutableau"/>
        <w:tblW w:w="10081" w:type="dxa"/>
        <w:tblLook w:val="04A0" w:firstRow="1" w:lastRow="0" w:firstColumn="1" w:lastColumn="0" w:noHBand="0" w:noVBand="1"/>
      </w:tblPr>
      <w:tblGrid>
        <w:gridCol w:w="3388"/>
        <w:gridCol w:w="6693"/>
      </w:tblGrid>
      <w:tr w:rsidR="00A6240B" w:rsidRPr="00E11FFB" w14:paraId="06A26765" w14:textId="77777777" w:rsidTr="00965B89">
        <w:trPr>
          <w:trHeight w:val="223"/>
          <w:tblHeader/>
        </w:trPr>
        <w:tc>
          <w:tcPr>
            <w:tcW w:w="3388" w:type="dxa"/>
            <w:shd w:val="clear" w:color="auto" w:fill="FDE9D9" w:themeFill="accent6" w:themeFillTint="33"/>
          </w:tcPr>
          <w:p w14:paraId="0C17A054" w14:textId="77777777" w:rsidR="00A6240B" w:rsidRPr="00E11FFB" w:rsidRDefault="00A6240B" w:rsidP="003A6DE1">
            <w:pPr>
              <w:rPr>
                <w:b/>
                <w:bCs/>
                <w:sz w:val="20"/>
                <w:szCs w:val="20"/>
                <w:u w:val="single"/>
                <w:lang w:val="fr-CD"/>
              </w:rPr>
            </w:pPr>
            <w:r w:rsidRPr="00E11FFB">
              <w:rPr>
                <w:b/>
                <w:bCs/>
                <w:sz w:val="20"/>
                <w:szCs w:val="20"/>
                <w:u w:val="single"/>
                <w:lang w:val="fr-CD"/>
              </w:rPr>
              <w:t>Activité</w:t>
            </w:r>
          </w:p>
        </w:tc>
        <w:tc>
          <w:tcPr>
            <w:tcW w:w="6693" w:type="dxa"/>
            <w:shd w:val="clear" w:color="auto" w:fill="FDE9D9" w:themeFill="accent6" w:themeFillTint="33"/>
          </w:tcPr>
          <w:p w14:paraId="016E7C47" w14:textId="77777777" w:rsidR="00A6240B" w:rsidRPr="00E11FFB" w:rsidRDefault="00A6240B" w:rsidP="003A6DE1">
            <w:pPr>
              <w:rPr>
                <w:b/>
                <w:bCs/>
                <w:sz w:val="20"/>
                <w:szCs w:val="20"/>
                <w:lang w:val="fr-CD"/>
              </w:rPr>
            </w:pPr>
            <w:r w:rsidRPr="00E11FFB">
              <w:rPr>
                <w:b/>
                <w:bCs/>
                <w:sz w:val="20"/>
                <w:szCs w:val="20"/>
                <w:lang w:val="fr-CD"/>
              </w:rPr>
              <w:t xml:space="preserve">Listes de livrables </w:t>
            </w:r>
          </w:p>
        </w:tc>
      </w:tr>
      <w:tr w:rsidR="00A6240B" w:rsidRPr="00E11FFB" w14:paraId="6F112C79" w14:textId="77777777" w:rsidTr="00965B89">
        <w:trPr>
          <w:trHeight w:val="796"/>
        </w:trPr>
        <w:tc>
          <w:tcPr>
            <w:tcW w:w="3388" w:type="dxa"/>
          </w:tcPr>
          <w:p w14:paraId="1F6538A1" w14:textId="77777777" w:rsidR="00A6240B" w:rsidRPr="00E11FFB" w:rsidRDefault="00A6240B" w:rsidP="003A6DE1">
            <w:pPr>
              <w:rPr>
                <w:sz w:val="20"/>
                <w:szCs w:val="20"/>
                <w:lang w:val="fr-CD"/>
              </w:rPr>
            </w:pPr>
            <w:r w:rsidRPr="00E11FFB">
              <w:rPr>
                <w:sz w:val="20"/>
                <w:szCs w:val="20"/>
                <w:lang w:val="fr-CD"/>
              </w:rPr>
              <w:t>Activité 3.1.1 :  Définir (définition technique) les concepts de forêts de grande valeur et tourbières.</w:t>
            </w:r>
          </w:p>
          <w:p w14:paraId="093A3A89" w14:textId="77777777" w:rsidR="00A6240B" w:rsidRPr="00E11FFB" w:rsidRDefault="00A6240B" w:rsidP="003A6DE1">
            <w:pPr>
              <w:rPr>
                <w:sz w:val="20"/>
                <w:szCs w:val="20"/>
                <w:lang w:val="fr-CD"/>
              </w:rPr>
            </w:pPr>
          </w:p>
        </w:tc>
        <w:tc>
          <w:tcPr>
            <w:tcW w:w="6693" w:type="dxa"/>
          </w:tcPr>
          <w:p w14:paraId="19E45D3F" w14:textId="77777777" w:rsidR="00A6240B" w:rsidRPr="002A0E14" w:rsidRDefault="00A6240B" w:rsidP="00A6240B">
            <w:pPr>
              <w:pStyle w:val="Paragraphedeliste"/>
              <w:numPr>
                <w:ilvl w:val="0"/>
                <w:numId w:val="32"/>
              </w:numPr>
              <w:rPr>
                <w:sz w:val="20"/>
                <w:szCs w:val="20"/>
                <w:lang w:val="fr-FR"/>
              </w:rPr>
            </w:pPr>
            <w:hyperlink r:id="rId133" w:history="1">
              <w:r w:rsidRPr="002A0E14">
                <w:rPr>
                  <w:rStyle w:val="Lienhypertexte"/>
                  <w:sz w:val="20"/>
                  <w:szCs w:val="20"/>
                  <w:lang w:val="fr-FR"/>
                </w:rPr>
                <w:t>Désignation d’expert pour la définition de la forêt grande valeur et tourbières</w:t>
              </w:r>
            </w:hyperlink>
          </w:p>
          <w:p w14:paraId="68D9EFF2" w14:textId="77777777" w:rsidR="00A6240B" w:rsidRPr="002A0E14" w:rsidRDefault="00A6240B" w:rsidP="00A6240B">
            <w:pPr>
              <w:pStyle w:val="Paragraphedeliste"/>
              <w:numPr>
                <w:ilvl w:val="0"/>
                <w:numId w:val="32"/>
              </w:numPr>
              <w:rPr>
                <w:sz w:val="20"/>
                <w:szCs w:val="20"/>
                <w:lang w:val="fr-FR"/>
              </w:rPr>
            </w:pPr>
            <w:hyperlink r:id="rId134" w:history="1">
              <w:r w:rsidRPr="002A0E14">
                <w:rPr>
                  <w:rStyle w:val="Lienhypertexte"/>
                  <w:sz w:val="20"/>
                  <w:szCs w:val="20"/>
                  <w:lang w:val="fr-FR"/>
                </w:rPr>
                <w:t>Draft de définition de concept de forêt de grande valeur</w:t>
              </w:r>
            </w:hyperlink>
            <w:r w:rsidRPr="002A0E14">
              <w:rPr>
                <w:sz w:val="20"/>
                <w:szCs w:val="20"/>
                <w:lang w:val="fr-FR"/>
              </w:rPr>
              <w:t xml:space="preserve"> </w:t>
            </w:r>
          </w:p>
          <w:p w14:paraId="0BD70600" w14:textId="77777777" w:rsidR="00A6240B" w:rsidRPr="007C2141" w:rsidRDefault="00A6240B" w:rsidP="00A6240B">
            <w:pPr>
              <w:pStyle w:val="Paragraphedeliste"/>
              <w:numPr>
                <w:ilvl w:val="0"/>
                <w:numId w:val="32"/>
              </w:numPr>
              <w:rPr>
                <w:sz w:val="20"/>
                <w:szCs w:val="20"/>
                <w:lang w:val="fr-FR"/>
              </w:rPr>
            </w:pPr>
            <w:hyperlink r:id="rId135" w:history="1">
              <w:r w:rsidRPr="007C2141">
                <w:rPr>
                  <w:rStyle w:val="Lienhypertexte"/>
                  <w:sz w:val="20"/>
                  <w:szCs w:val="20"/>
                  <w:lang w:val="fr-FR"/>
                </w:rPr>
                <w:t>Draft de définition de concept des tourbières</w:t>
              </w:r>
            </w:hyperlink>
            <w:r w:rsidRPr="007C2141">
              <w:rPr>
                <w:sz w:val="20"/>
                <w:szCs w:val="20"/>
                <w:lang w:val="fr-FR"/>
              </w:rPr>
              <w:t xml:space="preserve"> </w:t>
            </w:r>
          </w:p>
          <w:p w14:paraId="530DD928" w14:textId="77777777" w:rsidR="00A6240B" w:rsidRPr="007C2141" w:rsidRDefault="00A6240B" w:rsidP="00A6240B">
            <w:pPr>
              <w:pStyle w:val="Paragraphedeliste"/>
              <w:numPr>
                <w:ilvl w:val="0"/>
                <w:numId w:val="32"/>
              </w:numPr>
              <w:rPr>
                <w:sz w:val="20"/>
                <w:szCs w:val="20"/>
                <w:lang w:val="fr-FR"/>
              </w:rPr>
            </w:pPr>
            <w:hyperlink r:id="rId136" w:history="1">
              <w:r w:rsidRPr="007C2141">
                <w:rPr>
                  <w:rStyle w:val="Lienhypertexte"/>
                  <w:sz w:val="20"/>
                  <w:szCs w:val="20"/>
                  <w:lang w:val="fr-FR"/>
                </w:rPr>
                <w:t>Rapport de consultations provinciales sur les concepts</w:t>
              </w:r>
            </w:hyperlink>
            <w:r w:rsidRPr="007C2141">
              <w:rPr>
                <w:sz w:val="20"/>
                <w:szCs w:val="20"/>
                <w:lang w:val="fr-FR"/>
              </w:rPr>
              <w:t xml:space="preserve"> </w:t>
            </w:r>
          </w:p>
          <w:p w14:paraId="5550C559" w14:textId="77777777" w:rsidR="00A6240B" w:rsidRPr="007C2141" w:rsidRDefault="00A6240B" w:rsidP="00A6240B">
            <w:pPr>
              <w:pStyle w:val="Paragraphedeliste"/>
              <w:numPr>
                <w:ilvl w:val="0"/>
                <w:numId w:val="32"/>
              </w:numPr>
              <w:rPr>
                <w:sz w:val="20"/>
                <w:szCs w:val="20"/>
                <w:lang w:val="fr-FR"/>
              </w:rPr>
            </w:pPr>
            <w:hyperlink r:id="rId137" w:history="1">
              <w:r w:rsidRPr="007C2141">
                <w:rPr>
                  <w:rStyle w:val="Lienhypertexte"/>
                  <w:sz w:val="20"/>
                  <w:szCs w:val="20"/>
                  <w:lang w:val="fr-FR"/>
                </w:rPr>
                <w:t>Rapport de validation technique des définitions</w:t>
              </w:r>
            </w:hyperlink>
            <w:r w:rsidRPr="007C2141">
              <w:rPr>
                <w:sz w:val="20"/>
                <w:szCs w:val="20"/>
                <w:lang w:val="fr-FR"/>
              </w:rPr>
              <w:t xml:space="preserve"> </w:t>
            </w:r>
          </w:p>
          <w:p w14:paraId="16AFBDCD" w14:textId="77777777" w:rsidR="00A6240B" w:rsidRPr="007C2141" w:rsidRDefault="00A6240B" w:rsidP="00A6240B">
            <w:pPr>
              <w:pStyle w:val="Paragraphedeliste"/>
              <w:numPr>
                <w:ilvl w:val="0"/>
                <w:numId w:val="32"/>
              </w:numPr>
              <w:rPr>
                <w:sz w:val="20"/>
                <w:szCs w:val="20"/>
                <w:lang w:val="fr-FR"/>
              </w:rPr>
            </w:pPr>
            <w:hyperlink r:id="rId138" w:history="1">
              <w:r w:rsidRPr="007C2141">
                <w:rPr>
                  <w:rStyle w:val="Lienhypertexte"/>
                  <w:sz w:val="20"/>
                  <w:szCs w:val="20"/>
                  <w:lang w:val="fr-FR"/>
                </w:rPr>
                <w:t>Liste de présence à l’atelier de validation technique des définitions</w:t>
              </w:r>
            </w:hyperlink>
          </w:p>
        </w:tc>
      </w:tr>
      <w:tr w:rsidR="00DF11EC" w:rsidRPr="00E11FFB" w14:paraId="252C7A69" w14:textId="77777777" w:rsidTr="00DF11EC">
        <w:trPr>
          <w:trHeight w:val="459"/>
        </w:trPr>
        <w:tc>
          <w:tcPr>
            <w:tcW w:w="3388" w:type="dxa"/>
          </w:tcPr>
          <w:p w14:paraId="03BAB386" w14:textId="2910D105" w:rsidR="00DF11EC" w:rsidRPr="00DF11EC" w:rsidRDefault="00DF11EC" w:rsidP="003A6DE1">
            <w:pPr>
              <w:rPr>
                <w:sz w:val="20"/>
                <w:szCs w:val="20"/>
                <w:lang w:val="fr-FR"/>
              </w:rPr>
            </w:pPr>
            <w:r w:rsidRPr="00DF11EC">
              <w:rPr>
                <w:sz w:val="20"/>
                <w:szCs w:val="20"/>
                <w:lang w:val="fr-FR"/>
              </w:rPr>
              <w:t>Activité 3.1.2 Identifier les zones des forêts de grande valeur et des tourbières</w:t>
            </w:r>
          </w:p>
        </w:tc>
        <w:tc>
          <w:tcPr>
            <w:tcW w:w="6693" w:type="dxa"/>
          </w:tcPr>
          <w:p w14:paraId="360770E9" w14:textId="77777777" w:rsidR="00DF11EC" w:rsidRPr="00935B1F" w:rsidRDefault="00DF11EC" w:rsidP="00A6240B">
            <w:pPr>
              <w:pStyle w:val="Paragraphedeliste"/>
              <w:numPr>
                <w:ilvl w:val="0"/>
                <w:numId w:val="32"/>
              </w:numPr>
              <w:rPr>
                <w:lang w:val="fr-FR"/>
              </w:rPr>
            </w:pPr>
            <w:hyperlink r:id="rId139" w:history="1">
              <w:r w:rsidRPr="00DF11EC">
                <w:rPr>
                  <w:rStyle w:val="Lienhypertexte"/>
                  <w:sz w:val="20"/>
                  <w:szCs w:val="20"/>
                  <w:lang w:val="fr-FR"/>
                </w:rPr>
                <w:t>Feuille de route d’identification des zones de forêts de grande vaeur et des tourbières</w:t>
              </w:r>
            </w:hyperlink>
          </w:p>
          <w:p w14:paraId="2C85D441" w14:textId="776A1C78" w:rsidR="00935B1F" w:rsidRPr="00DF11EC" w:rsidRDefault="00935B1F" w:rsidP="00A6240B">
            <w:pPr>
              <w:pStyle w:val="Paragraphedeliste"/>
              <w:numPr>
                <w:ilvl w:val="0"/>
                <w:numId w:val="32"/>
              </w:numPr>
              <w:rPr>
                <w:lang w:val="fr-FR"/>
              </w:rPr>
            </w:pPr>
            <w:hyperlink r:id="rId140" w:history="1">
              <w:r w:rsidRPr="00935B1F">
                <w:rPr>
                  <w:rStyle w:val="Lienhypertexte"/>
                  <w:sz w:val="20"/>
                  <w:szCs w:val="20"/>
                  <w:lang w:val="fr-FR"/>
                </w:rPr>
                <w:t>Tdrs d’identification des règles de gestion</w:t>
              </w:r>
            </w:hyperlink>
          </w:p>
        </w:tc>
      </w:tr>
      <w:tr w:rsidR="00A6240B" w:rsidRPr="00E11FFB" w14:paraId="2DDC636A" w14:textId="77777777" w:rsidTr="00965B89">
        <w:trPr>
          <w:trHeight w:val="437"/>
        </w:trPr>
        <w:tc>
          <w:tcPr>
            <w:tcW w:w="3388" w:type="dxa"/>
          </w:tcPr>
          <w:p w14:paraId="49604856" w14:textId="5A601880" w:rsidR="00A6240B" w:rsidRPr="00103B6C" w:rsidRDefault="00A6240B" w:rsidP="003A6DE1">
            <w:pPr>
              <w:rPr>
                <w:sz w:val="20"/>
                <w:szCs w:val="20"/>
                <w:lang w:val="fr-CD"/>
              </w:rPr>
            </w:pPr>
            <w:r w:rsidRPr="00E11FFB">
              <w:rPr>
                <w:sz w:val="20"/>
                <w:szCs w:val="20"/>
                <w:lang w:val="fr-CD"/>
              </w:rPr>
              <w:t>Activité 3.2.1 : Répertorier et publier les concessions forestières de conservation attribuées.</w:t>
            </w:r>
          </w:p>
        </w:tc>
        <w:tc>
          <w:tcPr>
            <w:tcW w:w="6693" w:type="dxa"/>
          </w:tcPr>
          <w:p w14:paraId="771751F4" w14:textId="77777777" w:rsidR="00A6240B" w:rsidRDefault="00A6240B" w:rsidP="00A6240B">
            <w:pPr>
              <w:pStyle w:val="Paragraphedeliste"/>
              <w:numPr>
                <w:ilvl w:val="0"/>
                <w:numId w:val="32"/>
              </w:numPr>
              <w:rPr>
                <w:sz w:val="20"/>
                <w:szCs w:val="20"/>
                <w:lang w:val="fr-FR"/>
              </w:rPr>
            </w:pPr>
            <w:hyperlink r:id="rId141" w:history="1">
              <w:r w:rsidRPr="007C2141">
                <w:rPr>
                  <w:rStyle w:val="Lienhypertexte"/>
                  <w:sz w:val="20"/>
                  <w:szCs w:val="20"/>
                  <w:lang w:val="fr-FR"/>
                </w:rPr>
                <w:t>Liste provisoire des concessions forestières de conservation</w:t>
              </w:r>
            </w:hyperlink>
            <w:r w:rsidRPr="007C2141">
              <w:rPr>
                <w:sz w:val="20"/>
                <w:szCs w:val="20"/>
                <w:lang w:val="fr-FR"/>
              </w:rPr>
              <w:t xml:space="preserve"> </w:t>
            </w:r>
          </w:p>
          <w:p w14:paraId="0DC3DC05" w14:textId="1EE4D596" w:rsidR="007C2141" w:rsidRPr="007C2141" w:rsidRDefault="007C2141" w:rsidP="00A6240B">
            <w:pPr>
              <w:pStyle w:val="Paragraphedeliste"/>
              <w:numPr>
                <w:ilvl w:val="0"/>
                <w:numId w:val="32"/>
              </w:numPr>
              <w:rPr>
                <w:sz w:val="20"/>
                <w:szCs w:val="20"/>
                <w:lang w:val="fr-FR"/>
              </w:rPr>
            </w:pPr>
            <w:hyperlink r:id="rId142" w:history="1">
              <w:r w:rsidRPr="00DF11EC">
                <w:rPr>
                  <w:rStyle w:val="Lienhypertexte"/>
                  <w:sz w:val="20"/>
                  <w:szCs w:val="20"/>
                  <w:lang w:val="fr-FR"/>
                </w:rPr>
                <w:t>Feuille de route de la revue légale de concessions forestières de conservation</w:t>
              </w:r>
            </w:hyperlink>
          </w:p>
        </w:tc>
      </w:tr>
      <w:tr w:rsidR="00A6240B" w:rsidRPr="00E11FFB" w14:paraId="2812598D" w14:textId="77777777" w:rsidTr="00965B89">
        <w:trPr>
          <w:trHeight w:val="437"/>
        </w:trPr>
        <w:tc>
          <w:tcPr>
            <w:tcW w:w="3388" w:type="dxa"/>
          </w:tcPr>
          <w:p w14:paraId="7ADEAACD" w14:textId="77777777" w:rsidR="00A6240B" w:rsidRPr="00E11FFB" w:rsidRDefault="00A6240B" w:rsidP="003A6DE1">
            <w:pPr>
              <w:rPr>
                <w:sz w:val="20"/>
                <w:szCs w:val="20"/>
                <w:lang w:val="fr-CD"/>
              </w:rPr>
            </w:pPr>
            <w:r w:rsidRPr="00E11FFB">
              <w:rPr>
                <w:sz w:val="20"/>
                <w:szCs w:val="20"/>
                <w:lang w:val="fr-CD"/>
              </w:rPr>
              <w:t>Activité 3.3.1 : Définir le concept des forêts dégradées.</w:t>
            </w:r>
          </w:p>
          <w:p w14:paraId="4B4B7DBF" w14:textId="77777777" w:rsidR="00A6240B" w:rsidRPr="00E11FFB" w:rsidRDefault="00A6240B" w:rsidP="003A6DE1">
            <w:pPr>
              <w:rPr>
                <w:b/>
                <w:bCs/>
                <w:sz w:val="20"/>
                <w:szCs w:val="20"/>
                <w:u w:val="single"/>
                <w:lang w:val="fr-CD"/>
              </w:rPr>
            </w:pPr>
          </w:p>
        </w:tc>
        <w:tc>
          <w:tcPr>
            <w:tcW w:w="6693" w:type="dxa"/>
          </w:tcPr>
          <w:p w14:paraId="2A23EB38" w14:textId="77777777" w:rsidR="00A6240B" w:rsidRPr="007C2141" w:rsidRDefault="00A6240B" w:rsidP="00A6240B">
            <w:pPr>
              <w:pStyle w:val="Paragraphedeliste"/>
              <w:numPr>
                <w:ilvl w:val="0"/>
                <w:numId w:val="32"/>
              </w:numPr>
              <w:rPr>
                <w:sz w:val="20"/>
                <w:szCs w:val="20"/>
                <w:lang w:val="fr-FR"/>
              </w:rPr>
            </w:pPr>
            <w:hyperlink r:id="rId143" w:history="1">
              <w:r w:rsidRPr="007C2141">
                <w:rPr>
                  <w:rStyle w:val="Lienhypertexte"/>
                  <w:sz w:val="20"/>
                  <w:szCs w:val="20"/>
                  <w:lang w:val="fr-FR"/>
                </w:rPr>
                <w:t>Désignation des experts pour la définition des forêts dégradées</w:t>
              </w:r>
            </w:hyperlink>
            <w:r w:rsidRPr="007C2141">
              <w:rPr>
                <w:sz w:val="20"/>
                <w:szCs w:val="20"/>
                <w:lang w:val="fr-FR"/>
              </w:rPr>
              <w:t xml:space="preserve"> </w:t>
            </w:r>
          </w:p>
          <w:p w14:paraId="3F038D39" w14:textId="77777777" w:rsidR="00A6240B" w:rsidRPr="007C2141" w:rsidRDefault="00A6240B" w:rsidP="00A6240B">
            <w:pPr>
              <w:pStyle w:val="Paragraphedeliste"/>
              <w:numPr>
                <w:ilvl w:val="0"/>
                <w:numId w:val="32"/>
              </w:numPr>
              <w:rPr>
                <w:sz w:val="20"/>
                <w:szCs w:val="20"/>
                <w:lang w:val="fr-FR"/>
              </w:rPr>
            </w:pPr>
            <w:hyperlink r:id="rId144" w:history="1">
              <w:r w:rsidRPr="007C2141">
                <w:rPr>
                  <w:rStyle w:val="Lienhypertexte"/>
                  <w:sz w:val="20"/>
                  <w:szCs w:val="20"/>
                  <w:lang w:val="fr-FR"/>
                </w:rPr>
                <w:t>Draft du rapport sur la définition des forêts dégradées</w:t>
              </w:r>
            </w:hyperlink>
            <w:r w:rsidRPr="007C2141">
              <w:rPr>
                <w:sz w:val="20"/>
                <w:szCs w:val="20"/>
                <w:lang w:val="fr-FR"/>
              </w:rPr>
              <w:t xml:space="preserve"> </w:t>
            </w:r>
          </w:p>
          <w:p w14:paraId="064DA14C" w14:textId="77777777" w:rsidR="00A6240B" w:rsidRPr="007C2141" w:rsidRDefault="00A6240B" w:rsidP="00A6240B">
            <w:pPr>
              <w:pStyle w:val="Paragraphedeliste"/>
              <w:numPr>
                <w:ilvl w:val="0"/>
                <w:numId w:val="32"/>
              </w:numPr>
              <w:rPr>
                <w:sz w:val="20"/>
                <w:szCs w:val="20"/>
                <w:lang w:val="fr-FR"/>
              </w:rPr>
            </w:pPr>
            <w:hyperlink r:id="rId145" w:history="1">
              <w:r w:rsidRPr="007C2141">
                <w:rPr>
                  <w:rStyle w:val="Lienhypertexte"/>
                  <w:sz w:val="20"/>
                  <w:szCs w:val="20"/>
                  <w:lang w:val="fr-FR"/>
                </w:rPr>
                <w:t>PGDF contribution définition de forêt dégradée</w:t>
              </w:r>
            </w:hyperlink>
            <w:r w:rsidRPr="007C2141">
              <w:rPr>
                <w:sz w:val="20"/>
                <w:szCs w:val="20"/>
                <w:lang w:val="fr-FR"/>
              </w:rPr>
              <w:t xml:space="preserve"> </w:t>
            </w:r>
          </w:p>
          <w:p w14:paraId="6B318F10" w14:textId="77777777" w:rsidR="00A6240B" w:rsidRPr="007C2141" w:rsidRDefault="00A6240B" w:rsidP="00A6240B">
            <w:pPr>
              <w:pStyle w:val="Paragraphedeliste"/>
              <w:numPr>
                <w:ilvl w:val="0"/>
                <w:numId w:val="32"/>
              </w:numPr>
              <w:rPr>
                <w:sz w:val="20"/>
                <w:szCs w:val="20"/>
                <w:lang w:val="fr-FR"/>
              </w:rPr>
            </w:pPr>
            <w:hyperlink r:id="rId146" w:history="1">
              <w:r w:rsidRPr="007C2141">
                <w:rPr>
                  <w:rStyle w:val="Lienhypertexte"/>
                  <w:sz w:val="20"/>
                  <w:szCs w:val="20"/>
                  <w:lang w:val="fr-FR"/>
                </w:rPr>
                <w:t>Rapport de validation technique des définitions</w:t>
              </w:r>
            </w:hyperlink>
            <w:r w:rsidRPr="007C2141">
              <w:rPr>
                <w:sz w:val="20"/>
                <w:szCs w:val="20"/>
                <w:lang w:val="fr-FR"/>
              </w:rPr>
              <w:t xml:space="preserve"> </w:t>
            </w:r>
          </w:p>
          <w:p w14:paraId="674A4A54" w14:textId="77777777" w:rsidR="00A6240B" w:rsidRPr="007C2141" w:rsidRDefault="00A6240B" w:rsidP="00A6240B">
            <w:pPr>
              <w:pStyle w:val="Paragraphedeliste"/>
              <w:numPr>
                <w:ilvl w:val="0"/>
                <w:numId w:val="32"/>
              </w:numPr>
              <w:rPr>
                <w:sz w:val="20"/>
                <w:szCs w:val="20"/>
                <w:lang w:val="fr-FR"/>
              </w:rPr>
            </w:pPr>
            <w:hyperlink r:id="rId147" w:history="1">
              <w:r w:rsidRPr="007C2141">
                <w:rPr>
                  <w:rStyle w:val="Lienhypertexte"/>
                  <w:sz w:val="20"/>
                  <w:szCs w:val="20"/>
                  <w:lang w:val="fr-FR"/>
                </w:rPr>
                <w:t>Liste de présence à l’atelier de validation technique des définitions</w:t>
              </w:r>
            </w:hyperlink>
          </w:p>
        </w:tc>
      </w:tr>
      <w:tr w:rsidR="00A6240B" w:rsidRPr="00E11FFB" w14:paraId="507F02D8" w14:textId="77777777" w:rsidTr="00965B89">
        <w:trPr>
          <w:trHeight w:val="437"/>
        </w:trPr>
        <w:tc>
          <w:tcPr>
            <w:tcW w:w="3388" w:type="dxa"/>
          </w:tcPr>
          <w:p w14:paraId="63023250" w14:textId="77777777" w:rsidR="00A6240B" w:rsidRPr="00E11FFB" w:rsidRDefault="00A6240B" w:rsidP="003A6DE1">
            <w:pPr>
              <w:rPr>
                <w:sz w:val="20"/>
                <w:szCs w:val="20"/>
                <w:lang w:val="fr-CD"/>
              </w:rPr>
            </w:pPr>
            <w:r w:rsidRPr="00E11FFB">
              <w:rPr>
                <w:sz w:val="20"/>
                <w:szCs w:val="20"/>
                <w:lang w:val="fr-CD"/>
              </w:rPr>
              <w:t>Activité 3.5.1 : Collecter et consolider les données, et publier les actes des états généraux.</w:t>
            </w:r>
          </w:p>
        </w:tc>
        <w:tc>
          <w:tcPr>
            <w:tcW w:w="6693" w:type="dxa"/>
          </w:tcPr>
          <w:p w14:paraId="66511AD3" w14:textId="77777777" w:rsidR="00A6240B" w:rsidRPr="007C2141" w:rsidRDefault="00A6240B" w:rsidP="00A6240B">
            <w:pPr>
              <w:pStyle w:val="Paragraphedeliste"/>
              <w:numPr>
                <w:ilvl w:val="0"/>
                <w:numId w:val="32"/>
              </w:numPr>
              <w:rPr>
                <w:sz w:val="20"/>
                <w:szCs w:val="20"/>
                <w:lang w:val="fr-FR"/>
              </w:rPr>
            </w:pPr>
            <w:hyperlink r:id="rId148" w:history="1">
              <w:r w:rsidRPr="007C2141">
                <w:rPr>
                  <w:rStyle w:val="Lienhypertexte"/>
                  <w:sz w:val="20"/>
                  <w:szCs w:val="20"/>
                  <w:lang w:val="fr-FR"/>
                </w:rPr>
                <w:t>Actes des Etats généraux des forêts</w:t>
              </w:r>
            </w:hyperlink>
            <w:r w:rsidRPr="007C2141">
              <w:rPr>
                <w:sz w:val="20"/>
                <w:szCs w:val="20"/>
                <w:lang w:val="fr-FR"/>
              </w:rPr>
              <w:t xml:space="preserve"> </w:t>
            </w:r>
          </w:p>
        </w:tc>
      </w:tr>
      <w:tr w:rsidR="00A6240B" w:rsidRPr="00E11FFB" w14:paraId="597449F6" w14:textId="77777777" w:rsidTr="00965B89">
        <w:trPr>
          <w:trHeight w:val="437"/>
        </w:trPr>
        <w:tc>
          <w:tcPr>
            <w:tcW w:w="3388" w:type="dxa"/>
          </w:tcPr>
          <w:p w14:paraId="339CEB6A" w14:textId="77777777" w:rsidR="00A6240B" w:rsidRPr="00E11FFB" w:rsidRDefault="00A6240B" w:rsidP="003A6DE1">
            <w:pPr>
              <w:rPr>
                <w:sz w:val="20"/>
                <w:szCs w:val="20"/>
                <w:lang w:val="fr-CD"/>
              </w:rPr>
            </w:pPr>
            <w:r w:rsidRPr="00E11FFB">
              <w:rPr>
                <w:sz w:val="20"/>
                <w:szCs w:val="20"/>
                <w:lang w:val="fr-CD"/>
              </w:rPr>
              <w:t>Activité 3.5.2 : Appuyer l'élaboration du document de la Politique forestière.</w:t>
            </w:r>
          </w:p>
          <w:p w14:paraId="26001E45" w14:textId="77777777" w:rsidR="00A6240B" w:rsidRPr="00E11FFB" w:rsidRDefault="00A6240B" w:rsidP="003A6DE1">
            <w:pPr>
              <w:rPr>
                <w:sz w:val="20"/>
                <w:szCs w:val="20"/>
                <w:lang w:val="fr-CD"/>
              </w:rPr>
            </w:pPr>
          </w:p>
        </w:tc>
        <w:tc>
          <w:tcPr>
            <w:tcW w:w="6693" w:type="dxa"/>
          </w:tcPr>
          <w:p w14:paraId="6D9611F5" w14:textId="77777777" w:rsidR="00A6240B" w:rsidRPr="007C2141" w:rsidRDefault="00A6240B" w:rsidP="00A6240B">
            <w:pPr>
              <w:pStyle w:val="Paragraphedeliste"/>
              <w:numPr>
                <w:ilvl w:val="0"/>
                <w:numId w:val="32"/>
              </w:numPr>
              <w:rPr>
                <w:sz w:val="20"/>
                <w:szCs w:val="20"/>
                <w:lang w:val="fr-FR"/>
              </w:rPr>
            </w:pPr>
            <w:hyperlink r:id="rId149" w:history="1">
              <w:r w:rsidRPr="007C2141">
                <w:rPr>
                  <w:rStyle w:val="Lienhypertexte"/>
                  <w:sz w:val="20"/>
                  <w:szCs w:val="20"/>
                  <w:lang w:val="fr-FR"/>
                </w:rPr>
                <w:t>Contrat consultant pour la finalisation de la politique forestière</w:t>
              </w:r>
            </w:hyperlink>
          </w:p>
          <w:p w14:paraId="313BDC7D" w14:textId="77777777" w:rsidR="00A6240B" w:rsidRPr="007C2141" w:rsidRDefault="00A6240B" w:rsidP="00A6240B">
            <w:pPr>
              <w:pStyle w:val="Paragraphedeliste"/>
              <w:numPr>
                <w:ilvl w:val="0"/>
                <w:numId w:val="32"/>
              </w:numPr>
              <w:rPr>
                <w:sz w:val="20"/>
                <w:szCs w:val="20"/>
                <w:lang w:val="fr-FR"/>
              </w:rPr>
            </w:pPr>
            <w:hyperlink r:id="rId150" w:history="1">
              <w:r w:rsidRPr="007C2141">
                <w:rPr>
                  <w:rStyle w:val="Lienhypertexte"/>
                  <w:sz w:val="20"/>
                  <w:szCs w:val="20"/>
                  <w:lang w:val="fr-FR"/>
                </w:rPr>
                <w:t>Politique forestière nationale mise en forme finale</w:t>
              </w:r>
            </w:hyperlink>
            <w:r w:rsidRPr="007C2141">
              <w:rPr>
                <w:sz w:val="20"/>
                <w:szCs w:val="20"/>
                <w:lang w:val="fr-FR"/>
              </w:rPr>
              <w:t xml:space="preserve"> </w:t>
            </w:r>
          </w:p>
          <w:p w14:paraId="6086843F" w14:textId="77777777" w:rsidR="00A6240B" w:rsidRPr="00E11FFB" w:rsidRDefault="00A6240B" w:rsidP="00A6240B">
            <w:pPr>
              <w:pStyle w:val="Paragraphedeliste"/>
              <w:numPr>
                <w:ilvl w:val="0"/>
                <w:numId w:val="32"/>
              </w:numPr>
              <w:rPr>
                <w:sz w:val="20"/>
                <w:szCs w:val="20"/>
              </w:rPr>
            </w:pPr>
            <w:hyperlink r:id="rId151" w:history="1">
              <w:r w:rsidRPr="00E11FFB">
                <w:rPr>
                  <w:rStyle w:val="Lienhypertexte"/>
                  <w:sz w:val="20"/>
                  <w:szCs w:val="20"/>
                </w:rPr>
                <w:t>TDR atelier de validation finale</w:t>
              </w:r>
            </w:hyperlink>
            <w:r w:rsidRPr="00E11FFB">
              <w:rPr>
                <w:sz w:val="20"/>
                <w:szCs w:val="20"/>
              </w:rPr>
              <w:t xml:space="preserve"> </w:t>
            </w:r>
          </w:p>
          <w:p w14:paraId="238C40C0" w14:textId="77777777" w:rsidR="00A6240B" w:rsidRPr="007C2141" w:rsidRDefault="00A6240B" w:rsidP="00A6240B">
            <w:pPr>
              <w:pStyle w:val="Paragraphedeliste"/>
              <w:numPr>
                <w:ilvl w:val="0"/>
                <w:numId w:val="32"/>
              </w:numPr>
              <w:rPr>
                <w:sz w:val="20"/>
                <w:szCs w:val="20"/>
                <w:lang w:val="fr-FR"/>
              </w:rPr>
            </w:pPr>
            <w:hyperlink r:id="rId152" w:history="1">
              <w:r w:rsidRPr="007C2141">
                <w:rPr>
                  <w:rStyle w:val="Lienhypertexte"/>
                  <w:sz w:val="20"/>
                  <w:szCs w:val="20"/>
                  <w:lang w:val="fr-FR"/>
                </w:rPr>
                <w:t>DANO atelier de validation sous financement PGDF</w:t>
              </w:r>
            </w:hyperlink>
          </w:p>
          <w:p w14:paraId="2C43F0F0" w14:textId="77777777" w:rsidR="00A6240B" w:rsidRPr="00E11FFB" w:rsidRDefault="00A6240B" w:rsidP="00A6240B">
            <w:pPr>
              <w:pStyle w:val="Paragraphedeliste"/>
              <w:numPr>
                <w:ilvl w:val="0"/>
                <w:numId w:val="32"/>
              </w:numPr>
              <w:rPr>
                <w:sz w:val="20"/>
                <w:szCs w:val="20"/>
              </w:rPr>
            </w:pPr>
            <w:hyperlink r:id="rId153" w:history="1">
              <w:r w:rsidRPr="00E11FFB">
                <w:rPr>
                  <w:rStyle w:val="Lienhypertexte"/>
                  <w:sz w:val="20"/>
                  <w:szCs w:val="20"/>
                </w:rPr>
                <w:t>Contrat de consultant pour l’EES</w:t>
              </w:r>
            </w:hyperlink>
          </w:p>
          <w:p w14:paraId="569CD3C0" w14:textId="24816325" w:rsidR="00AF252F" w:rsidRPr="007C2141" w:rsidRDefault="00AF252F" w:rsidP="00A6240B">
            <w:pPr>
              <w:pStyle w:val="Paragraphedeliste"/>
              <w:numPr>
                <w:ilvl w:val="0"/>
                <w:numId w:val="32"/>
              </w:numPr>
              <w:rPr>
                <w:sz w:val="20"/>
                <w:szCs w:val="20"/>
                <w:lang w:val="fr-FR"/>
              </w:rPr>
            </w:pPr>
            <w:hyperlink r:id="rId154" w:history="1">
              <w:r w:rsidRPr="007C2141">
                <w:rPr>
                  <w:rStyle w:val="Lienhypertexte"/>
                  <w:sz w:val="20"/>
                  <w:szCs w:val="20"/>
                  <w:lang w:val="fr-FR"/>
                </w:rPr>
                <w:t>Dossier des consultations provinciales sur le PNP</w:t>
              </w:r>
            </w:hyperlink>
          </w:p>
        </w:tc>
      </w:tr>
      <w:tr w:rsidR="00A6240B" w:rsidRPr="00E11FFB" w14:paraId="04A163F2" w14:textId="77777777" w:rsidTr="00965B89">
        <w:trPr>
          <w:trHeight w:val="437"/>
        </w:trPr>
        <w:tc>
          <w:tcPr>
            <w:tcW w:w="3388" w:type="dxa"/>
          </w:tcPr>
          <w:p w14:paraId="5D463AB5" w14:textId="77777777" w:rsidR="00A6240B" w:rsidRPr="00E11FFB" w:rsidRDefault="00A6240B" w:rsidP="003A6DE1">
            <w:pPr>
              <w:rPr>
                <w:sz w:val="20"/>
                <w:szCs w:val="20"/>
                <w:lang w:val="fr-CD"/>
              </w:rPr>
            </w:pPr>
            <w:r w:rsidRPr="00E11FFB">
              <w:rPr>
                <w:sz w:val="20"/>
                <w:szCs w:val="20"/>
                <w:lang w:val="fr-CD"/>
              </w:rPr>
              <w:t>Activité 3.6.1 : Réviser et publier le nouveau Code Forestier de la RDC.</w:t>
            </w:r>
          </w:p>
          <w:p w14:paraId="6A471183" w14:textId="77777777" w:rsidR="00A6240B" w:rsidRPr="00E11FFB" w:rsidRDefault="00A6240B" w:rsidP="003A6DE1">
            <w:pPr>
              <w:rPr>
                <w:sz w:val="20"/>
                <w:szCs w:val="20"/>
                <w:lang w:val="fr-CD"/>
              </w:rPr>
            </w:pPr>
          </w:p>
        </w:tc>
        <w:tc>
          <w:tcPr>
            <w:tcW w:w="6693" w:type="dxa"/>
          </w:tcPr>
          <w:p w14:paraId="4377ADAD" w14:textId="77777777" w:rsidR="00A6240B" w:rsidRPr="007C2141" w:rsidRDefault="00A6240B" w:rsidP="00A6240B">
            <w:pPr>
              <w:pStyle w:val="Paragraphedeliste"/>
              <w:numPr>
                <w:ilvl w:val="0"/>
                <w:numId w:val="32"/>
              </w:numPr>
              <w:rPr>
                <w:sz w:val="20"/>
                <w:szCs w:val="20"/>
                <w:lang w:val="fr-FR"/>
              </w:rPr>
            </w:pPr>
            <w:hyperlink r:id="rId155" w:history="1">
              <w:r w:rsidRPr="007C2141">
                <w:rPr>
                  <w:rStyle w:val="Lienhypertexte"/>
                  <w:sz w:val="20"/>
                  <w:szCs w:val="20"/>
                  <w:lang w:val="fr-FR"/>
                </w:rPr>
                <w:t>Feuille de route validée par le CCNF</w:t>
              </w:r>
            </w:hyperlink>
          </w:p>
          <w:p w14:paraId="614E8C94" w14:textId="77777777" w:rsidR="00A6240B" w:rsidRPr="00E11FFB" w:rsidRDefault="00A6240B" w:rsidP="00A6240B">
            <w:pPr>
              <w:pStyle w:val="Paragraphedeliste"/>
              <w:numPr>
                <w:ilvl w:val="0"/>
                <w:numId w:val="32"/>
              </w:numPr>
              <w:rPr>
                <w:sz w:val="20"/>
                <w:szCs w:val="20"/>
              </w:rPr>
            </w:pPr>
            <w:hyperlink r:id="rId156" w:history="1">
              <w:r w:rsidRPr="00E11FFB">
                <w:rPr>
                  <w:rStyle w:val="Lienhypertexte"/>
                  <w:sz w:val="20"/>
                  <w:szCs w:val="20"/>
                </w:rPr>
                <w:t>TDRs du CCNF</w:t>
              </w:r>
            </w:hyperlink>
          </w:p>
          <w:p w14:paraId="1D73F597" w14:textId="13B0D314" w:rsidR="00A6240B" w:rsidRPr="007C2141" w:rsidRDefault="00A6240B" w:rsidP="00A6240B">
            <w:pPr>
              <w:pStyle w:val="Paragraphedeliste"/>
              <w:numPr>
                <w:ilvl w:val="0"/>
                <w:numId w:val="32"/>
              </w:numPr>
              <w:rPr>
                <w:sz w:val="20"/>
                <w:szCs w:val="20"/>
                <w:lang w:val="fr-FR"/>
              </w:rPr>
            </w:pPr>
            <w:hyperlink r:id="rId157" w:history="1">
              <w:r w:rsidRPr="007C2141">
                <w:rPr>
                  <w:rStyle w:val="Lienhypertexte"/>
                  <w:sz w:val="20"/>
                  <w:szCs w:val="20"/>
                  <w:lang w:val="fr-FR"/>
                </w:rPr>
                <w:t>Atelier d’identification des acteurs et contribution au processus de la révision du code forestier</w:t>
              </w:r>
            </w:hyperlink>
            <w:r w:rsidRPr="007C2141">
              <w:rPr>
                <w:sz w:val="20"/>
                <w:szCs w:val="20"/>
                <w:lang w:val="fr-FR"/>
              </w:rPr>
              <w:t xml:space="preserve"> </w:t>
            </w:r>
          </w:p>
        </w:tc>
      </w:tr>
      <w:tr w:rsidR="00A6240B" w:rsidRPr="00E11FFB" w14:paraId="2B04390C" w14:textId="77777777" w:rsidTr="00965B89">
        <w:trPr>
          <w:trHeight w:val="437"/>
        </w:trPr>
        <w:tc>
          <w:tcPr>
            <w:tcW w:w="3388" w:type="dxa"/>
          </w:tcPr>
          <w:p w14:paraId="3E83F655" w14:textId="77777777" w:rsidR="00A6240B" w:rsidRPr="00E11FFB" w:rsidRDefault="00A6240B" w:rsidP="003A6DE1">
            <w:pPr>
              <w:rPr>
                <w:sz w:val="20"/>
                <w:szCs w:val="20"/>
                <w:lang w:val="fr-CD"/>
              </w:rPr>
            </w:pPr>
            <w:r w:rsidRPr="00E11FFB">
              <w:rPr>
                <w:sz w:val="20"/>
                <w:szCs w:val="20"/>
                <w:lang w:val="fr-CD"/>
              </w:rPr>
              <w:t>Activité 3.7.1 : Garantir la transparence dans le respect de l'exécution des standards et procédures prévues par le Code forestier.</w:t>
            </w:r>
          </w:p>
          <w:p w14:paraId="678DF64A" w14:textId="77777777" w:rsidR="00A6240B" w:rsidRPr="00E11FFB" w:rsidRDefault="00A6240B" w:rsidP="003A6DE1">
            <w:pPr>
              <w:rPr>
                <w:sz w:val="20"/>
                <w:szCs w:val="20"/>
                <w:lang w:val="fr-CD"/>
              </w:rPr>
            </w:pPr>
          </w:p>
        </w:tc>
        <w:tc>
          <w:tcPr>
            <w:tcW w:w="6693" w:type="dxa"/>
          </w:tcPr>
          <w:p w14:paraId="4C2E65CD" w14:textId="77777777" w:rsidR="00A6240B" w:rsidRPr="007C2141" w:rsidRDefault="00A6240B" w:rsidP="00A6240B">
            <w:pPr>
              <w:pStyle w:val="Paragraphedeliste"/>
              <w:numPr>
                <w:ilvl w:val="0"/>
                <w:numId w:val="32"/>
              </w:numPr>
              <w:rPr>
                <w:sz w:val="20"/>
                <w:szCs w:val="20"/>
                <w:lang w:val="fr-FR"/>
              </w:rPr>
            </w:pPr>
            <w:hyperlink r:id="rId158" w:history="1">
              <w:r w:rsidRPr="007C2141">
                <w:rPr>
                  <w:rStyle w:val="Lienhypertexte"/>
                  <w:sz w:val="20"/>
                  <w:szCs w:val="20"/>
                  <w:lang w:val="fr-FR"/>
                </w:rPr>
                <w:t>Site MEDD structuré et opérationnel</w:t>
              </w:r>
            </w:hyperlink>
          </w:p>
        </w:tc>
      </w:tr>
      <w:tr w:rsidR="00A6240B" w:rsidRPr="00E11FFB" w14:paraId="167CA9BC" w14:textId="77777777" w:rsidTr="00965B89">
        <w:trPr>
          <w:trHeight w:val="437"/>
        </w:trPr>
        <w:tc>
          <w:tcPr>
            <w:tcW w:w="3388" w:type="dxa"/>
          </w:tcPr>
          <w:p w14:paraId="5C0D5773" w14:textId="77777777" w:rsidR="00A6240B" w:rsidRPr="00E11FFB" w:rsidRDefault="00A6240B" w:rsidP="003A6DE1">
            <w:pPr>
              <w:rPr>
                <w:sz w:val="20"/>
                <w:szCs w:val="20"/>
                <w:lang w:val="fr-CD"/>
              </w:rPr>
            </w:pPr>
            <w:r w:rsidRPr="00E11FFB">
              <w:rPr>
                <w:sz w:val="20"/>
                <w:szCs w:val="20"/>
                <w:lang w:val="fr-CD"/>
              </w:rPr>
              <w:t>Activité 3.8.1 : Appuyer l'adoption du Décret formalisant la levée du moratoire.</w:t>
            </w:r>
          </w:p>
          <w:p w14:paraId="06E0CBAB" w14:textId="77777777" w:rsidR="00A6240B" w:rsidRPr="00E11FFB" w:rsidRDefault="00A6240B" w:rsidP="003A6DE1">
            <w:pPr>
              <w:rPr>
                <w:sz w:val="20"/>
                <w:szCs w:val="20"/>
                <w:lang w:val="fr-CD"/>
              </w:rPr>
            </w:pPr>
          </w:p>
        </w:tc>
        <w:tc>
          <w:tcPr>
            <w:tcW w:w="6693" w:type="dxa"/>
          </w:tcPr>
          <w:p w14:paraId="78F22061" w14:textId="77777777" w:rsidR="00A6240B" w:rsidRPr="007C2141" w:rsidRDefault="00A6240B" w:rsidP="00A6240B">
            <w:pPr>
              <w:pStyle w:val="Paragraphedeliste"/>
              <w:numPr>
                <w:ilvl w:val="0"/>
                <w:numId w:val="32"/>
              </w:numPr>
              <w:rPr>
                <w:sz w:val="20"/>
                <w:szCs w:val="20"/>
                <w:lang w:val="fr-FR"/>
              </w:rPr>
            </w:pPr>
            <w:hyperlink r:id="rId159" w:history="1">
              <w:r w:rsidRPr="007C2141">
                <w:rPr>
                  <w:rStyle w:val="Lienhypertexte"/>
                  <w:sz w:val="20"/>
                  <w:szCs w:val="20"/>
                  <w:lang w:val="fr-FR"/>
                </w:rPr>
                <w:t>Désignation des experts pour la programmation géographique</w:t>
              </w:r>
            </w:hyperlink>
            <w:r w:rsidRPr="007C2141">
              <w:rPr>
                <w:sz w:val="20"/>
                <w:szCs w:val="20"/>
                <w:lang w:val="fr-FR"/>
              </w:rPr>
              <w:t xml:space="preserve"> </w:t>
            </w:r>
          </w:p>
          <w:p w14:paraId="7BD13174" w14:textId="77777777" w:rsidR="00A6240B" w:rsidRPr="007C2141" w:rsidRDefault="00A6240B" w:rsidP="00A6240B">
            <w:pPr>
              <w:pStyle w:val="Paragraphedeliste"/>
              <w:numPr>
                <w:ilvl w:val="0"/>
                <w:numId w:val="32"/>
              </w:numPr>
              <w:rPr>
                <w:sz w:val="20"/>
                <w:szCs w:val="20"/>
                <w:lang w:val="fr-FR"/>
              </w:rPr>
            </w:pPr>
            <w:hyperlink r:id="rId160" w:history="1">
              <w:r w:rsidRPr="007C2141">
                <w:rPr>
                  <w:rStyle w:val="Lienhypertexte"/>
                  <w:sz w:val="20"/>
                  <w:szCs w:val="20"/>
                  <w:lang w:val="fr-FR"/>
                </w:rPr>
                <w:t>CR des réunions des équipes de la programmation géographique</w:t>
              </w:r>
            </w:hyperlink>
            <w:r w:rsidRPr="007C2141">
              <w:rPr>
                <w:sz w:val="20"/>
                <w:szCs w:val="20"/>
                <w:lang w:val="fr-FR"/>
              </w:rPr>
              <w:t xml:space="preserve"> </w:t>
            </w:r>
          </w:p>
          <w:p w14:paraId="23633809" w14:textId="77777777" w:rsidR="00A6240B" w:rsidRPr="00E11FFB" w:rsidRDefault="00A6240B" w:rsidP="00A6240B">
            <w:pPr>
              <w:pStyle w:val="Paragraphedeliste"/>
              <w:numPr>
                <w:ilvl w:val="0"/>
                <w:numId w:val="32"/>
              </w:numPr>
              <w:rPr>
                <w:sz w:val="20"/>
                <w:szCs w:val="20"/>
              </w:rPr>
            </w:pPr>
            <w:hyperlink r:id="rId161" w:history="1">
              <w:r w:rsidRPr="00E11FFB">
                <w:rPr>
                  <w:rStyle w:val="Lienhypertexte"/>
                  <w:sz w:val="20"/>
                  <w:szCs w:val="20"/>
                </w:rPr>
                <w:t>Carte de macro-zonage</w:t>
              </w:r>
            </w:hyperlink>
            <w:r w:rsidRPr="00E11FFB">
              <w:rPr>
                <w:sz w:val="20"/>
                <w:szCs w:val="20"/>
              </w:rPr>
              <w:t xml:space="preserve"> </w:t>
            </w:r>
          </w:p>
          <w:p w14:paraId="306985B7" w14:textId="77777777" w:rsidR="00A6240B" w:rsidRPr="007C2141" w:rsidRDefault="00A6240B" w:rsidP="00A6240B">
            <w:pPr>
              <w:pStyle w:val="Paragraphedeliste"/>
              <w:numPr>
                <w:ilvl w:val="0"/>
                <w:numId w:val="32"/>
              </w:numPr>
              <w:rPr>
                <w:sz w:val="20"/>
                <w:szCs w:val="20"/>
                <w:lang w:val="fr-FR"/>
              </w:rPr>
            </w:pPr>
            <w:hyperlink r:id="rId162" w:history="1">
              <w:r w:rsidRPr="007C2141">
                <w:rPr>
                  <w:rStyle w:val="Lienhypertexte"/>
                  <w:sz w:val="20"/>
                  <w:szCs w:val="20"/>
                  <w:lang w:val="fr-FR"/>
                </w:rPr>
                <w:t>Rapport de l’atelier de validation des cartes de la programmation géographique</w:t>
              </w:r>
            </w:hyperlink>
          </w:p>
          <w:p w14:paraId="5B3B8C27" w14:textId="0859F445" w:rsidR="00A6240B" w:rsidRPr="007C2141" w:rsidRDefault="00A6240B" w:rsidP="00A6240B">
            <w:pPr>
              <w:pStyle w:val="Paragraphedeliste"/>
              <w:numPr>
                <w:ilvl w:val="0"/>
                <w:numId w:val="32"/>
              </w:numPr>
              <w:rPr>
                <w:sz w:val="20"/>
                <w:szCs w:val="20"/>
                <w:lang w:val="fr-FR"/>
              </w:rPr>
            </w:pPr>
            <w:hyperlink r:id="rId163" w:history="1">
              <w:r w:rsidRPr="007C2141">
                <w:rPr>
                  <w:rStyle w:val="Lienhypertexte"/>
                  <w:sz w:val="20"/>
                  <w:szCs w:val="20"/>
                  <w:lang w:val="fr-FR"/>
                </w:rPr>
                <w:t>Projet de décret sur la levée de moratoire</w:t>
              </w:r>
            </w:hyperlink>
            <w:r w:rsidRPr="007C2141">
              <w:rPr>
                <w:sz w:val="20"/>
                <w:szCs w:val="20"/>
                <w:lang w:val="fr-FR"/>
              </w:rPr>
              <w:t xml:space="preserve"> </w:t>
            </w:r>
          </w:p>
        </w:tc>
      </w:tr>
      <w:tr w:rsidR="00A6240B" w:rsidRPr="00E11FFB" w14:paraId="5FE8C902" w14:textId="77777777" w:rsidTr="00965B89">
        <w:trPr>
          <w:trHeight w:val="437"/>
        </w:trPr>
        <w:tc>
          <w:tcPr>
            <w:tcW w:w="3388" w:type="dxa"/>
          </w:tcPr>
          <w:p w14:paraId="4788448C" w14:textId="77777777" w:rsidR="00A6240B" w:rsidRPr="00E11FFB" w:rsidRDefault="00A6240B" w:rsidP="003A6DE1">
            <w:pPr>
              <w:rPr>
                <w:sz w:val="20"/>
                <w:szCs w:val="20"/>
                <w:lang w:val="fr-CD"/>
              </w:rPr>
            </w:pPr>
            <w:r w:rsidRPr="00E11FFB">
              <w:rPr>
                <w:sz w:val="20"/>
                <w:szCs w:val="20"/>
                <w:lang w:val="fr-CD"/>
              </w:rPr>
              <w:t>Activité 3.9.1 : Elaborer un Plan de protection des aires protégées.</w:t>
            </w:r>
          </w:p>
          <w:p w14:paraId="51BA91FD" w14:textId="77777777" w:rsidR="00A6240B" w:rsidRPr="00E11FFB" w:rsidRDefault="00A6240B" w:rsidP="003A6DE1">
            <w:pPr>
              <w:rPr>
                <w:sz w:val="20"/>
                <w:szCs w:val="20"/>
                <w:lang w:val="fr-CD"/>
              </w:rPr>
            </w:pPr>
          </w:p>
        </w:tc>
        <w:tc>
          <w:tcPr>
            <w:tcW w:w="6693" w:type="dxa"/>
          </w:tcPr>
          <w:p w14:paraId="7D7F7CA9" w14:textId="77777777" w:rsidR="00A6240B" w:rsidRPr="007C2141" w:rsidRDefault="00A6240B" w:rsidP="00A6240B">
            <w:pPr>
              <w:pStyle w:val="Paragraphedeliste"/>
              <w:numPr>
                <w:ilvl w:val="0"/>
                <w:numId w:val="32"/>
              </w:numPr>
              <w:rPr>
                <w:sz w:val="20"/>
                <w:szCs w:val="20"/>
                <w:lang w:val="fr-FR"/>
              </w:rPr>
            </w:pPr>
            <w:hyperlink r:id="rId164" w:history="1">
              <w:r w:rsidRPr="007C2141">
                <w:rPr>
                  <w:rStyle w:val="Lienhypertexte"/>
                  <w:sz w:val="20"/>
                  <w:szCs w:val="20"/>
                  <w:lang w:val="fr-FR"/>
                </w:rPr>
                <w:t>Diagnostic des aires protégées de la RDC</w:t>
              </w:r>
            </w:hyperlink>
          </w:p>
          <w:p w14:paraId="1EDE52DD" w14:textId="77777777" w:rsidR="00A6240B" w:rsidRPr="007C2141" w:rsidRDefault="00A6240B" w:rsidP="00A6240B">
            <w:pPr>
              <w:pStyle w:val="Paragraphedeliste"/>
              <w:numPr>
                <w:ilvl w:val="0"/>
                <w:numId w:val="32"/>
              </w:numPr>
              <w:rPr>
                <w:sz w:val="20"/>
                <w:szCs w:val="20"/>
                <w:lang w:val="fr-FR"/>
              </w:rPr>
            </w:pPr>
            <w:hyperlink r:id="rId165" w:history="1">
              <w:r w:rsidRPr="007C2141">
                <w:rPr>
                  <w:rStyle w:val="Lienhypertexte"/>
                  <w:sz w:val="20"/>
                  <w:szCs w:val="20"/>
                  <w:lang w:val="fr-FR"/>
                </w:rPr>
                <w:t>Stratégie et plan d’action nationaux pour la biodiversité 2025-2030</w:t>
              </w:r>
            </w:hyperlink>
          </w:p>
          <w:p w14:paraId="521D9850" w14:textId="77777777" w:rsidR="00A6240B" w:rsidRPr="007C2141" w:rsidRDefault="00A6240B" w:rsidP="00A6240B">
            <w:pPr>
              <w:pStyle w:val="Paragraphedeliste"/>
              <w:numPr>
                <w:ilvl w:val="0"/>
                <w:numId w:val="32"/>
              </w:numPr>
              <w:rPr>
                <w:sz w:val="20"/>
                <w:szCs w:val="20"/>
                <w:lang w:val="fr-FR"/>
              </w:rPr>
            </w:pPr>
            <w:hyperlink r:id="rId166" w:history="1">
              <w:r w:rsidRPr="007C2141">
                <w:rPr>
                  <w:rStyle w:val="Lienhypertexte"/>
                  <w:sz w:val="20"/>
                  <w:szCs w:val="20"/>
                  <w:lang w:val="fr-FR"/>
                </w:rPr>
                <w:t>Invitation à l’atelier de présentation et validation du diagnostic des aires protégées de la RDC</w:t>
              </w:r>
            </w:hyperlink>
          </w:p>
          <w:p w14:paraId="54691F76" w14:textId="77777777" w:rsidR="00A6240B" w:rsidRPr="007C2141" w:rsidRDefault="00A6240B" w:rsidP="00A6240B">
            <w:pPr>
              <w:pStyle w:val="Paragraphedeliste"/>
              <w:numPr>
                <w:ilvl w:val="0"/>
                <w:numId w:val="32"/>
              </w:numPr>
              <w:rPr>
                <w:sz w:val="20"/>
                <w:szCs w:val="20"/>
                <w:lang w:val="fr-FR"/>
              </w:rPr>
            </w:pPr>
            <w:hyperlink r:id="rId167" w:history="1">
              <w:r w:rsidRPr="007C2141">
                <w:rPr>
                  <w:rStyle w:val="Lienhypertexte"/>
                  <w:sz w:val="20"/>
                  <w:szCs w:val="20"/>
                  <w:lang w:val="fr-FR"/>
                </w:rPr>
                <w:t>Liste de présence à l’atelier de validation technique de diagnostic des aires protégées de la RDC</w:t>
              </w:r>
            </w:hyperlink>
          </w:p>
        </w:tc>
      </w:tr>
      <w:tr w:rsidR="00A6240B" w:rsidRPr="00E11FFB" w14:paraId="005256D7" w14:textId="77777777" w:rsidTr="00965B89">
        <w:trPr>
          <w:trHeight w:val="437"/>
        </w:trPr>
        <w:tc>
          <w:tcPr>
            <w:tcW w:w="3388" w:type="dxa"/>
          </w:tcPr>
          <w:p w14:paraId="00743516" w14:textId="77777777" w:rsidR="00A6240B" w:rsidRPr="00E11FFB" w:rsidRDefault="00A6240B" w:rsidP="003A6DE1">
            <w:pPr>
              <w:rPr>
                <w:sz w:val="20"/>
                <w:szCs w:val="20"/>
                <w:lang w:val="fr-CD"/>
              </w:rPr>
            </w:pPr>
            <w:r w:rsidRPr="00E11FFB">
              <w:rPr>
                <w:sz w:val="20"/>
                <w:szCs w:val="20"/>
                <w:lang w:val="fr-CD"/>
              </w:rPr>
              <w:t>Activité 3.9.2 : Etendre les espaces sous statut de protection.</w:t>
            </w:r>
          </w:p>
        </w:tc>
        <w:tc>
          <w:tcPr>
            <w:tcW w:w="6693" w:type="dxa"/>
          </w:tcPr>
          <w:p w14:paraId="05253AED" w14:textId="77777777" w:rsidR="00A6240B" w:rsidRPr="007C2141" w:rsidRDefault="00A6240B" w:rsidP="00A6240B">
            <w:pPr>
              <w:pStyle w:val="Paragraphedeliste"/>
              <w:numPr>
                <w:ilvl w:val="0"/>
                <w:numId w:val="32"/>
              </w:numPr>
              <w:rPr>
                <w:sz w:val="20"/>
                <w:szCs w:val="20"/>
                <w:lang w:val="fr-FR"/>
              </w:rPr>
            </w:pPr>
            <w:hyperlink r:id="rId168" w:history="1">
              <w:r w:rsidRPr="007C2141">
                <w:rPr>
                  <w:rStyle w:val="Lienhypertexte"/>
                  <w:sz w:val="20"/>
                  <w:szCs w:val="20"/>
                  <w:lang w:val="fr-FR"/>
                </w:rPr>
                <w:t>Création d’espace protégé à vocation de réserve communautaire</w:t>
              </w:r>
            </w:hyperlink>
          </w:p>
        </w:tc>
      </w:tr>
      <w:tr w:rsidR="00A6240B" w:rsidRPr="00E11FFB" w14:paraId="2C69B42B" w14:textId="77777777" w:rsidTr="00965B89">
        <w:trPr>
          <w:trHeight w:val="437"/>
        </w:trPr>
        <w:tc>
          <w:tcPr>
            <w:tcW w:w="3388" w:type="dxa"/>
          </w:tcPr>
          <w:p w14:paraId="71DA32AD" w14:textId="77777777" w:rsidR="00A6240B" w:rsidRPr="00E11FFB" w:rsidRDefault="00A6240B" w:rsidP="003A6DE1">
            <w:pPr>
              <w:rPr>
                <w:sz w:val="20"/>
                <w:szCs w:val="20"/>
                <w:lang w:val="fr-CD"/>
              </w:rPr>
            </w:pPr>
            <w:r w:rsidRPr="00E11FFB">
              <w:rPr>
                <w:sz w:val="20"/>
                <w:szCs w:val="20"/>
                <w:lang w:val="fr-CD"/>
              </w:rPr>
              <w:t>Activité 3.11.1 : Evaluer et publier des données de déforestation et de dégradation des forêts.</w:t>
            </w:r>
          </w:p>
        </w:tc>
        <w:tc>
          <w:tcPr>
            <w:tcW w:w="6693" w:type="dxa"/>
          </w:tcPr>
          <w:p w14:paraId="5AD71D19" w14:textId="77777777" w:rsidR="00A6240B" w:rsidRPr="007C2141" w:rsidRDefault="00A6240B" w:rsidP="00A6240B">
            <w:pPr>
              <w:pStyle w:val="Paragraphedeliste"/>
              <w:numPr>
                <w:ilvl w:val="0"/>
                <w:numId w:val="32"/>
              </w:numPr>
              <w:rPr>
                <w:sz w:val="20"/>
                <w:szCs w:val="20"/>
                <w:lang w:val="fr-FR"/>
              </w:rPr>
            </w:pPr>
            <w:hyperlink r:id="rId169" w:history="1">
              <w:r w:rsidRPr="007C2141">
                <w:rPr>
                  <w:rStyle w:val="Lienhypertexte"/>
                  <w:sz w:val="20"/>
                  <w:szCs w:val="20"/>
                  <w:lang w:val="fr-FR"/>
                </w:rPr>
                <w:t>Arrêté ministériel instituant l'évaluation et la diffusion des données sur la déforestation</w:t>
              </w:r>
            </w:hyperlink>
          </w:p>
          <w:p w14:paraId="09841D6E" w14:textId="77777777" w:rsidR="00A6240B" w:rsidRPr="007C2141" w:rsidRDefault="00A6240B" w:rsidP="00A6240B">
            <w:pPr>
              <w:pStyle w:val="Paragraphedeliste"/>
              <w:numPr>
                <w:ilvl w:val="0"/>
                <w:numId w:val="32"/>
              </w:numPr>
              <w:rPr>
                <w:sz w:val="20"/>
                <w:szCs w:val="20"/>
                <w:lang w:val="fr-FR"/>
              </w:rPr>
            </w:pPr>
            <w:r w:rsidRPr="007C2141">
              <w:rPr>
                <w:sz w:val="20"/>
                <w:szCs w:val="20"/>
                <w:lang w:val="fr-FR"/>
              </w:rPr>
              <w:t xml:space="preserve">Retraite de production de données de dégradation et déforestation </w:t>
            </w:r>
          </w:p>
        </w:tc>
      </w:tr>
      <w:tr w:rsidR="00A6240B" w:rsidRPr="00E11FFB" w14:paraId="3808FE2E" w14:textId="77777777" w:rsidTr="00965B89">
        <w:trPr>
          <w:trHeight w:val="437"/>
        </w:trPr>
        <w:tc>
          <w:tcPr>
            <w:tcW w:w="3388" w:type="dxa"/>
          </w:tcPr>
          <w:p w14:paraId="6E3199BA" w14:textId="77777777" w:rsidR="00A6240B" w:rsidRPr="00E11FFB" w:rsidRDefault="00A6240B" w:rsidP="003A6DE1">
            <w:pPr>
              <w:rPr>
                <w:sz w:val="20"/>
                <w:szCs w:val="20"/>
                <w:lang w:val="fr-CD"/>
              </w:rPr>
            </w:pPr>
            <w:r w:rsidRPr="00E11FFB">
              <w:rPr>
                <w:sz w:val="20"/>
                <w:szCs w:val="20"/>
                <w:lang w:val="fr-CD"/>
              </w:rPr>
              <w:t>Activité 3.11.2 : Mettre à jour des données d'inventaire forestier national.</w:t>
            </w:r>
          </w:p>
        </w:tc>
        <w:tc>
          <w:tcPr>
            <w:tcW w:w="6693" w:type="dxa"/>
          </w:tcPr>
          <w:p w14:paraId="54A77A3B" w14:textId="4EF643E1" w:rsidR="00A6240B" w:rsidRPr="00103B6C" w:rsidRDefault="00103B6C" w:rsidP="00103B6C">
            <w:pPr>
              <w:pStyle w:val="Paragraphedeliste"/>
              <w:numPr>
                <w:ilvl w:val="0"/>
                <w:numId w:val="32"/>
              </w:numPr>
              <w:rPr>
                <w:sz w:val="20"/>
                <w:szCs w:val="20"/>
                <w:lang w:val="fr-FR"/>
              </w:rPr>
            </w:pPr>
            <w:r w:rsidRPr="007C2141">
              <w:rPr>
                <w:sz w:val="20"/>
                <w:szCs w:val="20"/>
                <w:lang w:val="fr-FR"/>
              </w:rPr>
              <w:t>Retraite de production de données de dégradation et déforestation</w:t>
            </w:r>
          </w:p>
        </w:tc>
      </w:tr>
      <w:tr w:rsidR="00A6240B" w:rsidRPr="00E11FFB" w14:paraId="2085AAAD" w14:textId="77777777" w:rsidTr="00965B89">
        <w:trPr>
          <w:trHeight w:val="437"/>
        </w:trPr>
        <w:tc>
          <w:tcPr>
            <w:tcW w:w="3388" w:type="dxa"/>
          </w:tcPr>
          <w:p w14:paraId="4C0BEEE5" w14:textId="77777777" w:rsidR="00A6240B" w:rsidRPr="00E11FFB" w:rsidRDefault="00A6240B" w:rsidP="003A6DE1">
            <w:pPr>
              <w:rPr>
                <w:sz w:val="20"/>
                <w:szCs w:val="20"/>
                <w:lang w:val="fr-CD"/>
              </w:rPr>
            </w:pPr>
            <w:r w:rsidRPr="00E11FFB">
              <w:rPr>
                <w:sz w:val="20"/>
                <w:szCs w:val="20"/>
                <w:lang w:val="fr-CD"/>
              </w:rPr>
              <w:t>Activité 3.12.1 : Actualiser et soumettre les rapports biennaux à la CCNUCC.</w:t>
            </w:r>
          </w:p>
        </w:tc>
        <w:tc>
          <w:tcPr>
            <w:tcW w:w="6693" w:type="dxa"/>
          </w:tcPr>
          <w:p w14:paraId="00D8AC46" w14:textId="77777777" w:rsidR="00A6240B" w:rsidRPr="007C2141" w:rsidRDefault="00A6240B" w:rsidP="00A6240B">
            <w:pPr>
              <w:pStyle w:val="Paragraphedeliste"/>
              <w:numPr>
                <w:ilvl w:val="0"/>
                <w:numId w:val="32"/>
              </w:numPr>
              <w:rPr>
                <w:sz w:val="20"/>
                <w:szCs w:val="20"/>
                <w:lang w:val="fr-FR"/>
              </w:rPr>
            </w:pPr>
            <w:hyperlink r:id="rId170" w:history="1">
              <w:r w:rsidRPr="007C2141">
                <w:rPr>
                  <w:rStyle w:val="Lienhypertexte"/>
                  <w:sz w:val="20"/>
                  <w:szCs w:val="20"/>
                  <w:lang w:val="fr-FR"/>
                </w:rPr>
                <w:t>TdRs Examen et de validation du rapport d’actualisation du profil des GES</w:t>
              </w:r>
            </w:hyperlink>
          </w:p>
          <w:p w14:paraId="1355AE2F" w14:textId="77777777" w:rsidR="00A6240B" w:rsidRPr="007C2141" w:rsidRDefault="00A6240B" w:rsidP="00A6240B">
            <w:pPr>
              <w:pStyle w:val="Paragraphedeliste"/>
              <w:numPr>
                <w:ilvl w:val="0"/>
                <w:numId w:val="32"/>
              </w:numPr>
              <w:rPr>
                <w:sz w:val="20"/>
                <w:szCs w:val="20"/>
                <w:lang w:val="fr-FR"/>
              </w:rPr>
            </w:pPr>
            <w:hyperlink r:id="rId171" w:history="1">
              <w:r w:rsidRPr="007C2141">
                <w:rPr>
                  <w:rStyle w:val="Lienhypertexte"/>
                  <w:sz w:val="20"/>
                  <w:szCs w:val="20"/>
                  <w:lang w:val="fr-FR"/>
                </w:rPr>
                <w:t>Atelier de validation de rapports biennaux</w:t>
              </w:r>
            </w:hyperlink>
            <w:r w:rsidRPr="007C2141">
              <w:rPr>
                <w:sz w:val="20"/>
                <w:szCs w:val="20"/>
                <w:lang w:val="fr-FR"/>
              </w:rPr>
              <w:t xml:space="preserve"> </w:t>
            </w:r>
          </w:p>
          <w:p w14:paraId="5907EFC1" w14:textId="77777777" w:rsidR="00A6240B" w:rsidRPr="00E11FFB" w:rsidRDefault="00A6240B" w:rsidP="00A6240B">
            <w:pPr>
              <w:pStyle w:val="Paragraphedeliste"/>
              <w:numPr>
                <w:ilvl w:val="0"/>
                <w:numId w:val="32"/>
              </w:numPr>
              <w:rPr>
                <w:sz w:val="20"/>
                <w:szCs w:val="20"/>
              </w:rPr>
            </w:pPr>
            <w:r w:rsidRPr="00103B6C">
              <w:rPr>
                <w:sz w:val="20"/>
                <w:szCs w:val="20"/>
              </w:rPr>
              <w:t>Draft du rapport biennaux</w:t>
            </w:r>
          </w:p>
        </w:tc>
      </w:tr>
      <w:tr w:rsidR="00A6240B" w:rsidRPr="00E11FFB" w14:paraId="44612891" w14:textId="77777777" w:rsidTr="00965B89">
        <w:trPr>
          <w:trHeight w:val="437"/>
        </w:trPr>
        <w:tc>
          <w:tcPr>
            <w:tcW w:w="3388" w:type="dxa"/>
          </w:tcPr>
          <w:p w14:paraId="42F16BB1" w14:textId="77777777" w:rsidR="00A6240B" w:rsidRPr="00E11FFB" w:rsidRDefault="00A6240B" w:rsidP="003A6DE1">
            <w:pPr>
              <w:rPr>
                <w:sz w:val="20"/>
                <w:szCs w:val="20"/>
                <w:lang w:val="fr-CD"/>
              </w:rPr>
            </w:pPr>
            <w:r w:rsidRPr="00E11FFB">
              <w:rPr>
                <w:sz w:val="20"/>
                <w:szCs w:val="20"/>
                <w:lang w:val="fr-CD"/>
              </w:rPr>
              <w:t>Activité 3.13.1 : Appuyer le CCNF.</w:t>
            </w:r>
          </w:p>
        </w:tc>
        <w:tc>
          <w:tcPr>
            <w:tcW w:w="6693" w:type="dxa"/>
          </w:tcPr>
          <w:p w14:paraId="42BD2BA9" w14:textId="77777777" w:rsidR="00A6240B" w:rsidRPr="007C2141" w:rsidRDefault="00A6240B" w:rsidP="00A6240B">
            <w:pPr>
              <w:pStyle w:val="Paragraphedeliste"/>
              <w:numPr>
                <w:ilvl w:val="0"/>
                <w:numId w:val="32"/>
              </w:numPr>
              <w:rPr>
                <w:sz w:val="20"/>
                <w:szCs w:val="20"/>
                <w:lang w:val="fr-FR"/>
              </w:rPr>
            </w:pPr>
            <w:hyperlink r:id="rId172" w:history="1">
              <w:r w:rsidRPr="007C2141">
                <w:rPr>
                  <w:rStyle w:val="Lienhypertexte"/>
                  <w:sz w:val="20"/>
                  <w:szCs w:val="20"/>
                  <w:lang w:val="fr-FR"/>
                </w:rPr>
                <w:t>Convocation de la session extraordinaire du CCNF sur le code forestier</w:t>
              </w:r>
            </w:hyperlink>
            <w:r w:rsidRPr="007C2141">
              <w:rPr>
                <w:sz w:val="20"/>
                <w:szCs w:val="20"/>
                <w:lang w:val="fr-FR"/>
              </w:rPr>
              <w:t xml:space="preserve"> </w:t>
            </w:r>
          </w:p>
          <w:p w14:paraId="07DBDB65" w14:textId="77777777" w:rsidR="00A6240B" w:rsidRPr="007C2141" w:rsidRDefault="00A6240B" w:rsidP="00A6240B">
            <w:pPr>
              <w:pStyle w:val="Paragraphedeliste"/>
              <w:numPr>
                <w:ilvl w:val="0"/>
                <w:numId w:val="32"/>
              </w:numPr>
              <w:rPr>
                <w:sz w:val="20"/>
                <w:szCs w:val="20"/>
                <w:lang w:val="fr-FR"/>
              </w:rPr>
            </w:pPr>
            <w:hyperlink r:id="rId173" w:history="1">
              <w:r w:rsidRPr="007C2141">
                <w:rPr>
                  <w:rStyle w:val="Lienhypertexte"/>
                  <w:sz w:val="20"/>
                  <w:szCs w:val="20"/>
                  <w:lang w:val="fr-FR"/>
                </w:rPr>
                <w:t>Liste de présence des participants au CCNF extraordinaire</w:t>
              </w:r>
            </w:hyperlink>
          </w:p>
          <w:p w14:paraId="6E40BB5F" w14:textId="30C72467" w:rsidR="00116CA1" w:rsidRPr="007C2141" w:rsidRDefault="00116CA1" w:rsidP="00A6240B">
            <w:pPr>
              <w:pStyle w:val="Paragraphedeliste"/>
              <w:numPr>
                <w:ilvl w:val="0"/>
                <w:numId w:val="32"/>
              </w:numPr>
              <w:rPr>
                <w:sz w:val="20"/>
                <w:szCs w:val="20"/>
                <w:lang w:val="fr-FR"/>
              </w:rPr>
            </w:pPr>
            <w:hyperlink r:id="rId174" w:history="1">
              <w:r w:rsidRPr="00960A1A">
                <w:rPr>
                  <w:rStyle w:val="Lienhypertexte"/>
                  <w:sz w:val="20"/>
                  <w:szCs w:val="20"/>
                  <w:lang w:val="fr-FR"/>
                </w:rPr>
                <w:t>Rapport de la réunion CCNF</w:t>
              </w:r>
            </w:hyperlink>
          </w:p>
        </w:tc>
      </w:tr>
      <w:tr w:rsidR="00A6240B" w:rsidRPr="00E11FFB" w14:paraId="15D04F8D" w14:textId="77777777" w:rsidTr="00965B89">
        <w:trPr>
          <w:trHeight w:val="437"/>
        </w:trPr>
        <w:tc>
          <w:tcPr>
            <w:tcW w:w="3388" w:type="dxa"/>
          </w:tcPr>
          <w:p w14:paraId="5E5E22A8" w14:textId="77777777" w:rsidR="00A6240B" w:rsidRPr="00E11FFB" w:rsidRDefault="00A6240B" w:rsidP="003A6DE1">
            <w:pPr>
              <w:rPr>
                <w:sz w:val="20"/>
                <w:szCs w:val="20"/>
                <w:lang w:val="fr-CD"/>
              </w:rPr>
            </w:pPr>
            <w:r w:rsidRPr="00E11FFB">
              <w:rPr>
                <w:sz w:val="20"/>
                <w:szCs w:val="20"/>
                <w:lang w:val="fr-CD"/>
              </w:rPr>
              <w:t>Activité 3.14.1 : Mettre à jour le NERF de la RDC.</w:t>
            </w:r>
          </w:p>
        </w:tc>
        <w:tc>
          <w:tcPr>
            <w:tcW w:w="6693" w:type="dxa"/>
          </w:tcPr>
          <w:p w14:paraId="71DA71E5" w14:textId="49275F69" w:rsidR="00BC68E9" w:rsidRPr="00BC68E9" w:rsidRDefault="00BC68E9" w:rsidP="00103B6C">
            <w:pPr>
              <w:pStyle w:val="Paragraphedeliste"/>
              <w:numPr>
                <w:ilvl w:val="0"/>
                <w:numId w:val="32"/>
              </w:numPr>
              <w:rPr>
                <w:sz w:val="20"/>
                <w:szCs w:val="20"/>
                <w:lang w:val="fr-FR"/>
              </w:rPr>
            </w:pPr>
            <w:hyperlink r:id="rId175" w:history="1">
              <w:r w:rsidRPr="00BC68E9">
                <w:rPr>
                  <w:rStyle w:val="Lienhypertexte"/>
                  <w:sz w:val="20"/>
                  <w:szCs w:val="20"/>
                  <w:lang w:val="fr-FR"/>
                </w:rPr>
                <w:t>Equipe d’expert de la révision NERF</w:t>
              </w:r>
            </w:hyperlink>
          </w:p>
          <w:p w14:paraId="43619C19" w14:textId="0D257A88" w:rsidR="00A6240B" w:rsidRPr="00717CE2" w:rsidRDefault="00103B6C" w:rsidP="00103B6C">
            <w:pPr>
              <w:pStyle w:val="Paragraphedeliste"/>
              <w:numPr>
                <w:ilvl w:val="0"/>
                <w:numId w:val="32"/>
              </w:numPr>
              <w:rPr>
                <w:sz w:val="20"/>
                <w:szCs w:val="20"/>
                <w:lang w:val="fr-FR"/>
              </w:rPr>
            </w:pPr>
            <w:hyperlink r:id="rId176" w:history="1">
              <w:r w:rsidRPr="00103B6C">
                <w:rPr>
                  <w:rStyle w:val="Lienhypertexte"/>
                  <w:sz w:val="20"/>
                  <w:szCs w:val="20"/>
                  <w:lang w:val="fr-FR"/>
                </w:rPr>
                <w:t>Atelier sur les travaux préparatoires à la révision NERF</w:t>
              </w:r>
            </w:hyperlink>
          </w:p>
          <w:p w14:paraId="5C647B05" w14:textId="534ACD07" w:rsidR="00717CE2" w:rsidRPr="007C2141" w:rsidRDefault="00717CE2" w:rsidP="00103B6C">
            <w:pPr>
              <w:pStyle w:val="Paragraphedeliste"/>
              <w:numPr>
                <w:ilvl w:val="0"/>
                <w:numId w:val="32"/>
              </w:numPr>
              <w:rPr>
                <w:sz w:val="20"/>
                <w:szCs w:val="20"/>
                <w:lang w:val="fr-FR"/>
              </w:rPr>
            </w:pPr>
            <w:hyperlink r:id="rId177" w:history="1">
              <w:r w:rsidRPr="00717CE2">
                <w:rPr>
                  <w:rStyle w:val="Lienhypertexte"/>
                  <w:sz w:val="20"/>
                  <w:szCs w:val="20"/>
                </w:rPr>
                <w:t>Feuille de route NERF</w:t>
              </w:r>
            </w:hyperlink>
          </w:p>
        </w:tc>
      </w:tr>
      <w:tr w:rsidR="00A6240B" w:rsidRPr="00E11FFB" w14:paraId="01C10DD3" w14:textId="77777777" w:rsidTr="00965B89">
        <w:trPr>
          <w:trHeight w:val="437"/>
        </w:trPr>
        <w:tc>
          <w:tcPr>
            <w:tcW w:w="3388" w:type="dxa"/>
          </w:tcPr>
          <w:p w14:paraId="5AA7AEB8" w14:textId="2548704D" w:rsidR="00A6240B" w:rsidRPr="00E11FFB" w:rsidRDefault="00A6240B" w:rsidP="003A6DE1">
            <w:pPr>
              <w:rPr>
                <w:sz w:val="20"/>
                <w:szCs w:val="20"/>
                <w:lang w:val="fr-CD"/>
              </w:rPr>
            </w:pPr>
            <w:r w:rsidRPr="00E11FFB">
              <w:rPr>
                <w:sz w:val="20"/>
                <w:szCs w:val="20"/>
                <w:lang w:val="fr-CD"/>
              </w:rPr>
              <w:t>Activité 3.15.1 : Appuyer la Task-Force de pilotage de l'atteinte du processus de réalisation des jalons de LOI.</w:t>
            </w:r>
          </w:p>
        </w:tc>
        <w:tc>
          <w:tcPr>
            <w:tcW w:w="6693" w:type="dxa"/>
          </w:tcPr>
          <w:p w14:paraId="6DE6B99C" w14:textId="77777777" w:rsidR="00A6240B" w:rsidRPr="007C2141" w:rsidRDefault="00A6240B" w:rsidP="00A6240B">
            <w:pPr>
              <w:pStyle w:val="Paragraphedeliste"/>
              <w:numPr>
                <w:ilvl w:val="0"/>
                <w:numId w:val="32"/>
              </w:numPr>
              <w:rPr>
                <w:sz w:val="20"/>
                <w:szCs w:val="20"/>
                <w:lang w:val="fr-FR"/>
              </w:rPr>
            </w:pPr>
            <w:hyperlink r:id="rId178" w:history="1">
              <w:r w:rsidRPr="007C2141">
                <w:rPr>
                  <w:rStyle w:val="Lienhypertexte"/>
                  <w:sz w:val="20"/>
                  <w:szCs w:val="20"/>
                  <w:lang w:val="fr-FR"/>
                </w:rPr>
                <w:t>Rapports individuels des membres de la task-force</w:t>
              </w:r>
            </w:hyperlink>
          </w:p>
          <w:p w14:paraId="476B7DAC" w14:textId="77777777" w:rsidR="00A6240B" w:rsidRPr="00E11FFB" w:rsidRDefault="00A6240B" w:rsidP="003A6DE1">
            <w:pPr>
              <w:rPr>
                <w:sz w:val="20"/>
                <w:szCs w:val="20"/>
                <w:highlight w:val="yellow"/>
                <w:lang w:val="fr-CD"/>
              </w:rPr>
            </w:pPr>
          </w:p>
        </w:tc>
      </w:tr>
      <w:tr w:rsidR="00A6240B" w:rsidRPr="00E11FFB" w14:paraId="66B242E5" w14:textId="77777777" w:rsidTr="00965B89">
        <w:trPr>
          <w:trHeight w:val="437"/>
        </w:trPr>
        <w:tc>
          <w:tcPr>
            <w:tcW w:w="3388" w:type="dxa"/>
          </w:tcPr>
          <w:p w14:paraId="663BFF10" w14:textId="77777777" w:rsidR="00A6240B" w:rsidRPr="00E11FFB" w:rsidRDefault="00A6240B" w:rsidP="003A6DE1">
            <w:pPr>
              <w:rPr>
                <w:sz w:val="20"/>
                <w:szCs w:val="20"/>
                <w:lang w:val="fr-CD"/>
              </w:rPr>
            </w:pPr>
            <w:r w:rsidRPr="00E11FFB">
              <w:rPr>
                <w:sz w:val="20"/>
                <w:szCs w:val="20"/>
                <w:lang w:val="fr-CD"/>
              </w:rPr>
              <w:t>Activité 3.15.2 : Appuyer le fonctionnement et la logistique de la Task-Force d'appui à la réalisation des jalons du secteur Foret.</w:t>
            </w:r>
          </w:p>
        </w:tc>
        <w:tc>
          <w:tcPr>
            <w:tcW w:w="6693" w:type="dxa"/>
          </w:tcPr>
          <w:p w14:paraId="26B4F77C" w14:textId="77777777" w:rsidR="00A6240B" w:rsidRPr="007C2141" w:rsidRDefault="00A6240B" w:rsidP="00A6240B">
            <w:pPr>
              <w:pStyle w:val="Paragraphedeliste"/>
              <w:numPr>
                <w:ilvl w:val="0"/>
                <w:numId w:val="32"/>
              </w:numPr>
              <w:rPr>
                <w:sz w:val="20"/>
                <w:szCs w:val="20"/>
                <w:lang w:val="fr-FR"/>
              </w:rPr>
            </w:pPr>
            <w:hyperlink r:id="rId179" w:history="1">
              <w:r w:rsidRPr="007C2141">
                <w:rPr>
                  <w:rStyle w:val="Lienhypertexte"/>
                  <w:sz w:val="20"/>
                  <w:szCs w:val="20"/>
                  <w:lang w:val="fr-FR"/>
                </w:rPr>
                <w:t>Rapport des réunions de la task-force</w:t>
              </w:r>
            </w:hyperlink>
            <w:r w:rsidRPr="007C2141">
              <w:rPr>
                <w:sz w:val="20"/>
                <w:szCs w:val="20"/>
                <w:lang w:val="fr-FR"/>
              </w:rPr>
              <w:t xml:space="preserve"> </w:t>
            </w:r>
          </w:p>
          <w:p w14:paraId="07872565" w14:textId="77777777" w:rsidR="00A6240B" w:rsidRPr="00E11FFB" w:rsidRDefault="00A6240B" w:rsidP="003A6DE1">
            <w:pPr>
              <w:rPr>
                <w:sz w:val="20"/>
                <w:szCs w:val="20"/>
                <w:highlight w:val="yellow"/>
                <w:lang w:val="fr-CD"/>
              </w:rPr>
            </w:pPr>
          </w:p>
        </w:tc>
      </w:tr>
      <w:tr w:rsidR="00A6240B" w:rsidRPr="00E11FFB" w14:paraId="3B92C1D9" w14:textId="77777777" w:rsidTr="00965B89">
        <w:trPr>
          <w:trHeight w:val="437"/>
        </w:trPr>
        <w:tc>
          <w:tcPr>
            <w:tcW w:w="3388" w:type="dxa"/>
          </w:tcPr>
          <w:p w14:paraId="5FBD35AA" w14:textId="77777777" w:rsidR="00A6240B" w:rsidRPr="00E11FFB" w:rsidRDefault="00A6240B" w:rsidP="003A6DE1">
            <w:pPr>
              <w:rPr>
                <w:sz w:val="20"/>
                <w:szCs w:val="20"/>
                <w:lang w:val="fr-CD"/>
              </w:rPr>
            </w:pPr>
            <w:r w:rsidRPr="00E11FFB">
              <w:rPr>
                <w:sz w:val="20"/>
                <w:szCs w:val="20"/>
                <w:lang w:val="fr-CD"/>
              </w:rPr>
              <w:t>Activité 3.15.3 : Appuyer la Direction des nouvelles technologies de l'information et de la communication (DANTIC) du MEDD.</w:t>
            </w:r>
          </w:p>
        </w:tc>
        <w:tc>
          <w:tcPr>
            <w:tcW w:w="6693" w:type="dxa"/>
          </w:tcPr>
          <w:p w14:paraId="0FB55BE3" w14:textId="131D8C55" w:rsidR="00A6240B" w:rsidRPr="007C2141" w:rsidRDefault="00A6240B" w:rsidP="003A6DE1">
            <w:pPr>
              <w:pStyle w:val="Paragraphedeliste"/>
              <w:numPr>
                <w:ilvl w:val="0"/>
                <w:numId w:val="32"/>
              </w:numPr>
              <w:rPr>
                <w:sz w:val="20"/>
                <w:szCs w:val="20"/>
                <w:lang w:val="fr-FR"/>
              </w:rPr>
            </w:pPr>
            <w:hyperlink r:id="rId180" w:history="1">
              <w:r w:rsidRPr="007C2141">
                <w:rPr>
                  <w:rStyle w:val="Lienhypertexte"/>
                  <w:sz w:val="20"/>
                  <w:szCs w:val="20"/>
                  <w:lang w:val="fr-FR"/>
                </w:rPr>
                <w:t>Rapport de structuration du site de MEDD-NEC et activité des membres DANTIC</w:t>
              </w:r>
            </w:hyperlink>
          </w:p>
        </w:tc>
      </w:tr>
    </w:tbl>
    <w:p w14:paraId="08236605" w14:textId="77777777" w:rsidR="00A6240B" w:rsidRPr="00E11FFB" w:rsidRDefault="00A6240B" w:rsidP="00A6240B">
      <w:pPr>
        <w:rPr>
          <w:b/>
          <w:bCs/>
          <w:sz w:val="28"/>
          <w:szCs w:val="28"/>
          <w:u w:val="single"/>
        </w:rPr>
      </w:pPr>
    </w:p>
    <w:p w14:paraId="4A974C8A" w14:textId="3291DA00" w:rsidR="004E5F35" w:rsidRDefault="00570061" w:rsidP="00A6240B">
      <w:pPr>
        <w:rPr>
          <w:b/>
          <w:bCs/>
          <w:sz w:val="28"/>
          <w:szCs w:val="28"/>
          <w:u w:val="single"/>
        </w:rPr>
      </w:pPr>
      <w:r>
        <w:rPr>
          <w:b/>
          <w:bCs/>
          <w:sz w:val="28"/>
          <w:szCs w:val="28"/>
          <w:u w:val="single"/>
        </w:rPr>
        <w:t xml:space="preserve">11.4. Composante 4 : </w:t>
      </w:r>
      <w:r w:rsidR="00A6240B" w:rsidRPr="00E11FFB">
        <w:rPr>
          <w:b/>
          <w:bCs/>
          <w:sz w:val="28"/>
          <w:szCs w:val="28"/>
          <w:u w:val="single"/>
        </w:rPr>
        <w:t xml:space="preserve">Démographie </w:t>
      </w:r>
    </w:p>
    <w:p w14:paraId="7E517FD6" w14:textId="77777777" w:rsidR="00570061" w:rsidRPr="00E11FFB" w:rsidRDefault="00570061" w:rsidP="00A6240B">
      <w:pPr>
        <w:rPr>
          <w:b/>
          <w:bCs/>
          <w:sz w:val="28"/>
          <w:szCs w:val="28"/>
          <w:u w:val="single"/>
        </w:rPr>
      </w:pPr>
    </w:p>
    <w:tbl>
      <w:tblPr>
        <w:tblStyle w:val="Grilledutableau"/>
        <w:tblW w:w="9965" w:type="dxa"/>
        <w:tblLook w:val="04A0" w:firstRow="1" w:lastRow="0" w:firstColumn="1" w:lastColumn="0" w:noHBand="0" w:noVBand="1"/>
      </w:tblPr>
      <w:tblGrid>
        <w:gridCol w:w="3349"/>
        <w:gridCol w:w="6616"/>
      </w:tblGrid>
      <w:tr w:rsidR="00A6240B" w:rsidRPr="00E11FFB" w14:paraId="7BFB587A" w14:textId="77777777" w:rsidTr="00617731">
        <w:trPr>
          <w:trHeight w:val="176"/>
          <w:tblHeader/>
        </w:trPr>
        <w:tc>
          <w:tcPr>
            <w:tcW w:w="3349" w:type="dxa"/>
            <w:shd w:val="clear" w:color="auto" w:fill="FDE9D9" w:themeFill="accent6" w:themeFillTint="33"/>
          </w:tcPr>
          <w:p w14:paraId="0FD51886" w14:textId="77777777" w:rsidR="00A6240B" w:rsidRPr="00E11FFB" w:rsidRDefault="00A6240B" w:rsidP="003A6DE1">
            <w:pPr>
              <w:rPr>
                <w:b/>
                <w:bCs/>
                <w:sz w:val="18"/>
                <w:szCs w:val="18"/>
                <w:u w:val="single"/>
                <w:lang w:val="fr-CD"/>
              </w:rPr>
            </w:pPr>
            <w:r w:rsidRPr="00E11FFB">
              <w:rPr>
                <w:b/>
                <w:bCs/>
                <w:sz w:val="18"/>
                <w:szCs w:val="18"/>
                <w:u w:val="single"/>
                <w:lang w:val="fr-CD"/>
              </w:rPr>
              <w:t>Activité</w:t>
            </w:r>
          </w:p>
        </w:tc>
        <w:tc>
          <w:tcPr>
            <w:tcW w:w="6616" w:type="dxa"/>
            <w:shd w:val="clear" w:color="auto" w:fill="FDE9D9" w:themeFill="accent6" w:themeFillTint="33"/>
          </w:tcPr>
          <w:p w14:paraId="7D1A7B5B" w14:textId="77777777" w:rsidR="00A6240B" w:rsidRPr="00E11FFB" w:rsidRDefault="00A6240B" w:rsidP="003A6DE1">
            <w:pPr>
              <w:rPr>
                <w:b/>
                <w:bCs/>
                <w:sz w:val="18"/>
                <w:szCs w:val="18"/>
                <w:lang w:val="fr-CD"/>
              </w:rPr>
            </w:pPr>
            <w:r w:rsidRPr="00E11FFB">
              <w:rPr>
                <w:b/>
                <w:bCs/>
                <w:sz w:val="18"/>
                <w:szCs w:val="18"/>
                <w:lang w:val="fr-CD"/>
              </w:rPr>
              <w:t xml:space="preserve">Listes de livrables </w:t>
            </w:r>
          </w:p>
        </w:tc>
      </w:tr>
      <w:tr w:rsidR="00A6240B" w:rsidRPr="00E11FFB" w14:paraId="43832A31" w14:textId="77777777" w:rsidTr="00617731">
        <w:trPr>
          <w:trHeight w:val="452"/>
        </w:trPr>
        <w:tc>
          <w:tcPr>
            <w:tcW w:w="3349" w:type="dxa"/>
          </w:tcPr>
          <w:p w14:paraId="747E3B6D" w14:textId="77777777" w:rsidR="00A6240B" w:rsidRPr="00E11FFB" w:rsidRDefault="00A6240B" w:rsidP="003A6DE1">
            <w:pPr>
              <w:rPr>
                <w:sz w:val="18"/>
                <w:szCs w:val="18"/>
                <w:lang w:val="fr-CD"/>
              </w:rPr>
            </w:pPr>
            <w:r w:rsidRPr="00E11FFB">
              <w:rPr>
                <w:sz w:val="18"/>
                <w:szCs w:val="18"/>
                <w:lang w:val="fr-CD"/>
              </w:rPr>
              <w:t>Activité 4.1.1 : Appuyer le Comité de Pilotage</w:t>
            </w:r>
          </w:p>
        </w:tc>
        <w:tc>
          <w:tcPr>
            <w:tcW w:w="6616" w:type="dxa"/>
          </w:tcPr>
          <w:p w14:paraId="29BAAF39" w14:textId="77777777" w:rsidR="00A6240B" w:rsidRPr="007C2141" w:rsidRDefault="00A6240B" w:rsidP="00A6240B">
            <w:pPr>
              <w:pStyle w:val="Paragraphedeliste"/>
              <w:numPr>
                <w:ilvl w:val="0"/>
                <w:numId w:val="32"/>
              </w:numPr>
              <w:rPr>
                <w:sz w:val="18"/>
                <w:szCs w:val="18"/>
                <w:lang w:val="fr-FR"/>
              </w:rPr>
            </w:pPr>
            <w:hyperlink r:id="rId181" w:history="1">
              <w:r w:rsidRPr="007C2141">
                <w:rPr>
                  <w:rStyle w:val="Lienhypertexte"/>
                  <w:sz w:val="18"/>
                  <w:szCs w:val="18"/>
                  <w:lang w:val="fr-FR"/>
                </w:rPr>
                <w:t>Rapport de la réunion du comité de pilotage CONAPO</w:t>
              </w:r>
            </w:hyperlink>
          </w:p>
          <w:p w14:paraId="79E0E376" w14:textId="77777777" w:rsidR="00A6240B" w:rsidRPr="007C2141" w:rsidRDefault="00A6240B" w:rsidP="00A6240B">
            <w:pPr>
              <w:pStyle w:val="Paragraphedeliste"/>
              <w:numPr>
                <w:ilvl w:val="0"/>
                <w:numId w:val="32"/>
              </w:numPr>
              <w:rPr>
                <w:sz w:val="18"/>
                <w:szCs w:val="18"/>
                <w:lang w:val="fr-FR"/>
              </w:rPr>
            </w:pPr>
            <w:hyperlink r:id="rId182" w:history="1">
              <w:r w:rsidRPr="007C2141">
                <w:rPr>
                  <w:rStyle w:val="Lienhypertexte"/>
                  <w:sz w:val="18"/>
                  <w:szCs w:val="18"/>
                  <w:lang w:val="fr-FR"/>
                </w:rPr>
                <w:t>Liste de présence de COPIL CONAPO</w:t>
              </w:r>
            </w:hyperlink>
          </w:p>
        </w:tc>
      </w:tr>
      <w:tr w:rsidR="00A6240B" w:rsidRPr="00E11FFB" w14:paraId="36420883" w14:textId="77777777" w:rsidTr="00617731">
        <w:trPr>
          <w:trHeight w:val="346"/>
        </w:trPr>
        <w:tc>
          <w:tcPr>
            <w:tcW w:w="3349" w:type="dxa"/>
          </w:tcPr>
          <w:p w14:paraId="19F66B40" w14:textId="77777777" w:rsidR="00A6240B" w:rsidRPr="00E11FFB" w:rsidRDefault="00A6240B" w:rsidP="003A6DE1">
            <w:pPr>
              <w:rPr>
                <w:sz w:val="18"/>
                <w:szCs w:val="18"/>
                <w:lang w:val="fr-CD"/>
              </w:rPr>
            </w:pPr>
            <w:r w:rsidRPr="00E11FFB">
              <w:rPr>
                <w:sz w:val="18"/>
                <w:szCs w:val="18"/>
                <w:lang w:val="fr-CD"/>
              </w:rPr>
              <w:t>Activité 4.1.2 : Appuyer le Comité Technique Interministériel de Population.</w:t>
            </w:r>
          </w:p>
          <w:p w14:paraId="1D7D3ABD" w14:textId="77777777" w:rsidR="00A6240B" w:rsidRPr="00E11FFB" w:rsidRDefault="00A6240B" w:rsidP="003A6DE1">
            <w:pPr>
              <w:rPr>
                <w:b/>
                <w:bCs/>
                <w:sz w:val="18"/>
                <w:szCs w:val="18"/>
                <w:u w:val="single"/>
                <w:lang w:val="fr-CD"/>
              </w:rPr>
            </w:pPr>
          </w:p>
        </w:tc>
        <w:tc>
          <w:tcPr>
            <w:tcW w:w="6616" w:type="dxa"/>
          </w:tcPr>
          <w:p w14:paraId="684318E2" w14:textId="77777777" w:rsidR="00A6240B" w:rsidRPr="007C2141" w:rsidRDefault="00A6240B" w:rsidP="00A6240B">
            <w:pPr>
              <w:pStyle w:val="Paragraphedeliste"/>
              <w:numPr>
                <w:ilvl w:val="0"/>
                <w:numId w:val="32"/>
              </w:numPr>
              <w:rPr>
                <w:sz w:val="18"/>
                <w:szCs w:val="18"/>
                <w:lang w:val="fr-FR"/>
              </w:rPr>
            </w:pPr>
            <w:hyperlink r:id="rId183" w:history="1">
              <w:r w:rsidRPr="007C2141">
                <w:rPr>
                  <w:rStyle w:val="Lienhypertexte"/>
                  <w:sz w:val="18"/>
                  <w:szCs w:val="18"/>
                  <w:lang w:val="fr-FR"/>
                </w:rPr>
                <w:t>Rapport de la première réunion de CTIP et ses annexes</w:t>
              </w:r>
            </w:hyperlink>
          </w:p>
          <w:p w14:paraId="711E8717" w14:textId="77777777" w:rsidR="00A6240B" w:rsidRPr="007C2141" w:rsidRDefault="00A6240B" w:rsidP="00A6240B">
            <w:pPr>
              <w:pStyle w:val="Paragraphedeliste"/>
              <w:numPr>
                <w:ilvl w:val="0"/>
                <w:numId w:val="32"/>
              </w:numPr>
              <w:rPr>
                <w:sz w:val="18"/>
                <w:szCs w:val="18"/>
                <w:lang w:val="fr-FR"/>
              </w:rPr>
            </w:pPr>
            <w:hyperlink r:id="rId184" w:history="1">
              <w:r w:rsidRPr="007C2141">
                <w:rPr>
                  <w:rStyle w:val="Lienhypertexte"/>
                  <w:sz w:val="18"/>
                  <w:szCs w:val="18"/>
                  <w:lang w:val="fr-FR"/>
                </w:rPr>
                <w:t>Rapport de la deuxième réunion de CTIP</w:t>
              </w:r>
            </w:hyperlink>
          </w:p>
          <w:p w14:paraId="3B317A43" w14:textId="77777777" w:rsidR="00A6240B" w:rsidRPr="007C2141" w:rsidRDefault="00A6240B" w:rsidP="00A6240B">
            <w:pPr>
              <w:pStyle w:val="Paragraphedeliste"/>
              <w:numPr>
                <w:ilvl w:val="0"/>
                <w:numId w:val="32"/>
              </w:numPr>
              <w:rPr>
                <w:sz w:val="18"/>
                <w:szCs w:val="18"/>
                <w:lang w:val="fr-FR"/>
              </w:rPr>
            </w:pPr>
            <w:hyperlink r:id="rId185" w:history="1">
              <w:r w:rsidRPr="007C2141">
                <w:rPr>
                  <w:rStyle w:val="Lienhypertexte"/>
                  <w:sz w:val="18"/>
                  <w:szCs w:val="18"/>
                  <w:lang w:val="fr-FR"/>
                </w:rPr>
                <w:t>Liste de présence de la deuxième réunion CTIP</w:t>
              </w:r>
            </w:hyperlink>
          </w:p>
          <w:p w14:paraId="742C2E62" w14:textId="77777777" w:rsidR="00A6240B" w:rsidRPr="007C2141" w:rsidRDefault="00A6240B" w:rsidP="00A6240B">
            <w:pPr>
              <w:pStyle w:val="Paragraphedeliste"/>
              <w:numPr>
                <w:ilvl w:val="0"/>
                <w:numId w:val="32"/>
              </w:numPr>
              <w:rPr>
                <w:sz w:val="18"/>
                <w:szCs w:val="18"/>
                <w:lang w:val="fr-FR"/>
              </w:rPr>
            </w:pPr>
            <w:hyperlink r:id="rId186" w:history="1">
              <w:r w:rsidRPr="007C2141">
                <w:rPr>
                  <w:rStyle w:val="Lienhypertexte"/>
                  <w:sz w:val="18"/>
                  <w:szCs w:val="18"/>
                  <w:lang w:val="fr-FR"/>
                </w:rPr>
                <w:t>Ordre de mission de voyage d’immersion de deux experts du plan</w:t>
              </w:r>
            </w:hyperlink>
            <w:r w:rsidRPr="007C2141">
              <w:rPr>
                <w:sz w:val="18"/>
                <w:szCs w:val="18"/>
                <w:lang w:val="fr-FR"/>
              </w:rPr>
              <w:t xml:space="preserve"> </w:t>
            </w:r>
          </w:p>
          <w:p w14:paraId="5DFC61D5" w14:textId="77777777" w:rsidR="00A6240B" w:rsidRPr="00E11FFB" w:rsidRDefault="00A6240B" w:rsidP="00A6240B">
            <w:pPr>
              <w:pStyle w:val="Paragraphedeliste"/>
              <w:numPr>
                <w:ilvl w:val="0"/>
                <w:numId w:val="32"/>
              </w:numPr>
              <w:rPr>
                <w:sz w:val="18"/>
                <w:szCs w:val="18"/>
              </w:rPr>
            </w:pPr>
            <w:hyperlink r:id="rId187" w:history="1">
              <w:r w:rsidRPr="00E11FFB">
                <w:rPr>
                  <w:rStyle w:val="Lienhypertexte"/>
                  <w:sz w:val="18"/>
                  <w:szCs w:val="18"/>
                </w:rPr>
                <w:t>Rapport de mission d’immersion</w:t>
              </w:r>
            </w:hyperlink>
          </w:p>
        </w:tc>
      </w:tr>
      <w:tr w:rsidR="00A6240B" w:rsidRPr="00E11FFB" w14:paraId="4AE35169" w14:textId="77777777" w:rsidTr="00617731">
        <w:trPr>
          <w:trHeight w:val="346"/>
        </w:trPr>
        <w:tc>
          <w:tcPr>
            <w:tcW w:w="3349" w:type="dxa"/>
          </w:tcPr>
          <w:p w14:paraId="1E4D6528" w14:textId="77777777" w:rsidR="00A6240B" w:rsidRPr="00E11FFB" w:rsidRDefault="00A6240B" w:rsidP="003A6DE1">
            <w:pPr>
              <w:rPr>
                <w:sz w:val="18"/>
                <w:szCs w:val="18"/>
                <w:lang w:val="fr-CD"/>
              </w:rPr>
            </w:pPr>
            <w:r w:rsidRPr="00E11FFB">
              <w:rPr>
                <w:sz w:val="18"/>
                <w:szCs w:val="18"/>
                <w:lang w:val="fr-CD"/>
              </w:rPr>
              <w:t>Activité 4.1.3 : Appuyer le Secrétariat Permanent.</w:t>
            </w:r>
          </w:p>
        </w:tc>
        <w:tc>
          <w:tcPr>
            <w:tcW w:w="6616" w:type="dxa"/>
          </w:tcPr>
          <w:p w14:paraId="1A2E61A9" w14:textId="77777777" w:rsidR="00A6240B" w:rsidRPr="007C2141" w:rsidRDefault="00A6240B" w:rsidP="00A6240B">
            <w:pPr>
              <w:pStyle w:val="Paragraphedeliste"/>
              <w:numPr>
                <w:ilvl w:val="0"/>
                <w:numId w:val="32"/>
              </w:numPr>
              <w:rPr>
                <w:sz w:val="18"/>
                <w:szCs w:val="18"/>
                <w:lang w:val="fr-FR"/>
              </w:rPr>
            </w:pPr>
            <w:hyperlink r:id="rId188" w:history="1">
              <w:r w:rsidRPr="007C2141">
                <w:rPr>
                  <w:rStyle w:val="Lienhypertexte"/>
                  <w:sz w:val="18"/>
                  <w:szCs w:val="18"/>
                  <w:lang w:val="fr-FR"/>
                </w:rPr>
                <w:t>Rapport mensuel de secrétariat permanent 2025</w:t>
              </w:r>
            </w:hyperlink>
          </w:p>
          <w:p w14:paraId="006557BB" w14:textId="77777777" w:rsidR="00A6240B" w:rsidRPr="00E11FFB" w:rsidRDefault="00A6240B" w:rsidP="00A6240B">
            <w:pPr>
              <w:pStyle w:val="Paragraphedeliste"/>
              <w:numPr>
                <w:ilvl w:val="0"/>
                <w:numId w:val="32"/>
              </w:numPr>
              <w:rPr>
                <w:sz w:val="18"/>
                <w:szCs w:val="18"/>
              </w:rPr>
            </w:pPr>
            <w:hyperlink r:id="rId189" w:history="1">
              <w:r w:rsidRPr="00E11FFB">
                <w:rPr>
                  <w:rStyle w:val="Lienhypertexte"/>
                  <w:sz w:val="18"/>
                  <w:szCs w:val="18"/>
                </w:rPr>
                <w:t>Rapport d’acquisition matériels</w:t>
              </w:r>
            </w:hyperlink>
          </w:p>
        </w:tc>
      </w:tr>
      <w:tr w:rsidR="00A6240B" w:rsidRPr="00E11FFB" w14:paraId="556DE8E2" w14:textId="77777777" w:rsidTr="00617731">
        <w:trPr>
          <w:trHeight w:val="346"/>
        </w:trPr>
        <w:tc>
          <w:tcPr>
            <w:tcW w:w="3349" w:type="dxa"/>
          </w:tcPr>
          <w:p w14:paraId="0DB716FF" w14:textId="77777777" w:rsidR="00A6240B" w:rsidRPr="00E11FFB" w:rsidRDefault="00A6240B" w:rsidP="003A6DE1">
            <w:pPr>
              <w:rPr>
                <w:sz w:val="18"/>
                <w:szCs w:val="18"/>
                <w:lang w:val="fr-CD"/>
              </w:rPr>
            </w:pPr>
            <w:r w:rsidRPr="00E11FFB">
              <w:rPr>
                <w:sz w:val="18"/>
                <w:szCs w:val="18"/>
                <w:lang w:val="fr-CD"/>
              </w:rPr>
              <w:t>Activité 4.1.4 : Appuyer le CONAPO au niveau provincial (CPPO).</w:t>
            </w:r>
          </w:p>
          <w:p w14:paraId="43F9DB13" w14:textId="77777777" w:rsidR="00A6240B" w:rsidRPr="00E11FFB" w:rsidRDefault="00A6240B" w:rsidP="003A6DE1">
            <w:pPr>
              <w:rPr>
                <w:sz w:val="18"/>
                <w:szCs w:val="18"/>
                <w:lang w:val="fr-CD"/>
              </w:rPr>
            </w:pPr>
          </w:p>
        </w:tc>
        <w:tc>
          <w:tcPr>
            <w:tcW w:w="6616" w:type="dxa"/>
          </w:tcPr>
          <w:p w14:paraId="635648B5" w14:textId="77777777" w:rsidR="00A6240B" w:rsidRPr="007C2141" w:rsidRDefault="00A6240B" w:rsidP="00A6240B">
            <w:pPr>
              <w:pStyle w:val="Paragraphedeliste"/>
              <w:numPr>
                <w:ilvl w:val="0"/>
                <w:numId w:val="32"/>
              </w:numPr>
              <w:rPr>
                <w:sz w:val="18"/>
                <w:szCs w:val="18"/>
                <w:lang w:val="fr-FR"/>
              </w:rPr>
            </w:pPr>
            <w:hyperlink r:id="rId190" w:history="1">
              <w:r w:rsidRPr="007C2141">
                <w:rPr>
                  <w:rStyle w:val="Lienhypertexte"/>
                  <w:sz w:val="18"/>
                  <w:szCs w:val="18"/>
                  <w:lang w:val="fr-FR"/>
                </w:rPr>
                <w:t>Lettre de ministre de Plan au vice-premier ministre de l’intérieur sur la mise en place de CPPO et projet d’arrêté CPPO</w:t>
              </w:r>
            </w:hyperlink>
          </w:p>
          <w:p w14:paraId="3EE20D82" w14:textId="77777777" w:rsidR="00A6240B" w:rsidRPr="007C2141" w:rsidRDefault="00A6240B" w:rsidP="00A6240B">
            <w:pPr>
              <w:pStyle w:val="Paragraphedeliste"/>
              <w:numPr>
                <w:ilvl w:val="0"/>
                <w:numId w:val="32"/>
              </w:numPr>
              <w:rPr>
                <w:sz w:val="18"/>
                <w:szCs w:val="18"/>
                <w:lang w:val="fr-FR"/>
              </w:rPr>
            </w:pPr>
            <w:hyperlink r:id="rId191" w:history="1">
              <w:r w:rsidRPr="007C2141">
                <w:rPr>
                  <w:rStyle w:val="Lienhypertexte"/>
                  <w:sz w:val="18"/>
                  <w:szCs w:val="18"/>
                  <w:lang w:val="fr-FR"/>
                </w:rPr>
                <w:t>Note d’instruction de gouverneurs par le vice premier ministre de l’intérieur</w:t>
              </w:r>
            </w:hyperlink>
          </w:p>
          <w:p w14:paraId="00303BAC" w14:textId="5A0BEE60" w:rsidR="00BE5822" w:rsidRPr="00E11FFB" w:rsidRDefault="00BE5822" w:rsidP="00A6240B">
            <w:pPr>
              <w:pStyle w:val="Paragraphedeliste"/>
              <w:numPr>
                <w:ilvl w:val="0"/>
                <w:numId w:val="32"/>
              </w:numPr>
              <w:rPr>
                <w:sz w:val="18"/>
                <w:szCs w:val="18"/>
              </w:rPr>
            </w:pPr>
            <w:hyperlink r:id="rId192" w:history="1">
              <w:r w:rsidRPr="00BE5822">
                <w:rPr>
                  <w:rStyle w:val="Lienhypertexte"/>
                  <w:sz w:val="18"/>
                  <w:szCs w:val="18"/>
                </w:rPr>
                <w:t>Ordre de missions</w:t>
              </w:r>
            </w:hyperlink>
          </w:p>
        </w:tc>
      </w:tr>
      <w:tr w:rsidR="00A6240B" w:rsidRPr="00E11FFB" w14:paraId="0C033149" w14:textId="77777777" w:rsidTr="00617731">
        <w:trPr>
          <w:trHeight w:val="346"/>
        </w:trPr>
        <w:tc>
          <w:tcPr>
            <w:tcW w:w="3349" w:type="dxa"/>
          </w:tcPr>
          <w:p w14:paraId="748C172B" w14:textId="77777777" w:rsidR="00A6240B" w:rsidRPr="00E11FFB" w:rsidRDefault="00A6240B" w:rsidP="003A6DE1">
            <w:pPr>
              <w:rPr>
                <w:sz w:val="18"/>
                <w:szCs w:val="18"/>
                <w:lang w:val="fr-CD"/>
              </w:rPr>
            </w:pPr>
            <w:r w:rsidRPr="00E11FFB">
              <w:rPr>
                <w:sz w:val="18"/>
                <w:szCs w:val="18"/>
                <w:lang w:val="fr-CD"/>
              </w:rPr>
              <w:t>Activité 4.2.1 : Elaborer et adopter la Politique Nationale de Population.</w:t>
            </w:r>
          </w:p>
          <w:p w14:paraId="3D61B885" w14:textId="77777777" w:rsidR="00A6240B" w:rsidRPr="00E11FFB" w:rsidRDefault="00A6240B" w:rsidP="003A6DE1">
            <w:pPr>
              <w:rPr>
                <w:sz w:val="18"/>
                <w:szCs w:val="18"/>
                <w:lang w:val="fr-CD"/>
              </w:rPr>
            </w:pPr>
          </w:p>
        </w:tc>
        <w:tc>
          <w:tcPr>
            <w:tcW w:w="6616" w:type="dxa"/>
          </w:tcPr>
          <w:p w14:paraId="68F08F5F" w14:textId="77777777" w:rsidR="00A6240B" w:rsidRPr="007C2141" w:rsidRDefault="00A6240B" w:rsidP="00A6240B">
            <w:pPr>
              <w:pStyle w:val="Paragraphedeliste"/>
              <w:numPr>
                <w:ilvl w:val="0"/>
                <w:numId w:val="32"/>
              </w:numPr>
              <w:rPr>
                <w:sz w:val="18"/>
                <w:szCs w:val="18"/>
                <w:lang w:val="fr-FR"/>
              </w:rPr>
            </w:pPr>
            <w:hyperlink r:id="rId193" w:history="1">
              <w:r w:rsidRPr="007C2141">
                <w:rPr>
                  <w:rStyle w:val="Lienhypertexte"/>
                  <w:sz w:val="18"/>
                  <w:szCs w:val="18"/>
                  <w:lang w:val="fr-FR"/>
                </w:rPr>
                <w:t>Note de cadrage pour l’élaboration de la PNP</w:t>
              </w:r>
            </w:hyperlink>
          </w:p>
          <w:p w14:paraId="6FB90D2B" w14:textId="77777777" w:rsidR="00A6240B" w:rsidRPr="007C2141" w:rsidRDefault="00A6240B" w:rsidP="00A6240B">
            <w:pPr>
              <w:pStyle w:val="Paragraphedeliste"/>
              <w:numPr>
                <w:ilvl w:val="0"/>
                <w:numId w:val="32"/>
              </w:numPr>
              <w:rPr>
                <w:sz w:val="18"/>
                <w:szCs w:val="18"/>
                <w:lang w:val="fr-FR"/>
              </w:rPr>
            </w:pPr>
            <w:hyperlink r:id="rId194" w:history="1">
              <w:r w:rsidRPr="007C2141">
                <w:rPr>
                  <w:rStyle w:val="Lienhypertexte"/>
                  <w:sz w:val="18"/>
                  <w:szCs w:val="18"/>
                  <w:lang w:val="fr-FR"/>
                </w:rPr>
                <w:t>Note de cadrage adopté par le ministre</w:t>
              </w:r>
            </w:hyperlink>
            <w:r w:rsidRPr="007C2141">
              <w:rPr>
                <w:sz w:val="18"/>
                <w:szCs w:val="18"/>
                <w:lang w:val="fr-FR"/>
              </w:rPr>
              <w:t xml:space="preserve"> </w:t>
            </w:r>
          </w:p>
          <w:p w14:paraId="293B2CC6" w14:textId="77777777" w:rsidR="00A6240B" w:rsidRPr="007C2141" w:rsidRDefault="00A6240B" w:rsidP="00A6240B">
            <w:pPr>
              <w:pStyle w:val="Paragraphedeliste"/>
              <w:numPr>
                <w:ilvl w:val="0"/>
                <w:numId w:val="32"/>
              </w:numPr>
              <w:rPr>
                <w:sz w:val="18"/>
                <w:szCs w:val="18"/>
                <w:lang w:val="fr-FR"/>
              </w:rPr>
            </w:pPr>
            <w:hyperlink r:id="rId195" w:history="1">
              <w:r w:rsidRPr="007C2141">
                <w:rPr>
                  <w:rStyle w:val="Lienhypertexte"/>
                  <w:sz w:val="18"/>
                  <w:szCs w:val="18"/>
                  <w:lang w:val="fr-FR"/>
                </w:rPr>
                <w:t>Note circulaire du ministre aux CD Provinciales sur le processus d’élaboration PNP</w:t>
              </w:r>
            </w:hyperlink>
          </w:p>
          <w:p w14:paraId="5E316F09" w14:textId="77777777" w:rsidR="00A6240B" w:rsidRPr="007C2141" w:rsidRDefault="00A6240B" w:rsidP="00A6240B">
            <w:pPr>
              <w:pStyle w:val="Paragraphedeliste"/>
              <w:numPr>
                <w:ilvl w:val="0"/>
                <w:numId w:val="32"/>
              </w:numPr>
              <w:rPr>
                <w:sz w:val="18"/>
                <w:szCs w:val="18"/>
                <w:lang w:val="fr-FR"/>
              </w:rPr>
            </w:pPr>
            <w:hyperlink r:id="rId196" w:history="1">
              <w:r w:rsidRPr="007C2141">
                <w:rPr>
                  <w:rStyle w:val="Lienhypertexte"/>
                  <w:sz w:val="18"/>
                  <w:szCs w:val="18"/>
                  <w:lang w:val="fr-FR"/>
                </w:rPr>
                <w:t>Rapport atelier de lancement de la PNP</w:t>
              </w:r>
            </w:hyperlink>
          </w:p>
          <w:p w14:paraId="297D9492" w14:textId="77777777" w:rsidR="00A6240B" w:rsidRPr="007C2141" w:rsidRDefault="00A6240B" w:rsidP="00A6240B">
            <w:pPr>
              <w:pStyle w:val="Paragraphedeliste"/>
              <w:numPr>
                <w:ilvl w:val="0"/>
                <w:numId w:val="32"/>
              </w:numPr>
              <w:rPr>
                <w:sz w:val="18"/>
                <w:szCs w:val="18"/>
                <w:lang w:val="fr-FR"/>
              </w:rPr>
            </w:pPr>
            <w:hyperlink r:id="rId197" w:history="1">
              <w:r w:rsidRPr="007C2141">
                <w:rPr>
                  <w:rStyle w:val="Lienhypertexte"/>
                  <w:sz w:val="18"/>
                  <w:szCs w:val="18"/>
                  <w:lang w:val="fr-FR"/>
                </w:rPr>
                <w:t>Liste de présence des participants à l’atelier de lancement</w:t>
              </w:r>
            </w:hyperlink>
            <w:r w:rsidRPr="007C2141">
              <w:rPr>
                <w:sz w:val="18"/>
                <w:szCs w:val="18"/>
                <w:lang w:val="fr-FR"/>
              </w:rPr>
              <w:t xml:space="preserve"> </w:t>
            </w:r>
          </w:p>
          <w:p w14:paraId="51B978E2" w14:textId="77777777" w:rsidR="00A6240B" w:rsidRPr="007C2141" w:rsidRDefault="00A6240B" w:rsidP="00A6240B">
            <w:pPr>
              <w:pStyle w:val="Paragraphedeliste"/>
              <w:numPr>
                <w:ilvl w:val="0"/>
                <w:numId w:val="32"/>
              </w:numPr>
              <w:rPr>
                <w:sz w:val="18"/>
                <w:szCs w:val="18"/>
                <w:lang w:val="fr-FR"/>
              </w:rPr>
            </w:pPr>
            <w:hyperlink r:id="rId198" w:history="1">
              <w:r w:rsidRPr="007C2141">
                <w:rPr>
                  <w:rStyle w:val="Lienhypertexte"/>
                  <w:sz w:val="18"/>
                  <w:szCs w:val="18"/>
                  <w:lang w:val="fr-FR"/>
                </w:rPr>
                <w:t>Dossier de consultations provinciales sur le PNP</w:t>
              </w:r>
            </w:hyperlink>
          </w:p>
          <w:p w14:paraId="535F59C1" w14:textId="77777777" w:rsidR="00A6240B" w:rsidRPr="007C2141" w:rsidRDefault="00A6240B" w:rsidP="00A6240B">
            <w:pPr>
              <w:pStyle w:val="Paragraphedeliste"/>
              <w:numPr>
                <w:ilvl w:val="0"/>
                <w:numId w:val="32"/>
              </w:numPr>
              <w:rPr>
                <w:sz w:val="18"/>
                <w:szCs w:val="18"/>
                <w:lang w:val="fr-FR"/>
              </w:rPr>
            </w:pPr>
            <w:hyperlink r:id="rId199" w:history="1">
              <w:r w:rsidRPr="007C2141">
                <w:rPr>
                  <w:rStyle w:val="Lienhypertexte"/>
                  <w:sz w:val="18"/>
                  <w:szCs w:val="18"/>
                  <w:lang w:val="fr-FR"/>
                </w:rPr>
                <w:t>Profil démographique de la RDC v1</w:t>
              </w:r>
            </w:hyperlink>
          </w:p>
        </w:tc>
      </w:tr>
      <w:tr w:rsidR="00A6240B" w:rsidRPr="00E11FFB" w14:paraId="7D3CBEDD" w14:textId="77777777" w:rsidTr="00617731">
        <w:trPr>
          <w:trHeight w:val="346"/>
        </w:trPr>
        <w:tc>
          <w:tcPr>
            <w:tcW w:w="3349" w:type="dxa"/>
          </w:tcPr>
          <w:p w14:paraId="71866DC5" w14:textId="77777777" w:rsidR="00A6240B" w:rsidRPr="00E11FFB" w:rsidRDefault="00A6240B" w:rsidP="003A6DE1">
            <w:pPr>
              <w:rPr>
                <w:sz w:val="18"/>
                <w:szCs w:val="18"/>
                <w:lang w:val="fr-CD"/>
              </w:rPr>
            </w:pPr>
            <w:r w:rsidRPr="00E11FFB">
              <w:rPr>
                <w:sz w:val="18"/>
                <w:szCs w:val="18"/>
                <w:lang w:val="fr-CD"/>
              </w:rPr>
              <w:t>Activité 4.3.1 : Produire le plan et poursuivre le plaidoyer auprès du Gouvernement.</w:t>
            </w:r>
          </w:p>
        </w:tc>
        <w:tc>
          <w:tcPr>
            <w:tcW w:w="6616" w:type="dxa"/>
          </w:tcPr>
          <w:p w14:paraId="4D2E1DDE" w14:textId="77777777" w:rsidR="00A6240B" w:rsidRPr="007C2141" w:rsidRDefault="00A6240B" w:rsidP="00A6240B">
            <w:pPr>
              <w:pStyle w:val="Paragraphedeliste"/>
              <w:numPr>
                <w:ilvl w:val="0"/>
                <w:numId w:val="32"/>
              </w:numPr>
              <w:rPr>
                <w:sz w:val="18"/>
                <w:szCs w:val="18"/>
                <w:lang w:val="fr-FR"/>
              </w:rPr>
            </w:pPr>
            <w:hyperlink r:id="rId200" w:history="1">
              <w:r w:rsidRPr="007C2141">
                <w:rPr>
                  <w:rStyle w:val="Lienhypertexte"/>
                  <w:sz w:val="18"/>
                  <w:szCs w:val="18"/>
                  <w:lang w:val="fr-FR"/>
                </w:rPr>
                <w:t>Note à l'attention de la commission économique financière et contrôle budgétaire pour plaidoyer</w:t>
              </w:r>
            </w:hyperlink>
          </w:p>
        </w:tc>
      </w:tr>
      <w:tr w:rsidR="00A6240B" w:rsidRPr="00E11FFB" w14:paraId="1844A80C" w14:textId="77777777" w:rsidTr="00617731">
        <w:trPr>
          <w:trHeight w:val="346"/>
        </w:trPr>
        <w:tc>
          <w:tcPr>
            <w:tcW w:w="3349" w:type="dxa"/>
          </w:tcPr>
          <w:p w14:paraId="1E730FBC" w14:textId="77777777" w:rsidR="00A6240B" w:rsidRPr="00E11FFB" w:rsidRDefault="00A6240B" w:rsidP="003A6DE1">
            <w:pPr>
              <w:rPr>
                <w:sz w:val="18"/>
                <w:szCs w:val="18"/>
                <w:lang w:val="fr-CD"/>
              </w:rPr>
            </w:pPr>
            <w:r w:rsidRPr="00E11FFB">
              <w:rPr>
                <w:sz w:val="18"/>
                <w:szCs w:val="18"/>
                <w:lang w:val="fr-CD"/>
              </w:rPr>
              <w:t>Activité 4.4.1 : Appuyer la Task-Force de pilotage de l'atteinte du processus de réalisation des jalons de LOI.</w:t>
            </w:r>
          </w:p>
        </w:tc>
        <w:tc>
          <w:tcPr>
            <w:tcW w:w="6616" w:type="dxa"/>
          </w:tcPr>
          <w:p w14:paraId="3F2F650E" w14:textId="77777777" w:rsidR="00A6240B" w:rsidRPr="007C2141" w:rsidRDefault="00A6240B" w:rsidP="00A6240B">
            <w:pPr>
              <w:pStyle w:val="Paragraphedeliste"/>
              <w:numPr>
                <w:ilvl w:val="0"/>
                <w:numId w:val="32"/>
              </w:numPr>
              <w:rPr>
                <w:sz w:val="18"/>
                <w:szCs w:val="18"/>
                <w:lang w:val="fr-FR"/>
              </w:rPr>
            </w:pPr>
            <w:hyperlink r:id="rId201" w:history="1">
              <w:r w:rsidRPr="007C2141">
                <w:rPr>
                  <w:rStyle w:val="Lienhypertexte"/>
                  <w:sz w:val="18"/>
                  <w:szCs w:val="18"/>
                  <w:lang w:val="fr-FR"/>
                </w:rPr>
                <w:t>Rapports mensuels des membres de la task-force</w:t>
              </w:r>
            </w:hyperlink>
          </w:p>
        </w:tc>
      </w:tr>
      <w:tr w:rsidR="00A6240B" w:rsidRPr="00E11FFB" w14:paraId="2700C37C" w14:textId="77777777" w:rsidTr="00617731">
        <w:trPr>
          <w:trHeight w:val="346"/>
        </w:trPr>
        <w:tc>
          <w:tcPr>
            <w:tcW w:w="3349" w:type="dxa"/>
          </w:tcPr>
          <w:p w14:paraId="1CEFA5A9" w14:textId="77777777" w:rsidR="00A6240B" w:rsidRPr="00E11FFB" w:rsidRDefault="00A6240B" w:rsidP="003A6DE1">
            <w:pPr>
              <w:rPr>
                <w:sz w:val="18"/>
                <w:szCs w:val="18"/>
                <w:lang w:val="fr-CD"/>
              </w:rPr>
            </w:pPr>
            <w:r w:rsidRPr="00E11FFB">
              <w:rPr>
                <w:sz w:val="18"/>
                <w:szCs w:val="18"/>
                <w:lang w:val="fr-CD"/>
              </w:rPr>
              <w:t>Activité 4.4.2 : Appuyer le fonctionnement et la logistique de la Task-Force d'appui à la réalisation des jalons du Ministère du Plan.</w:t>
            </w:r>
          </w:p>
        </w:tc>
        <w:tc>
          <w:tcPr>
            <w:tcW w:w="6616" w:type="dxa"/>
          </w:tcPr>
          <w:p w14:paraId="30B2FAF2" w14:textId="77777777" w:rsidR="00A6240B" w:rsidRPr="007C2141" w:rsidRDefault="00A6240B" w:rsidP="00A6240B">
            <w:pPr>
              <w:pStyle w:val="Paragraphedeliste"/>
              <w:numPr>
                <w:ilvl w:val="0"/>
                <w:numId w:val="32"/>
              </w:numPr>
              <w:rPr>
                <w:sz w:val="18"/>
                <w:szCs w:val="18"/>
                <w:lang w:val="fr-FR"/>
              </w:rPr>
            </w:pPr>
            <w:hyperlink r:id="rId202" w:history="1">
              <w:r w:rsidRPr="007C2141">
                <w:rPr>
                  <w:rStyle w:val="Lienhypertexte"/>
                  <w:sz w:val="18"/>
                  <w:szCs w:val="18"/>
                  <w:lang w:val="fr-FR"/>
                </w:rPr>
                <w:t>Rapport d’acquisition des matériels et équipements</w:t>
              </w:r>
            </w:hyperlink>
            <w:r w:rsidRPr="007C2141">
              <w:rPr>
                <w:sz w:val="18"/>
                <w:szCs w:val="18"/>
                <w:lang w:val="fr-FR"/>
              </w:rPr>
              <w:t xml:space="preserve"> </w:t>
            </w:r>
          </w:p>
          <w:p w14:paraId="5D51D261" w14:textId="77777777" w:rsidR="00A6240B" w:rsidRPr="007C2141" w:rsidRDefault="00A6240B" w:rsidP="00A6240B">
            <w:pPr>
              <w:pStyle w:val="Paragraphedeliste"/>
              <w:numPr>
                <w:ilvl w:val="0"/>
                <w:numId w:val="32"/>
              </w:numPr>
              <w:rPr>
                <w:sz w:val="18"/>
                <w:szCs w:val="18"/>
                <w:lang w:val="fr-FR"/>
              </w:rPr>
            </w:pPr>
            <w:hyperlink r:id="rId203" w:history="1">
              <w:r w:rsidRPr="007C2141">
                <w:rPr>
                  <w:rStyle w:val="Lienhypertexte"/>
                  <w:sz w:val="18"/>
                  <w:szCs w:val="18"/>
                  <w:lang w:val="fr-FR"/>
                </w:rPr>
                <w:t>Invitation à la réunion de la task-force plan</w:t>
              </w:r>
            </w:hyperlink>
          </w:p>
        </w:tc>
      </w:tr>
      <w:tr w:rsidR="00A6240B" w:rsidRPr="00E11FFB" w14:paraId="07E0335C" w14:textId="77777777" w:rsidTr="00617731">
        <w:trPr>
          <w:trHeight w:val="346"/>
        </w:trPr>
        <w:tc>
          <w:tcPr>
            <w:tcW w:w="3349" w:type="dxa"/>
          </w:tcPr>
          <w:p w14:paraId="63582344" w14:textId="77777777" w:rsidR="00A6240B" w:rsidRPr="00E11FFB" w:rsidRDefault="00A6240B" w:rsidP="003A6DE1">
            <w:pPr>
              <w:rPr>
                <w:sz w:val="18"/>
                <w:szCs w:val="18"/>
                <w:lang w:val="fr-CD"/>
              </w:rPr>
            </w:pPr>
            <w:r w:rsidRPr="00E11FFB">
              <w:rPr>
                <w:sz w:val="18"/>
                <w:szCs w:val="18"/>
                <w:lang w:val="fr-CD"/>
              </w:rPr>
              <w:t>Activité 4.4.3 : Appuyer la Direction des nouvelles technologies de l'information et de la communication (DANTIC) du Ministère du Plan.</w:t>
            </w:r>
          </w:p>
        </w:tc>
        <w:tc>
          <w:tcPr>
            <w:tcW w:w="6616" w:type="dxa"/>
          </w:tcPr>
          <w:p w14:paraId="474DE2E3" w14:textId="77777777" w:rsidR="00A6240B" w:rsidRPr="007C2141" w:rsidRDefault="00A6240B" w:rsidP="00A6240B">
            <w:pPr>
              <w:pStyle w:val="Paragraphedeliste"/>
              <w:numPr>
                <w:ilvl w:val="0"/>
                <w:numId w:val="32"/>
              </w:numPr>
              <w:rPr>
                <w:sz w:val="18"/>
                <w:szCs w:val="18"/>
                <w:lang w:val="fr-FR"/>
              </w:rPr>
            </w:pPr>
            <w:hyperlink r:id="rId204" w:history="1">
              <w:r w:rsidRPr="007C2141">
                <w:rPr>
                  <w:rStyle w:val="Lienhypertexte"/>
                  <w:sz w:val="18"/>
                  <w:szCs w:val="18"/>
                  <w:lang w:val="fr-FR"/>
                </w:rPr>
                <w:t>Rapport de fonctionnement et structuration DANTIC</w:t>
              </w:r>
            </w:hyperlink>
          </w:p>
          <w:p w14:paraId="1205E99F" w14:textId="77777777" w:rsidR="00A6240B" w:rsidRPr="007C2141" w:rsidRDefault="00A6240B" w:rsidP="00A6240B">
            <w:pPr>
              <w:pStyle w:val="Paragraphedeliste"/>
              <w:numPr>
                <w:ilvl w:val="0"/>
                <w:numId w:val="32"/>
              </w:numPr>
              <w:rPr>
                <w:sz w:val="18"/>
                <w:szCs w:val="18"/>
                <w:lang w:val="fr-FR"/>
              </w:rPr>
            </w:pPr>
          </w:p>
        </w:tc>
      </w:tr>
    </w:tbl>
    <w:p w14:paraId="24249D62" w14:textId="655F32D3" w:rsidR="00A6240B" w:rsidRDefault="009320F1" w:rsidP="006D79E9">
      <w:pPr>
        <w:spacing w:before="240"/>
        <w:rPr>
          <w:b/>
          <w:bCs/>
          <w:sz w:val="28"/>
          <w:szCs w:val="28"/>
          <w:u w:val="single"/>
        </w:rPr>
      </w:pPr>
      <w:r>
        <w:rPr>
          <w:b/>
          <w:bCs/>
          <w:sz w:val="28"/>
          <w:szCs w:val="28"/>
          <w:u w:val="single"/>
        </w:rPr>
        <w:t>11.5. Composante</w:t>
      </w:r>
      <w:r w:rsidRPr="00E11FFB">
        <w:rPr>
          <w:b/>
          <w:bCs/>
          <w:sz w:val="28"/>
          <w:szCs w:val="28"/>
          <w:u w:val="single"/>
        </w:rPr>
        <w:t xml:space="preserve"> </w:t>
      </w:r>
      <w:r>
        <w:rPr>
          <w:b/>
          <w:bCs/>
          <w:sz w:val="28"/>
          <w:szCs w:val="28"/>
          <w:u w:val="single"/>
        </w:rPr>
        <w:t xml:space="preserve">5 : </w:t>
      </w:r>
      <w:r w:rsidR="00A6240B" w:rsidRPr="00E11FFB">
        <w:rPr>
          <w:b/>
          <w:bCs/>
          <w:sz w:val="28"/>
          <w:szCs w:val="28"/>
          <w:u w:val="single"/>
        </w:rPr>
        <w:t xml:space="preserve">Hydrocarbures </w:t>
      </w:r>
    </w:p>
    <w:p w14:paraId="6440852C" w14:textId="77777777" w:rsidR="00BE5822" w:rsidRPr="00E11FFB" w:rsidRDefault="00BE5822" w:rsidP="00A6240B">
      <w:pPr>
        <w:rPr>
          <w:b/>
          <w:bCs/>
          <w:sz w:val="28"/>
          <w:szCs w:val="28"/>
          <w:u w:val="single"/>
        </w:rPr>
      </w:pPr>
    </w:p>
    <w:tbl>
      <w:tblPr>
        <w:tblStyle w:val="Grilledutableau"/>
        <w:tblW w:w="9972" w:type="dxa"/>
        <w:tblLook w:val="04A0" w:firstRow="1" w:lastRow="0" w:firstColumn="1" w:lastColumn="0" w:noHBand="0" w:noVBand="1"/>
      </w:tblPr>
      <w:tblGrid>
        <w:gridCol w:w="3351"/>
        <w:gridCol w:w="6621"/>
      </w:tblGrid>
      <w:tr w:rsidR="00A6240B" w:rsidRPr="00E11FFB" w14:paraId="34CA8997" w14:textId="77777777" w:rsidTr="00965B89">
        <w:trPr>
          <w:trHeight w:val="183"/>
          <w:tblHeader/>
        </w:trPr>
        <w:tc>
          <w:tcPr>
            <w:tcW w:w="3351" w:type="dxa"/>
            <w:shd w:val="clear" w:color="auto" w:fill="FDE9D9" w:themeFill="accent6" w:themeFillTint="33"/>
          </w:tcPr>
          <w:p w14:paraId="2BB6840E" w14:textId="77777777" w:rsidR="00A6240B" w:rsidRPr="00E11FFB" w:rsidRDefault="00A6240B" w:rsidP="003A6DE1">
            <w:pPr>
              <w:rPr>
                <w:b/>
                <w:bCs/>
                <w:sz w:val="20"/>
                <w:szCs w:val="20"/>
                <w:u w:val="single"/>
                <w:lang w:val="fr-CD"/>
              </w:rPr>
            </w:pPr>
            <w:r w:rsidRPr="00E11FFB">
              <w:rPr>
                <w:b/>
                <w:bCs/>
                <w:sz w:val="20"/>
                <w:szCs w:val="20"/>
                <w:u w:val="single"/>
                <w:lang w:val="fr-CD"/>
              </w:rPr>
              <w:t>Activité</w:t>
            </w:r>
          </w:p>
        </w:tc>
        <w:tc>
          <w:tcPr>
            <w:tcW w:w="6621" w:type="dxa"/>
            <w:shd w:val="clear" w:color="auto" w:fill="FDE9D9" w:themeFill="accent6" w:themeFillTint="33"/>
          </w:tcPr>
          <w:p w14:paraId="13F4E38E" w14:textId="77777777" w:rsidR="00A6240B" w:rsidRPr="00E11FFB" w:rsidRDefault="00A6240B" w:rsidP="003A6DE1">
            <w:pPr>
              <w:rPr>
                <w:b/>
                <w:bCs/>
                <w:sz w:val="20"/>
                <w:szCs w:val="20"/>
                <w:lang w:val="fr-CD"/>
              </w:rPr>
            </w:pPr>
            <w:r w:rsidRPr="00E11FFB">
              <w:rPr>
                <w:b/>
                <w:bCs/>
                <w:sz w:val="20"/>
                <w:szCs w:val="20"/>
                <w:lang w:val="fr-CD"/>
              </w:rPr>
              <w:t xml:space="preserve">Listes de livrables </w:t>
            </w:r>
          </w:p>
        </w:tc>
      </w:tr>
      <w:tr w:rsidR="00A6240B" w:rsidRPr="00E11FFB" w14:paraId="466C1595" w14:textId="77777777" w:rsidTr="00965B89">
        <w:trPr>
          <w:trHeight w:val="468"/>
        </w:trPr>
        <w:tc>
          <w:tcPr>
            <w:tcW w:w="3351" w:type="dxa"/>
          </w:tcPr>
          <w:p w14:paraId="590D38E0" w14:textId="77777777" w:rsidR="00A6240B" w:rsidRPr="00E11FFB" w:rsidRDefault="00A6240B" w:rsidP="003A6DE1">
            <w:pPr>
              <w:rPr>
                <w:sz w:val="20"/>
                <w:szCs w:val="20"/>
                <w:lang w:val="fr-CD"/>
              </w:rPr>
            </w:pPr>
            <w:r w:rsidRPr="00E11FFB">
              <w:rPr>
                <w:sz w:val="20"/>
                <w:szCs w:val="20"/>
                <w:lang w:val="fr-CD"/>
              </w:rPr>
              <w:t>Activité 5.1.1 : Publier les actes réglementaires rendant obligatoires la réalisation des EES, et les rapports des missions annuelles de contrôle / évaluation.</w:t>
            </w:r>
          </w:p>
        </w:tc>
        <w:tc>
          <w:tcPr>
            <w:tcW w:w="6621" w:type="dxa"/>
          </w:tcPr>
          <w:p w14:paraId="6B4BCD1A" w14:textId="77777777" w:rsidR="00A6240B" w:rsidRPr="007C2141" w:rsidRDefault="00A6240B" w:rsidP="00A6240B">
            <w:pPr>
              <w:pStyle w:val="Paragraphedeliste"/>
              <w:numPr>
                <w:ilvl w:val="0"/>
                <w:numId w:val="32"/>
              </w:numPr>
              <w:rPr>
                <w:sz w:val="20"/>
                <w:szCs w:val="20"/>
                <w:lang w:val="fr-FR"/>
              </w:rPr>
            </w:pPr>
            <w:hyperlink r:id="rId205" w:history="1">
              <w:r w:rsidRPr="007C2141">
                <w:rPr>
                  <w:rStyle w:val="Lienhypertexte"/>
                  <w:sz w:val="20"/>
                  <w:szCs w:val="20"/>
                  <w:lang w:val="fr-FR"/>
                </w:rPr>
                <w:t>Contrat de consultance individuelle pour le renforcement de capacité des agents (hydrocarbure)</w:t>
              </w:r>
            </w:hyperlink>
          </w:p>
          <w:p w14:paraId="56085595" w14:textId="77777777" w:rsidR="00A6240B" w:rsidRPr="007C2141" w:rsidRDefault="00A6240B" w:rsidP="00A6240B">
            <w:pPr>
              <w:pStyle w:val="Paragraphedeliste"/>
              <w:numPr>
                <w:ilvl w:val="0"/>
                <w:numId w:val="32"/>
              </w:numPr>
              <w:rPr>
                <w:sz w:val="20"/>
                <w:szCs w:val="20"/>
                <w:lang w:val="fr-FR"/>
              </w:rPr>
            </w:pPr>
            <w:hyperlink r:id="rId206" w:history="1">
              <w:r w:rsidRPr="007C2141">
                <w:rPr>
                  <w:rStyle w:val="Lienhypertexte"/>
                  <w:sz w:val="20"/>
                  <w:szCs w:val="20"/>
                  <w:lang w:val="fr-FR"/>
                </w:rPr>
                <w:t>Note conceptuelle de renforcement de capacité</w:t>
              </w:r>
            </w:hyperlink>
          </w:p>
          <w:p w14:paraId="18C807C7" w14:textId="77777777" w:rsidR="00A6240B" w:rsidRPr="007C2141" w:rsidRDefault="00A6240B" w:rsidP="00A6240B">
            <w:pPr>
              <w:pStyle w:val="Paragraphedeliste"/>
              <w:numPr>
                <w:ilvl w:val="0"/>
                <w:numId w:val="32"/>
              </w:numPr>
              <w:rPr>
                <w:sz w:val="20"/>
                <w:szCs w:val="20"/>
                <w:lang w:val="fr-FR"/>
              </w:rPr>
            </w:pPr>
            <w:hyperlink r:id="rId207" w:history="1">
              <w:r w:rsidRPr="007C2141">
                <w:rPr>
                  <w:rStyle w:val="Lienhypertexte"/>
                  <w:sz w:val="20"/>
                  <w:szCs w:val="20"/>
                  <w:lang w:val="fr-FR"/>
                </w:rPr>
                <w:t>Rapport atelier de formation et renforcement de capacité</w:t>
              </w:r>
            </w:hyperlink>
          </w:p>
          <w:p w14:paraId="4CDF1E2E" w14:textId="77777777" w:rsidR="00A6240B" w:rsidRPr="007C2141" w:rsidRDefault="00A6240B" w:rsidP="00A6240B">
            <w:pPr>
              <w:pStyle w:val="Paragraphedeliste"/>
              <w:numPr>
                <w:ilvl w:val="0"/>
                <w:numId w:val="32"/>
              </w:numPr>
              <w:rPr>
                <w:sz w:val="20"/>
                <w:szCs w:val="20"/>
                <w:lang w:val="fr-FR"/>
              </w:rPr>
            </w:pPr>
            <w:hyperlink r:id="rId208" w:history="1">
              <w:r w:rsidRPr="007C2141">
                <w:rPr>
                  <w:rStyle w:val="Lienhypertexte"/>
                  <w:sz w:val="20"/>
                  <w:szCs w:val="20"/>
                  <w:lang w:val="fr-FR"/>
                </w:rPr>
                <w:t>Liste de présence renforcement de capacité</w:t>
              </w:r>
            </w:hyperlink>
          </w:p>
          <w:p w14:paraId="2695B017" w14:textId="77777777" w:rsidR="00A6240B" w:rsidRPr="007C2141" w:rsidRDefault="00A6240B" w:rsidP="00A6240B">
            <w:pPr>
              <w:pStyle w:val="Paragraphedeliste"/>
              <w:numPr>
                <w:ilvl w:val="0"/>
                <w:numId w:val="32"/>
              </w:numPr>
              <w:rPr>
                <w:sz w:val="20"/>
                <w:szCs w:val="20"/>
                <w:lang w:val="fr-FR"/>
              </w:rPr>
            </w:pPr>
            <w:hyperlink r:id="rId209" w:history="1">
              <w:r w:rsidRPr="007C2141">
                <w:rPr>
                  <w:rStyle w:val="Lienhypertexte"/>
                  <w:sz w:val="20"/>
                  <w:szCs w:val="20"/>
                  <w:lang w:val="fr-FR"/>
                </w:rPr>
                <w:t>Modules de formation et renforcement de capacité</w:t>
              </w:r>
            </w:hyperlink>
            <w:r w:rsidRPr="007C2141">
              <w:rPr>
                <w:sz w:val="20"/>
                <w:szCs w:val="20"/>
                <w:lang w:val="fr-FR"/>
              </w:rPr>
              <w:t xml:space="preserve"> </w:t>
            </w:r>
          </w:p>
          <w:p w14:paraId="579132FA" w14:textId="77777777" w:rsidR="00A6240B" w:rsidRPr="007C2141" w:rsidRDefault="00A6240B" w:rsidP="00A6240B">
            <w:pPr>
              <w:pStyle w:val="Paragraphedeliste"/>
              <w:numPr>
                <w:ilvl w:val="0"/>
                <w:numId w:val="32"/>
              </w:numPr>
              <w:rPr>
                <w:sz w:val="20"/>
                <w:szCs w:val="20"/>
                <w:lang w:val="fr-FR"/>
              </w:rPr>
            </w:pPr>
            <w:r w:rsidRPr="007C2141">
              <w:rPr>
                <w:sz w:val="20"/>
                <w:szCs w:val="20"/>
                <w:lang w:val="fr-FR"/>
              </w:rPr>
              <w:t>I</w:t>
            </w:r>
            <w:hyperlink r:id="rId210" w:history="1">
              <w:r w:rsidRPr="007C2141">
                <w:rPr>
                  <w:rStyle w:val="Lienhypertexte"/>
                  <w:sz w:val="20"/>
                  <w:szCs w:val="20"/>
                  <w:lang w:val="fr-FR"/>
                </w:rPr>
                <w:t>nvitation à l’atelier de validation de projet d’arrêté interministériel IES</w:t>
              </w:r>
            </w:hyperlink>
          </w:p>
          <w:p w14:paraId="785D8BBD" w14:textId="77777777" w:rsidR="00A6240B" w:rsidRPr="007C2141" w:rsidRDefault="00A6240B" w:rsidP="00A6240B">
            <w:pPr>
              <w:pStyle w:val="Paragraphedeliste"/>
              <w:numPr>
                <w:ilvl w:val="0"/>
                <w:numId w:val="32"/>
              </w:numPr>
              <w:rPr>
                <w:sz w:val="20"/>
                <w:szCs w:val="20"/>
                <w:lang w:val="fr-FR"/>
              </w:rPr>
            </w:pPr>
            <w:hyperlink r:id="rId211" w:history="1">
              <w:r w:rsidRPr="007C2141">
                <w:rPr>
                  <w:rStyle w:val="Lienhypertexte"/>
                  <w:sz w:val="20"/>
                  <w:szCs w:val="20"/>
                  <w:lang w:val="fr-FR"/>
                </w:rPr>
                <w:t>Liste de présence à l’atelier de validation de l’avant-projet IES</w:t>
              </w:r>
            </w:hyperlink>
          </w:p>
          <w:p w14:paraId="37C6D995" w14:textId="77777777" w:rsidR="00A6240B" w:rsidRPr="007C2141" w:rsidRDefault="00A6240B" w:rsidP="00A6240B">
            <w:pPr>
              <w:pStyle w:val="Paragraphedeliste"/>
              <w:numPr>
                <w:ilvl w:val="0"/>
                <w:numId w:val="32"/>
              </w:numPr>
              <w:rPr>
                <w:sz w:val="20"/>
                <w:szCs w:val="20"/>
                <w:lang w:val="fr-FR"/>
              </w:rPr>
            </w:pPr>
            <w:hyperlink r:id="rId212" w:history="1">
              <w:r w:rsidRPr="007C2141">
                <w:rPr>
                  <w:rStyle w:val="Lienhypertexte"/>
                  <w:sz w:val="20"/>
                  <w:szCs w:val="20"/>
                  <w:lang w:val="fr-FR"/>
                </w:rPr>
                <w:t>Avant-projet d’arrêté interministériel sur la collecte de données IES</w:t>
              </w:r>
            </w:hyperlink>
          </w:p>
          <w:p w14:paraId="6295EFC9" w14:textId="77777777" w:rsidR="00A6240B" w:rsidRPr="007C2141" w:rsidRDefault="00A6240B" w:rsidP="00A6240B">
            <w:pPr>
              <w:pStyle w:val="Paragraphedeliste"/>
              <w:numPr>
                <w:ilvl w:val="0"/>
                <w:numId w:val="32"/>
              </w:numPr>
              <w:rPr>
                <w:sz w:val="20"/>
                <w:szCs w:val="20"/>
                <w:lang w:val="fr-FR"/>
              </w:rPr>
            </w:pPr>
            <w:hyperlink r:id="rId213" w:history="1">
              <w:r w:rsidRPr="007C2141">
                <w:rPr>
                  <w:rStyle w:val="Lienhypertexte"/>
                  <w:sz w:val="20"/>
                  <w:szCs w:val="20"/>
                  <w:lang w:val="fr-FR"/>
                </w:rPr>
                <w:t>Lettre de transmission de projet d’arrêté</w:t>
              </w:r>
            </w:hyperlink>
          </w:p>
          <w:p w14:paraId="2D1CD6E0" w14:textId="77777777" w:rsidR="00A6240B" w:rsidRPr="007C2141" w:rsidRDefault="00A6240B" w:rsidP="00A6240B">
            <w:pPr>
              <w:pStyle w:val="Paragraphedeliste"/>
              <w:numPr>
                <w:ilvl w:val="0"/>
                <w:numId w:val="32"/>
              </w:numPr>
              <w:rPr>
                <w:sz w:val="20"/>
                <w:szCs w:val="20"/>
                <w:lang w:val="fr-FR"/>
              </w:rPr>
            </w:pPr>
            <w:hyperlink r:id="rId214" w:history="1">
              <w:r w:rsidRPr="007C2141">
                <w:rPr>
                  <w:rStyle w:val="Lienhypertexte"/>
                  <w:sz w:val="20"/>
                  <w:szCs w:val="20"/>
                  <w:lang w:val="fr-FR"/>
                </w:rPr>
                <w:t>Rapport de mission de contrôle environnemental et ses annexes</w:t>
              </w:r>
            </w:hyperlink>
          </w:p>
        </w:tc>
      </w:tr>
      <w:tr w:rsidR="00A6240B" w:rsidRPr="00E11FFB" w14:paraId="10C2E9EF" w14:textId="77777777" w:rsidTr="00965B89">
        <w:trPr>
          <w:trHeight w:val="359"/>
        </w:trPr>
        <w:tc>
          <w:tcPr>
            <w:tcW w:w="3351" w:type="dxa"/>
          </w:tcPr>
          <w:p w14:paraId="3B84D689" w14:textId="77777777" w:rsidR="00A6240B" w:rsidRPr="00E11FFB" w:rsidRDefault="00A6240B" w:rsidP="003A6DE1">
            <w:pPr>
              <w:rPr>
                <w:sz w:val="20"/>
                <w:szCs w:val="20"/>
                <w:lang w:val="fr-CD"/>
              </w:rPr>
            </w:pPr>
            <w:r w:rsidRPr="00E11FFB">
              <w:rPr>
                <w:sz w:val="20"/>
                <w:szCs w:val="20"/>
                <w:lang w:val="fr-CD"/>
              </w:rPr>
              <w:t>Activité 5.2.1 : Publier les contrats miniers et des hydrocarbures.</w:t>
            </w:r>
          </w:p>
          <w:p w14:paraId="722724B3" w14:textId="77777777" w:rsidR="00A6240B" w:rsidRPr="00E11FFB" w:rsidRDefault="00A6240B" w:rsidP="003A6DE1">
            <w:pPr>
              <w:rPr>
                <w:b/>
                <w:bCs/>
                <w:sz w:val="20"/>
                <w:szCs w:val="20"/>
                <w:u w:val="single"/>
                <w:lang w:val="fr-CD"/>
              </w:rPr>
            </w:pPr>
          </w:p>
        </w:tc>
        <w:tc>
          <w:tcPr>
            <w:tcW w:w="6621" w:type="dxa"/>
          </w:tcPr>
          <w:p w14:paraId="62B7EC8C" w14:textId="77777777" w:rsidR="00A6240B" w:rsidRPr="007C2141" w:rsidRDefault="00A6240B" w:rsidP="00A6240B">
            <w:pPr>
              <w:pStyle w:val="Paragraphedeliste"/>
              <w:numPr>
                <w:ilvl w:val="0"/>
                <w:numId w:val="32"/>
              </w:numPr>
              <w:rPr>
                <w:sz w:val="20"/>
                <w:szCs w:val="20"/>
                <w:lang w:val="fr-FR"/>
              </w:rPr>
            </w:pPr>
            <w:hyperlink r:id="rId215" w:history="1">
              <w:r w:rsidRPr="007C2141">
                <w:rPr>
                  <w:rStyle w:val="Lienhypertexte"/>
                  <w:sz w:val="20"/>
                  <w:szCs w:val="20"/>
                  <w:lang w:val="fr-FR"/>
                </w:rPr>
                <w:t>Rapport d’activité sur la publication des contrats</w:t>
              </w:r>
            </w:hyperlink>
            <w:r w:rsidRPr="007C2141">
              <w:rPr>
                <w:sz w:val="20"/>
                <w:szCs w:val="20"/>
                <w:lang w:val="fr-FR"/>
              </w:rPr>
              <w:t xml:space="preserve"> </w:t>
            </w:r>
          </w:p>
          <w:p w14:paraId="44FAAB13" w14:textId="77777777" w:rsidR="00A6240B" w:rsidRPr="007C2141" w:rsidRDefault="00A6240B" w:rsidP="00A6240B">
            <w:pPr>
              <w:pStyle w:val="Paragraphedeliste"/>
              <w:numPr>
                <w:ilvl w:val="0"/>
                <w:numId w:val="32"/>
              </w:numPr>
              <w:rPr>
                <w:sz w:val="20"/>
                <w:szCs w:val="20"/>
                <w:lang w:val="fr-FR"/>
              </w:rPr>
            </w:pPr>
            <w:hyperlink r:id="rId216" w:history="1">
              <w:r w:rsidRPr="007C2141">
                <w:rPr>
                  <w:rStyle w:val="Lienhypertexte"/>
                  <w:sz w:val="20"/>
                  <w:szCs w:val="20"/>
                  <w:lang w:val="fr-FR"/>
                </w:rPr>
                <w:t>Rapport de travail avec le consultant sur la publication des contrats</w:t>
              </w:r>
            </w:hyperlink>
          </w:p>
          <w:p w14:paraId="5F81C72D" w14:textId="77777777" w:rsidR="00A6240B" w:rsidRPr="007C2141" w:rsidRDefault="00A6240B" w:rsidP="00A6240B">
            <w:pPr>
              <w:pStyle w:val="Paragraphedeliste"/>
              <w:numPr>
                <w:ilvl w:val="0"/>
                <w:numId w:val="32"/>
              </w:numPr>
              <w:rPr>
                <w:sz w:val="20"/>
                <w:szCs w:val="20"/>
                <w:lang w:val="fr-FR"/>
              </w:rPr>
            </w:pPr>
            <w:r w:rsidRPr="007C2141">
              <w:rPr>
                <w:sz w:val="20"/>
                <w:szCs w:val="20"/>
                <w:lang w:val="fr-FR"/>
              </w:rPr>
              <w:t xml:space="preserve">Site de publication des contrats du secteur des hydrocarbures </w:t>
            </w:r>
          </w:p>
        </w:tc>
      </w:tr>
      <w:tr w:rsidR="00A6240B" w:rsidRPr="00E11FFB" w14:paraId="34ADC5D6" w14:textId="77777777" w:rsidTr="00965B89">
        <w:trPr>
          <w:trHeight w:val="359"/>
        </w:trPr>
        <w:tc>
          <w:tcPr>
            <w:tcW w:w="3351" w:type="dxa"/>
          </w:tcPr>
          <w:p w14:paraId="20952E79" w14:textId="77777777" w:rsidR="00A6240B" w:rsidRPr="00E11FFB" w:rsidRDefault="00A6240B" w:rsidP="003A6DE1">
            <w:pPr>
              <w:rPr>
                <w:sz w:val="20"/>
                <w:szCs w:val="20"/>
                <w:lang w:val="fr-CD"/>
              </w:rPr>
            </w:pPr>
            <w:r w:rsidRPr="00E11FFB">
              <w:rPr>
                <w:sz w:val="20"/>
                <w:szCs w:val="20"/>
                <w:lang w:val="fr-CD"/>
              </w:rPr>
              <w:t>Activité 5.3.1 : Appuyer l'élaboration des Normes REDD+ dans les secteurs des Mines et des Hydrocarbures.</w:t>
            </w:r>
          </w:p>
          <w:p w14:paraId="162497B9" w14:textId="77777777" w:rsidR="00A6240B" w:rsidRPr="00E11FFB" w:rsidRDefault="00A6240B" w:rsidP="003A6DE1">
            <w:pPr>
              <w:rPr>
                <w:sz w:val="20"/>
                <w:szCs w:val="20"/>
                <w:lang w:val="fr-CD"/>
              </w:rPr>
            </w:pPr>
          </w:p>
        </w:tc>
        <w:tc>
          <w:tcPr>
            <w:tcW w:w="6621" w:type="dxa"/>
          </w:tcPr>
          <w:p w14:paraId="14DD5DCA" w14:textId="77777777" w:rsidR="00A6240B" w:rsidRPr="007C2141" w:rsidRDefault="00A6240B" w:rsidP="00A6240B">
            <w:pPr>
              <w:pStyle w:val="Paragraphedeliste"/>
              <w:numPr>
                <w:ilvl w:val="0"/>
                <w:numId w:val="32"/>
              </w:numPr>
              <w:rPr>
                <w:sz w:val="20"/>
                <w:szCs w:val="20"/>
                <w:lang w:val="fr-FR"/>
              </w:rPr>
            </w:pPr>
            <w:hyperlink r:id="rId217" w:history="1">
              <w:r w:rsidRPr="007C2141">
                <w:rPr>
                  <w:rStyle w:val="Lienhypertexte"/>
                  <w:sz w:val="20"/>
                  <w:szCs w:val="20"/>
                  <w:lang w:val="fr-FR"/>
                </w:rPr>
                <w:t>Rapports et listes de présence des réunions de concertations sur les normes</w:t>
              </w:r>
            </w:hyperlink>
            <w:r w:rsidRPr="007C2141">
              <w:rPr>
                <w:sz w:val="20"/>
                <w:szCs w:val="20"/>
                <w:lang w:val="fr-FR"/>
              </w:rPr>
              <w:t xml:space="preserve"> REDD+ dans le secteur des hydrocarbures (GIZ, hydrocarbures et ACE)</w:t>
            </w:r>
          </w:p>
          <w:p w14:paraId="0B63D019" w14:textId="0D14ED92" w:rsidR="00A6240B" w:rsidRPr="007C2141" w:rsidRDefault="00A6240B" w:rsidP="00A6240B">
            <w:pPr>
              <w:pStyle w:val="Paragraphedeliste"/>
              <w:numPr>
                <w:ilvl w:val="0"/>
                <w:numId w:val="32"/>
              </w:numPr>
              <w:rPr>
                <w:sz w:val="20"/>
                <w:szCs w:val="20"/>
                <w:lang w:val="fr-FR"/>
              </w:rPr>
            </w:pPr>
            <w:hyperlink r:id="rId218" w:history="1">
              <w:r w:rsidRPr="007C2141">
                <w:rPr>
                  <w:rStyle w:val="Lienhypertexte"/>
                  <w:sz w:val="20"/>
                  <w:szCs w:val="20"/>
                  <w:lang w:val="fr-FR"/>
                </w:rPr>
                <w:t>Feuille de route d’élaboration du plan national des hydrocarbures</w:t>
              </w:r>
            </w:hyperlink>
            <w:r w:rsidRPr="007C2141">
              <w:rPr>
                <w:sz w:val="20"/>
                <w:szCs w:val="20"/>
                <w:lang w:val="fr-FR"/>
              </w:rPr>
              <w:t xml:space="preserve"> </w:t>
            </w:r>
          </w:p>
          <w:p w14:paraId="0F330E06" w14:textId="3DF9B683" w:rsidR="00A6240B" w:rsidRPr="007C2141" w:rsidRDefault="00A6240B" w:rsidP="00A6240B">
            <w:pPr>
              <w:pStyle w:val="Paragraphedeliste"/>
              <w:numPr>
                <w:ilvl w:val="0"/>
                <w:numId w:val="32"/>
              </w:numPr>
              <w:rPr>
                <w:sz w:val="20"/>
                <w:szCs w:val="20"/>
                <w:lang w:val="fr-FR"/>
              </w:rPr>
            </w:pPr>
            <w:hyperlink r:id="rId219" w:history="1">
              <w:r w:rsidRPr="007C2141">
                <w:rPr>
                  <w:rStyle w:val="Lienhypertexte"/>
                  <w:sz w:val="20"/>
                  <w:szCs w:val="20"/>
                  <w:lang w:val="fr-FR"/>
                </w:rPr>
                <w:t>Draft 0 du plan national des hydrocarbures</w:t>
              </w:r>
            </w:hyperlink>
          </w:p>
        </w:tc>
      </w:tr>
      <w:tr w:rsidR="00A6240B" w:rsidRPr="00E11FFB" w14:paraId="0681A5E7" w14:textId="77777777" w:rsidTr="00965B89">
        <w:trPr>
          <w:trHeight w:val="359"/>
        </w:trPr>
        <w:tc>
          <w:tcPr>
            <w:tcW w:w="3351" w:type="dxa"/>
          </w:tcPr>
          <w:p w14:paraId="098B6B6D" w14:textId="77777777" w:rsidR="00A6240B" w:rsidRPr="00E11FFB" w:rsidRDefault="00A6240B" w:rsidP="003A6DE1">
            <w:pPr>
              <w:rPr>
                <w:sz w:val="20"/>
                <w:szCs w:val="20"/>
                <w:lang w:val="fr-CD"/>
              </w:rPr>
            </w:pPr>
            <w:r w:rsidRPr="00E11FFB">
              <w:rPr>
                <w:sz w:val="20"/>
                <w:szCs w:val="20"/>
                <w:lang w:val="fr-CD"/>
              </w:rPr>
              <w:t>Activité 5.4.1 : Appuyer la Task-Force de pilotage de l'atteinte du processus de réalisation des jalons de LOI.</w:t>
            </w:r>
          </w:p>
        </w:tc>
        <w:tc>
          <w:tcPr>
            <w:tcW w:w="6621" w:type="dxa"/>
          </w:tcPr>
          <w:p w14:paraId="44A4EF6B" w14:textId="77777777" w:rsidR="00A6240B" w:rsidRPr="007C2141" w:rsidRDefault="00A6240B" w:rsidP="00A6240B">
            <w:pPr>
              <w:pStyle w:val="Paragraphedeliste"/>
              <w:numPr>
                <w:ilvl w:val="0"/>
                <w:numId w:val="32"/>
              </w:numPr>
              <w:rPr>
                <w:sz w:val="20"/>
                <w:szCs w:val="20"/>
                <w:lang w:val="fr-FR"/>
              </w:rPr>
            </w:pPr>
            <w:hyperlink r:id="rId220" w:history="1">
              <w:r w:rsidRPr="007C2141">
                <w:rPr>
                  <w:rStyle w:val="Lienhypertexte"/>
                  <w:sz w:val="20"/>
                  <w:szCs w:val="20"/>
                  <w:lang w:val="fr-FR"/>
                </w:rPr>
                <w:t>Rapports individuels des membres de la task-force</w:t>
              </w:r>
            </w:hyperlink>
            <w:r w:rsidRPr="007C2141">
              <w:rPr>
                <w:sz w:val="20"/>
                <w:szCs w:val="20"/>
                <w:lang w:val="fr-FR"/>
              </w:rPr>
              <w:t xml:space="preserve"> </w:t>
            </w:r>
          </w:p>
        </w:tc>
      </w:tr>
      <w:tr w:rsidR="00A6240B" w:rsidRPr="00E11FFB" w14:paraId="4B845F80" w14:textId="77777777" w:rsidTr="00965B89">
        <w:trPr>
          <w:trHeight w:val="359"/>
        </w:trPr>
        <w:tc>
          <w:tcPr>
            <w:tcW w:w="3351" w:type="dxa"/>
          </w:tcPr>
          <w:p w14:paraId="36C65414" w14:textId="77777777" w:rsidR="00A6240B" w:rsidRPr="00E11FFB" w:rsidRDefault="00A6240B" w:rsidP="003A6DE1">
            <w:pPr>
              <w:rPr>
                <w:sz w:val="20"/>
                <w:szCs w:val="20"/>
                <w:lang w:val="fr-CD"/>
              </w:rPr>
            </w:pPr>
            <w:r w:rsidRPr="00E11FFB">
              <w:rPr>
                <w:sz w:val="20"/>
                <w:szCs w:val="20"/>
                <w:lang w:val="fr-CD"/>
              </w:rPr>
              <w:t>Activité 5.4.2 :  Appuyer le fonctionnement et la logistique de la task-force.</w:t>
            </w:r>
          </w:p>
        </w:tc>
        <w:tc>
          <w:tcPr>
            <w:tcW w:w="6621" w:type="dxa"/>
          </w:tcPr>
          <w:p w14:paraId="71944FD7" w14:textId="77777777" w:rsidR="00A6240B" w:rsidRPr="00E11FFB" w:rsidRDefault="00A6240B" w:rsidP="00A6240B">
            <w:pPr>
              <w:pStyle w:val="Paragraphedeliste"/>
              <w:numPr>
                <w:ilvl w:val="0"/>
                <w:numId w:val="32"/>
              </w:numPr>
              <w:rPr>
                <w:sz w:val="20"/>
                <w:szCs w:val="20"/>
              </w:rPr>
            </w:pPr>
            <w:hyperlink r:id="rId221" w:history="1">
              <w:r w:rsidRPr="00E11FFB">
                <w:rPr>
                  <w:rStyle w:val="Lienhypertexte"/>
                  <w:sz w:val="20"/>
                  <w:szCs w:val="20"/>
                </w:rPr>
                <w:t>Rapport d’acquisition des matériels informatiques</w:t>
              </w:r>
            </w:hyperlink>
          </w:p>
          <w:p w14:paraId="61C7DD5F" w14:textId="77777777" w:rsidR="00A6240B" w:rsidRPr="00E11FFB" w:rsidRDefault="00A6240B" w:rsidP="00A6240B">
            <w:pPr>
              <w:pStyle w:val="Paragraphedeliste"/>
              <w:numPr>
                <w:ilvl w:val="0"/>
                <w:numId w:val="32"/>
              </w:numPr>
              <w:rPr>
                <w:sz w:val="20"/>
                <w:szCs w:val="20"/>
              </w:rPr>
            </w:pPr>
          </w:p>
        </w:tc>
      </w:tr>
      <w:tr w:rsidR="00A6240B" w:rsidRPr="00E11FFB" w14:paraId="1473EC93" w14:textId="77777777" w:rsidTr="00965B89">
        <w:trPr>
          <w:trHeight w:val="359"/>
        </w:trPr>
        <w:tc>
          <w:tcPr>
            <w:tcW w:w="3351" w:type="dxa"/>
          </w:tcPr>
          <w:p w14:paraId="3050911C" w14:textId="77777777" w:rsidR="00A6240B" w:rsidRPr="00E11FFB" w:rsidRDefault="00A6240B" w:rsidP="003A6DE1">
            <w:pPr>
              <w:rPr>
                <w:sz w:val="20"/>
                <w:szCs w:val="20"/>
                <w:lang w:val="fr-CD"/>
              </w:rPr>
            </w:pPr>
            <w:r w:rsidRPr="00E11FFB">
              <w:rPr>
                <w:sz w:val="20"/>
                <w:szCs w:val="20"/>
                <w:lang w:val="fr-CD"/>
              </w:rPr>
              <w:t>Activité 5.4.3 :  Appuyer les DANTIC des Ministères des Mines et des Hydrocarbures.</w:t>
            </w:r>
          </w:p>
          <w:p w14:paraId="1DDBB052" w14:textId="77777777" w:rsidR="00A6240B" w:rsidRPr="00E11FFB" w:rsidRDefault="00A6240B" w:rsidP="003A6DE1">
            <w:pPr>
              <w:rPr>
                <w:sz w:val="20"/>
                <w:szCs w:val="20"/>
                <w:lang w:val="fr-CD"/>
              </w:rPr>
            </w:pPr>
          </w:p>
        </w:tc>
        <w:tc>
          <w:tcPr>
            <w:tcW w:w="6621" w:type="dxa"/>
          </w:tcPr>
          <w:p w14:paraId="100808C4" w14:textId="77777777" w:rsidR="00A6240B" w:rsidRPr="007C2141" w:rsidRDefault="00A6240B" w:rsidP="00A6240B">
            <w:pPr>
              <w:pStyle w:val="Paragraphedeliste"/>
              <w:numPr>
                <w:ilvl w:val="0"/>
                <w:numId w:val="32"/>
              </w:numPr>
              <w:rPr>
                <w:sz w:val="20"/>
                <w:szCs w:val="20"/>
                <w:lang w:val="fr-FR"/>
              </w:rPr>
            </w:pPr>
            <w:hyperlink r:id="rId222" w:history="1">
              <w:r w:rsidRPr="007C2141">
                <w:rPr>
                  <w:rStyle w:val="Lienhypertexte"/>
                  <w:sz w:val="20"/>
                  <w:szCs w:val="20"/>
                  <w:lang w:val="fr-FR"/>
                </w:rPr>
                <w:t>Rapport de la réunion sur l’hébergement du site</w:t>
              </w:r>
            </w:hyperlink>
          </w:p>
          <w:p w14:paraId="1F450BEA" w14:textId="77777777" w:rsidR="00A6240B" w:rsidRPr="007C2141" w:rsidRDefault="00A6240B" w:rsidP="00A6240B">
            <w:pPr>
              <w:pStyle w:val="Paragraphedeliste"/>
              <w:numPr>
                <w:ilvl w:val="0"/>
                <w:numId w:val="32"/>
              </w:numPr>
              <w:rPr>
                <w:sz w:val="20"/>
                <w:szCs w:val="20"/>
                <w:lang w:val="fr-FR"/>
              </w:rPr>
            </w:pPr>
            <w:hyperlink r:id="rId223" w:history="1">
              <w:r w:rsidRPr="007C2141">
                <w:rPr>
                  <w:rStyle w:val="Lienhypertexte"/>
                  <w:sz w:val="20"/>
                  <w:szCs w:val="20"/>
                  <w:lang w:val="fr-FR"/>
                </w:rPr>
                <w:t>Rapport de la réunion sur la restructuration du site</w:t>
              </w:r>
            </w:hyperlink>
          </w:p>
          <w:p w14:paraId="36E6D924" w14:textId="77777777" w:rsidR="00A6240B" w:rsidRPr="007C2141" w:rsidRDefault="00A6240B" w:rsidP="00A6240B">
            <w:pPr>
              <w:pStyle w:val="Paragraphedeliste"/>
              <w:numPr>
                <w:ilvl w:val="0"/>
                <w:numId w:val="32"/>
              </w:numPr>
              <w:rPr>
                <w:sz w:val="20"/>
                <w:szCs w:val="20"/>
                <w:lang w:val="fr-FR"/>
              </w:rPr>
            </w:pPr>
            <w:hyperlink r:id="rId224" w:history="1">
              <w:r w:rsidRPr="007C2141">
                <w:rPr>
                  <w:rStyle w:val="Lienhypertexte"/>
                  <w:sz w:val="20"/>
                  <w:szCs w:val="20"/>
                  <w:lang w:val="fr-FR"/>
                </w:rPr>
                <w:t>Rapport de la réunion de webmaster avec le conseiller dantic</w:t>
              </w:r>
            </w:hyperlink>
          </w:p>
          <w:p w14:paraId="5124F858" w14:textId="77777777" w:rsidR="00A6240B" w:rsidRPr="00E11FFB" w:rsidRDefault="00A6240B" w:rsidP="00A6240B">
            <w:pPr>
              <w:pStyle w:val="Paragraphedeliste"/>
              <w:numPr>
                <w:ilvl w:val="0"/>
                <w:numId w:val="32"/>
              </w:numPr>
              <w:rPr>
                <w:sz w:val="20"/>
                <w:szCs w:val="20"/>
              </w:rPr>
            </w:pPr>
            <w:hyperlink r:id="rId225" w:history="1">
              <w:r w:rsidRPr="00E11FFB">
                <w:rPr>
                  <w:rStyle w:val="Lienhypertexte"/>
                  <w:sz w:val="20"/>
                  <w:szCs w:val="20"/>
                </w:rPr>
                <w:t>Formation de webmaster</w:t>
              </w:r>
            </w:hyperlink>
            <w:r w:rsidRPr="00E11FFB">
              <w:rPr>
                <w:sz w:val="20"/>
                <w:szCs w:val="20"/>
              </w:rPr>
              <w:t xml:space="preserve"> </w:t>
            </w:r>
          </w:p>
          <w:p w14:paraId="12581FA3" w14:textId="77777777" w:rsidR="00A6240B" w:rsidRPr="007C2141" w:rsidRDefault="00A6240B" w:rsidP="00A6240B">
            <w:pPr>
              <w:pStyle w:val="Paragraphedeliste"/>
              <w:numPr>
                <w:ilvl w:val="0"/>
                <w:numId w:val="32"/>
              </w:numPr>
              <w:rPr>
                <w:sz w:val="20"/>
                <w:szCs w:val="20"/>
                <w:lang w:val="fr-FR"/>
              </w:rPr>
            </w:pPr>
            <w:hyperlink r:id="rId226" w:history="1">
              <w:r w:rsidRPr="007C2141">
                <w:rPr>
                  <w:rStyle w:val="Lienhypertexte"/>
                  <w:sz w:val="20"/>
                  <w:szCs w:val="20"/>
                  <w:lang w:val="fr-FR"/>
                </w:rPr>
                <w:t>Liste de présence de formation de webmaster</w:t>
              </w:r>
            </w:hyperlink>
            <w:r w:rsidRPr="007C2141">
              <w:rPr>
                <w:sz w:val="20"/>
                <w:szCs w:val="20"/>
                <w:lang w:val="fr-FR"/>
              </w:rPr>
              <w:t xml:space="preserve"> </w:t>
            </w:r>
          </w:p>
          <w:p w14:paraId="59C2779F" w14:textId="77777777" w:rsidR="00A6240B" w:rsidRPr="00E11FFB" w:rsidRDefault="00A6240B" w:rsidP="00A6240B">
            <w:pPr>
              <w:pStyle w:val="Paragraphedeliste"/>
              <w:numPr>
                <w:ilvl w:val="0"/>
                <w:numId w:val="32"/>
              </w:numPr>
              <w:rPr>
                <w:sz w:val="20"/>
                <w:szCs w:val="20"/>
              </w:rPr>
            </w:pPr>
            <w:hyperlink r:id="rId227" w:history="1">
              <w:r w:rsidRPr="00E11FFB">
                <w:rPr>
                  <w:rStyle w:val="Lienhypertexte"/>
                  <w:sz w:val="20"/>
                  <w:szCs w:val="20"/>
                </w:rPr>
                <w:t>Rapports mensuels de webmaster</w:t>
              </w:r>
            </w:hyperlink>
          </w:p>
        </w:tc>
      </w:tr>
    </w:tbl>
    <w:p w14:paraId="3E4786C3" w14:textId="77777777" w:rsidR="00A6240B" w:rsidRPr="00E11FFB" w:rsidRDefault="00A6240B" w:rsidP="00A6240B"/>
    <w:p w14:paraId="56E82FF8" w14:textId="0D40FD0A" w:rsidR="009320F1" w:rsidRDefault="009320F1" w:rsidP="009320F1">
      <w:pPr>
        <w:spacing w:before="240"/>
        <w:rPr>
          <w:b/>
          <w:bCs/>
          <w:sz w:val="28"/>
          <w:szCs w:val="28"/>
          <w:u w:val="single"/>
        </w:rPr>
      </w:pPr>
      <w:r>
        <w:rPr>
          <w:b/>
          <w:bCs/>
          <w:sz w:val="28"/>
          <w:szCs w:val="28"/>
          <w:u w:val="single"/>
        </w:rPr>
        <w:t>11.6. Composante</w:t>
      </w:r>
      <w:r w:rsidRPr="00E11FFB">
        <w:rPr>
          <w:b/>
          <w:bCs/>
          <w:sz w:val="28"/>
          <w:szCs w:val="28"/>
          <w:u w:val="single"/>
        </w:rPr>
        <w:t xml:space="preserve"> </w:t>
      </w:r>
      <w:r>
        <w:rPr>
          <w:b/>
          <w:bCs/>
          <w:sz w:val="28"/>
          <w:szCs w:val="28"/>
          <w:u w:val="single"/>
        </w:rPr>
        <w:t xml:space="preserve">6 : </w:t>
      </w:r>
      <w:r w:rsidR="00A6240B" w:rsidRPr="00E11FFB">
        <w:rPr>
          <w:b/>
          <w:bCs/>
          <w:sz w:val="28"/>
          <w:szCs w:val="28"/>
          <w:u w:val="single"/>
        </w:rPr>
        <w:t>Mines</w:t>
      </w:r>
    </w:p>
    <w:p w14:paraId="5909CBFE" w14:textId="33BF8F46" w:rsidR="00A6240B" w:rsidRPr="00E11FFB" w:rsidRDefault="00A6240B" w:rsidP="009320F1">
      <w:pPr>
        <w:spacing w:before="240"/>
        <w:rPr>
          <w:b/>
          <w:bCs/>
          <w:sz w:val="28"/>
          <w:szCs w:val="28"/>
          <w:u w:val="single"/>
        </w:rPr>
      </w:pPr>
      <w:r w:rsidRPr="00E11FFB">
        <w:rPr>
          <w:b/>
          <w:bCs/>
          <w:sz w:val="28"/>
          <w:szCs w:val="28"/>
          <w:u w:val="single"/>
        </w:rPr>
        <w:t xml:space="preserve"> </w:t>
      </w:r>
    </w:p>
    <w:tbl>
      <w:tblPr>
        <w:tblStyle w:val="Grilledutableau"/>
        <w:tblW w:w="10313" w:type="dxa"/>
        <w:tblInd w:w="-275" w:type="dxa"/>
        <w:tblLook w:val="04A0" w:firstRow="1" w:lastRow="0" w:firstColumn="1" w:lastColumn="0" w:noHBand="0" w:noVBand="1"/>
      </w:tblPr>
      <w:tblGrid>
        <w:gridCol w:w="3648"/>
        <w:gridCol w:w="6665"/>
      </w:tblGrid>
      <w:tr w:rsidR="00A6240B" w:rsidRPr="00E11FFB" w14:paraId="1B533D9E" w14:textId="77777777" w:rsidTr="00BE5822">
        <w:trPr>
          <w:trHeight w:val="181"/>
          <w:tblHeader/>
        </w:trPr>
        <w:tc>
          <w:tcPr>
            <w:tcW w:w="3648" w:type="dxa"/>
            <w:shd w:val="clear" w:color="auto" w:fill="FDE9D9" w:themeFill="accent6" w:themeFillTint="33"/>
          </w:tcPr>
          <w:p w14:paraId="67E3B15A" w14:textId="77777777" w:rsidR="00A6240B" w:rsidRPr="00E11FFB" w:rsidRDefault="00A6240B" w:rsidP="003A6DE1">
            <w:pPr>
              <w:rPr>
                <w:b/>
                <w:bCs/>
                <w:sz w:val="20"/>
                <w:szCs w:val="20"/>
                <w:u w:val="single"/>
                <w:lang w:val="fr-CD"/>
              </w:rPr>
            </w:pPr>
            <w:r w:rsidRPr="00E11FFB">
              <w:rPr>
                <w:b/>
                <w:bCs/>
                <w:sz w:val="20"/>
                <w:szCs w:val="20"/>
                <w:u w:val="single"/>
                <w:lang w:val="fr-CD"/>
              </w:rPr>
              <w:t>Activité</w:t>
            </w:r>
          </w:p>
        </w:tc>
        <w:tc>
          <w:tcPr>
            <w:tcW w:w="6665" w:type="dxa"/>
            <w:shd w:val="clear" w:color="auto" w:fill="FDE9D9" w:themeFill="accent6" w:themeFillTint="33"/>
          </w:tcPr>
          <w:p w14:paraId="2517C0FC" w14:textId="77777777" w:rsidR="00A6240B" w:rsidRPr="00E11FFB" w:rsidRDefault="00A6240B" w:rsidP="003A6DE1">
            <w:pPr>
              <w:rPr>
                <w:b/>
                <w:bCs/>
                <w:sz w:val="20"/>
                <w:szCs w:val="20"/>
                <w:lang w:val="fr-CD"/>
              </w:rPr>
            </w:pPr>
            <w:r w:rsidRPr="00E11FFB">
              <w:rPr>
                <w:b/>
                <w:bCs/>
                <w:sz w:val="20"/>
                <w:szCs w:val="20"/>
                <w:lang w:val="fr-CD"/>
              </w:rPr>
              <w:t xml:space="preserve">Listes de livrables </w:t>
            </w:r>
          </w:p>
        </w:tc>
      </w:tr>
      <w:tr w:rsidR="00A6240B" w:rsidRPr="00E11FFB" w14:paraId="39BC0C71" w14:textId="77777777" w:rsidTr="00BE5822">
        <w:trPr>
          <w:trHeight w:val="463"/>
        </w:trPr>
        <w:tc>
          <w:tcPr>
            <w:tcW w:w="3648" w:type="dxa"/>
          </w:tcPr>
          <w:p w14:paraId="636FA778" w14:textId="77777777" w:rsidR="00A6240B" w:rsidRPr="00E11FFB" w:rsidRDefault="00A6240B" w:rsidP="003A6DE1">
            <w:pPr>
              <w:rPr>
                <w:sz w:val="20"/>
                <w:szCs w:val="20"/>
                <w:lang w:val="fr-CD"/>
              </w:rPr>
            </w:pPr>
            <w:r w:rsidRPr="00E11FFB">
              <w:rPr>
                <w:sz w:val="20"/>
                <w:szCs w:val="20"/>
                <w:lang w:val="fr-CD"/>
              </w:rPr>
              <w:t>Activité 5.1.1 : Publier les actes réglementaires rendant obligatoires la réalisation des EES, et les rapports des missions annuelles de contrôle / évaluation.</w:t>
            </w:r>
          </w:p>
        </w:tc>
        <w:tc>
          <w:tcPr>
            <w:tcW w:w="6665" w:type="dxa"/>
          </w:tcPr>
          <w:p w14:paraId="4D7894F6" w14:textId="77777777" w:rsidR="00A6240B" w:rsidRPr="007C2141" w:rsidRDefault="00A6240B" w:rsidP="00A6240B">
            <w:pPr>
              <w:pStyle w:val="Paragraphedeliste"/>
              <w:numPr>
                <w:ilvl w:val="0"/>
                <w:numId w:val="32"/>
              </w:numPr>
              <w:rPr>
                <w:sz w:val="20"/>
                <w:szCs w:val="20"/>
                <w:lang w:val="fr-FR"/>
              </w:rPr>
            </w:pPr>
            <w:hyperlink r:id="rId228" w:history="1">
              <w:r w:rsidRPr="007C2141">
                <w:rPr>
                  <w:rStyle w:val="Lienhypertexte"/>
                  <w:sz w:val="20"/>
                  <w:szCs w:val="20"/>
                  <w:lang w:val="fr-FR"/>
                </w:rPr>
                <w:t>Lettre de transmission et rapport de formation et renforcement de capacités des experts sur les IES</w:t>
              </w:r>
            </w:hyperlink>
          </w:p>
          <w:p w14:paraId="25F79090" w14:textId="77777777" w:rsidR="00A6240B" w:rsidRPr="007C2141" w:rsidRDefault="00A6240B" w:rsidP="00A6240B">
            <w:pPr>
              <w:pStyle w:val="Paragraphedeliste"/>
              <w:numPr>
                <w:ilvl w:val="0"/>
                <w:numId w:val="32"/>
              </w:numPr>
              <w:rPr>
                <w:sz w:val="20"/>
                <w:szCs w:val="20"/>
                <w:lang w:val="fr-FR"/>
              </w:rPr>
            </w:pPr>
            <w:hyperlink r:id="rId229" w:history="1">
              <w:r w:rsidRPr="007C2141">
                <w:rPr>
                  <w:rStyle w:val="Lienhypertexte"/>
                  <w:sz w:val="20"/>
                  <w:szCs w:val="20"/>
                  <w:lang w:val="fr-FR"/>
                </w:rPr>
                <w:t>Liste de présence à la formation et renforcement de capacité</w:t>
              </w:r>
            </w:hyperlink>
            <w:r w:rsidRPr="007C2141">
              <w:rPr>
                <w:sz w:val="20"/>
                <w:szCs w:val="20"/>
                <w:lang w:val="fr-FR"/>
              </w:rPr>
              <w:t xml:space="preserve"> </w:t>
            </w:r>
          </w:p>
          <w:p w14:paraId="2571AD12" w14:textId="77777777" w:rsidR="00A6240B" w:rsidRPr="007C2141" w:rsidRDefault="00A6240B" w:rsidP="00A6240B">
            <w:pPr>
              <w:pStyle w:val="Paragraphedeliste"/>
              <w:numPr>
                <w:ilvl w:val="0"/>
                <w:numId w:val="32"/>
              </w:numPr>
              <w:rPr>
                <w:sz w:val="20"/>
                <w:szCs w:val="20"/>
                <w:lang w:val="fr-FR"/>
              </w:rPr>
            </w:pPr>
            <w:hyperlink r:id="rId230" w:history="1">
              <w:r w:rsidRPr="007C2141">
                <w:rPr>
                  <w:rStyle w:val="Lienhypertexte"/>
                  <w:sz w:val="20"/>
                  <w:szCs w:val="20"/>
                  <w:lang w:val="fr-FR"/>
                </w:rPr>
                <w:t>Modules de formation des experts de mines</w:t>
              </w:r>
            </w:hyperlink>
          </w:p>
          <w:p w14:paraId="15094D54" w14:textId="77777777" w:rsidR="00A6240B" w:rsidRPr="007C2141" w:rsidRDefault="00A6240B" w:rsidP="00A6240B">
            <w:pPr>
              <w:pStyle w:val="Paragraphedeliste"/>
              <w:numPr>
                <w:ilvl w:val="0"/>
                <w:numId w:val="32"/>
              </w:numPr>
              <w:rPr>
                <w:sz w:val="20"/>
                <w:szCs w:val="20"/>
                <w:lang w:val="fr-FR"/>
              </w:rPr>
            </w:pPr>
            <w:hyperlink r:id="rId231" w:history="1">
              <w:r w:rsidRPr="007C2141">
                <w:rPr>
                  <w:rStyle w:val="Lienhypertexte"/>
                  <w:sz w:val="20"/>
                  <w:szCs w:val="20"/>
                  <w:lang w:val="fr-FR"/>
                </w:rPr>
                <w:t>Atelier de validation d’un acte réglementaire du secteur mines sur les IES</w:t>
              </w:r>
            </w:hyperlink>
          </w:p>
          <w:p w14:paraId="20E8556D" w14:textId="77777777" w:rsidR="00A6240B" w:rsidRPr="007C2141" w:rsidRDefault="00A6240B" w:rsidP="00A6240B">
            <w:pPr>
              <w:pStyle w:val="Paragraphedeliste"/>
              <w:numPr>
                <w:ilvl w:val="0"/>
                <w:numId w:val="32"/>
              </w:numPr>
              <w:rPr>
                <w:sz w:val="20"/>
                <w:szCs w:val="20"/>
                <w:lang w:val="fr-FR"/>
              </w:rPr>
            </w:pPr>
            <w:hyperlink r:id="rId232" w:history="1">
              <w:r w:rsidRPr="007C2141">
                <w:rPr>
                  <w:rStyle w:val="Lienhypertexte"/>
                  <w:sz w:val="20"/>
                  <w:szCs w:val="20"/>
                  <w:lang w:val="fr-FR"/>
                </w:rPr>
                <w:t>Draft d’acte règlementaire du rapport annuel de réalisation des travaux d’exploitation</w:t>
              </w:r>
            </w:hyperlink>
          </w:p>
          <w:p w14:paraId="0C21FC22" w14:textId="77777777" w:rsidR="00A6240B" w:rsidRPr="007C2141" w:rsidRDefault="00A6240B" w:rsidP="00A6240B">
            <w:pPr>
              <w:pStyle w:val="Paragraphedeliste"/>
              <w:numPr>
                <w:ilvl w:val="0"/>
                <w:numId w:val="32"/>
              </w:numPr>
              <w:rPr>
                <w:sz w:val="20"/>
                <w:szCs w:val="20"/>
                <w:lang w:val="fr-FR"/>
              </w:rPr>
            </w:pPr>
            <w:hyperlink r:id="rId233" w:history="1">
              <w:r w:rsidRPr="007C2141">
                <w:rPr>
                  <w:rStyle w:val="Lienhypertexte"/>
                  <w:sz w:val="20"/>
                  <w:szCs w:val="20"/>
                  <w:lang w:val="fr-FR"/>
                </w:rPr>
                <w:t>Draft d’acte réglementaire du rapport d’audit environnemental et social du secteur de mines</w:t>
              </w:r>
            </w:hyperlink>
            <w:r w:rsidRPr="007C2141">
              <w:rPr>
                <w:sz w:val="20"/>
                <w:szCs w:val="20"/>
                <w:lang w:val="fr-FR"/>
              </w:rPr>
              <w:t xml:space="preserve"> </w:t>
            </w:r>
          </w:p>
          <w:p w14:paraId="5AF6C93E" w14:textId="225EB4CD" w:rsidR="00A6240B" w:rsidRPr="007C2141" w:rsidRDefault="00A6240B" w:rsidP="00A6240B">
            <w:pPr>
              <w:pStyle w:val="Paragraphedeliste"/>
              <w:numPr>
                <w:ilvl w:val="0"/>
                <w:numId w:val="32"/>
              </w:numPr>
              <w:rPr>
                <w:sz w:val="20"/>
                <w:szCs w:val="20"/>
                <w:lang w:val="fr-FR"/>
              </w:rPr>
            </w:pPr>
            <w:hyperlink r:id="rId234" w:history="1">
              <w:r w:rsidRPr="007C2141">
                <w:rPr>
                  <w:rStyle w:val="Lienhypertexte"/>
                  <w:sz w:val="20"/>
                  <w:szCs w:val="20"/>
                  <w:lang w:val="fr-FR"/>
                </w:rPr>
                <w:t>Contrat de consultance sur l’élaboration et la finalisation de l’acte réglementaire IES</w:t>
              </w:r>
            </w:hyperlink>
          </w:p>
          <w:p w14:paraId="0ED26D69" w14:textId="16C1F003" w:rsidR="00CA5E85" w:rsidRPr="007C2141" w:rsidRDefault="00CA5E85" w:rsidP="00A6240B">
            <w:pPr>
              <w:pStyle w:val="Paragraphedeliste"/>
              <w:numPr>
                <w:ilvl w:val="0"/>
                <w:numId w:val="32"/>
              </w:numPr>
              <w:rPr>
                <w:sz w:val="20"/>
                <w:szCs w:val="20"/>
                <w:lang w:val="fr-FR"/>
              </w:rPr>
            </w:pPr>
            <w:hyperlink r:id="rId235" w:history="1">
              <w:r w:rsidRPr="007C2141">
                <w:rPr>
                  <w:rStyle w:val="Lienhypertexte"/>
                  <w:sz w:val="20"/>
                  <w:szCs w:val="20"/>
                  <w:lang w:val="fr-FR"/>
                </w:rPr>
                <w:t>Contrat_Consultant_Renforcement des capacités_environnementales</w:t>
              </w:r>
            </w:hyperlink>
          </w:p>
        </w:tc>
      </w:tr>
      <w:tr w:rsidR="00A6240B" w:rsidRPr="00E11FFB" w14:paraId="07BA3967" w14:textId="77777777" w:rsidTr="00BE5822">
        <w:trPr>
          <w:trHeight w:val="463"/>
        </w:trPr>
        <w:tc>
          <w:tcPr>
            <w:tcW w:w="3648" w:type="dxa"/>
          </w:tcPr>
          <w:p w14:paraId="7E3626D6" w14:textId="77777777" w:rsidR="00A6240B" w:rsidRPr="00E11FFB" w:rsidRDefault="00A6240B" w:rsidP="003A6DE1">
            <w:pPr>
              <w:rPr>
                <w:sz w:val="20"/>
                <w:szCs w:val="20"/>
                <w:lang w:val="fr-CD"/>
              </w:rPr>
            </w:pPr>
            <w:r w:rsidRPr="00E11FFB">
              <w:rPr>
                <w:sz w:val="20"/>
                <w:szCs w:val="20"/>
                <w:lang w:val="fr-CD"/>
              </w:rPr>
              <w:t>Activité 5.2.1 : Publier les contrats miniers et des hydrocarbures.</w:t>
            </w:r>
          </w:p>
        </w:tc>
        <w:tc>
          <w:tcPr>
            <w:tcW w:w="6665" w:type="dxa"/>
          </w:tcPr>
          <w:p w14:paraId="7E7CCD22" w14:textId="77777777" w:rsidR="00A6240B" w:rsidRPr="007C2141" w:rsidRDefault="00A6240B" w:rsidP="00A6240B">
            <w:pPr>
              <w:pStyle w:val="Paragraphedeliste"/>
              <w:numPr>
                <w:ilvl w:val="0"/>
                <w:numId w:val="32"/>
              </w:numPr>
              <w:rPr>
                <w:sz w:val="20"/>
                <w:szCs w:val="20"/>
                <w:lang w:val="fr-FR"/>
              </w:rPr>
            </w:pPr>
            <w:hyperlink r:id="rId236" w:history="1">
              <w:r w:rsidRPr="007C2141">
                <w:rPr>
                  <w:rStyle w:val="Lienhypertexte"/>
                  <w:sz w:val="20"/>
                  <w:szCs w:val="20"/>
                  <w:lang w:val="fr-FR"/>
                </w:rPr>
                <w:t>Site de publication des contrats miniers</w:t>
              </w:r>
            </w:hyperlink>
            <w:r w:rsidRPr="007C2141">
              <w:rPr>
                <w:sz w:val="20"/>
                <w:szCs w:val="20"/>
                <w:lang w:val="fr-FR"/>
              </w:rPr>
              <w:t xml:space="preserve"> </w:t>
            </w:r>
          </w:p>
          <w:p w14:paraId="14D6990D" w14:textId="77777777" w:rsidR="00A6240B" w:rsidRPr="007C2141" w:rsidRDefault="00A6240B" w:rsidP="00A6240B">
            <w:pPr>
              <w:pStyle w:val="Paragraphedeliste"/>
              <w:numPr>
                <w:ilvl w:val="0"/>
                <w:numId w:val="32"/>
              </w:numPr>
              <w:rPr>
                <w:sz w:val="20"/>
                <w:szCs w:val="20"/>
                <w:lang w:val="fr-FR"/>
              </w:rPr>
            </w:pPr>
          </w:p>
        </w:tc>
      </w:tr>
      <w:tr w:rsidR="00A6240B" w:rsidRPr="00E11FFB" w14:paraId="05FBF77C" w14:textId="77777777" w:rsidTr="00BE5822">
        <w:trPr>
          <w:trHeight w:val="463"/>
        </w:trPr>
        <w:tc>
          <w:tcPr>
            <w:tcW w:w="3648" w:type="dxa"/>
          </w:tcPr>
          <w:p w14:paraId="0E38E84E" w14:textId="77777777" w:rsidR="00A6240B" w:rsidRPr="00E11FFB" w:rsidRDefault="00A6240B" w:rsidP="003A6DE1">
            <w:pPr>
              <w:rPr>
                <w:sz w:val="20"/>
                <w:szCs w:val="20"/>
                <w:lang w:val="fr-CD"/>
              </w:rPr>
            </w:pPr>
            <w:r w:rsidRPr="00E11FFB">
              <w:rPr>
                <w:sz w:val="20"/>
                <w:szCs w:val="20"/>
                <w:lang w:val="fr-CD"/>
              </w:rPr>
              <w:t>Activité 5.3.1 : Appuyer l'élaboration des Normes REDD+ dans les secteurs des Mines et des Hydrocarbures.</w:t>
            </w:r>
          </w:p>
        </w:tc>
        <w:tc>
          <w:tcPr>
            <w:tcW w:w="6665" w:type="dxa"/>
          </w:tcPr>
          <w:p w14:paraId="3834C18B" w14:textId="77777777" w:rsidR="00A6240B" w:rsidRPr="002A0E14" w:rsidRDefault="00A6240B" w:rsidP="00A6240B">
            <w:pPr>
              <w:pStyle w:val="Paragraphedeliste"/>
              <w:numPr>
                <w:ilvl w:val="0"/>
                <w:numId w:val="32"/>
              </w:numPr>
              <w:rPr>
                <w:sz w:val="20"/>
                <w:szCs w:val="20"/>
                <w:lang w:val="fr-FR"/>
              </w:rPr>
            </w:pPr>
            <w:r w:rsidRPr="00E11FFB">
              <w:rPr>
                <w:sz w:val="20"/>
                <w:szCs w:val="20"/>
              </w:rPr>
              <w:fldChar w:fldCharType="begin"/>
            </w:r>
            <w:r w:rsidRPr="002A0E14">
              <w:rPr>
                <w:sz w:val="20"/>
                <w:szCs w:val="20"/>
                <w:lang w:val="fr-FR"/>
              </w:rPr>
              <w:instrText>HYPERLINK "https://docs.google.com/document/d/1z965Y0Sqduabr0BV6mu1rT_-EewgxoME/edit?usp=drive_link&amp;ouid=108778412236978298707&amp;rtpof=true&amp;sd=true"</w:instrText>
            </w:r>
            <w:r w:rsidRPr="00E11FFB">
              <w:rPr>
                <w:sz w:val="20"/>
                <w:szCs w:val="20"/>
              </w:rPr>
            </w:r>
            <w:r w:rsidRPr="00E11FFB">
              <w:rPr>
                <w:sz w:val="20"/>
                <w:szCs w:val="20"/>
              </w:rPr>
              <w:fldChar w:fldCharType="separate"/>
            </w:r>
            <w:r w:rsidRPr="002A0E14">
              <w:rPr>
                <w:rStyle w:val="Lienhypertexte"/>
                <w:sz w:val="20"/>
                <w:szCs w:val="20"/>
                <w:lang w:val="fr-FR"/>
              </w:rPr>
              <w:t xml:space="preserve">Rapport de la réunion sur les normes entre la GIZ, Mines et </w:t>
            </w:r>
          </w:p>
          <w:p w14:paraId="5AF1B6BB" w14:textId="77777777" w:rsidR="00A6240B" w:rsidRPr="00E11FFB" w:rsidRDefault="00A6240B" w:rsidP="00A6240B">
            <w:pPr>
              <w:pStyle w:val="Paragraphedeliste"/>
              <w:numPr>
                <w:ilvl w:val="0"/>
                <w:numId w:val="32"/>
              </w:numPr>
              <w:rPr>
                <w:sz w:val="20"/>
                <w:szCs w:val="20"/>
              </w:rPr>
            </w:pPr>
            <w:r w:rsidRPr="00E11FFB">
              <w:rPr>
                <w:rStyle w:val="Lienhypertexte"/>
                <w:sz w:val="20"/>
                <w:szCs w:val="20"/>
              </w:rPr>
              <w:t>ACE</w:t>
            </w:r>
            <w:r w:rsidRPr="00E11FFB">
              <w:rPr>
                <w:sz w:val="20"/>
                <w:szCs w:val="20"/>
              </w:rPr>
              <w:fldChar w:fldCharType="end"/>
            </w:r>
          </w:p>
        </w:tc>
      </w:tr>
      <w:tr w:rsidR="00A6240B" w:rsidRPr="00E11FFB" w14:paraId="2F838F70" w14:textId="77777777" w:rsidTr="00BE5822">
        <w:trPr>
          <w:trHeight w:val="463"/>
        </w:trPr>
        <w:tc>
          <w:tcPr>
            <w:tcW w:w="3648" w:type="dxa"/>
          </w:tcPr>
          <w:p w14:paraId="2E51F177" w14:textId="77777777" w:rsidR="00A6240B" w:rsidRPr="00E11FFB" w:rsidRDefault="00A6240B" w:rsidP="003A6DE1">
            <w:pPr>
              <w:rPr>
                <w:sz w:val="20"/>
                <w:szCs w:val="20"/>
                <w:lang w:val="fr-CD"/>
              </w:rPr>
            </w:pPr>
            <w:r w:rsidRPr="00E11FFB">
              <w:rPr>
                <w:sz w:val="20"/>
                <w:szCs w:val="20"/>
                <w:lang w:val="fr-CD"/>
              </w:rPr>
              <w:t>Activité 5.4.1 : Appuyer la Task-Force de pilotage de l'atteinte du processus de réalisation des jalons de LOI.</w:t>
            </w:r>
          </w:p>
        </w:tc>
        <w:tc>
          <w:tcPr>
            <w:tcW w:w="6665" w:type="dxa"/>
          </w:tcPr>
          <w:p w14:paraId="18A93C86" w14:textId="77777777" w:rsidR="00A6240B" w:rsidRPr="007C2141" w:rsidRDefault="00A6240B" w:rsidP="00A6240B">
            <w:pPr>
              <w:pStyle w:val="Paragraphedeliste"/>
              <w:numPr>
                <w:ilvl w:val="0"/>
                <w:numId w:val="32"/>
              </w:numPr>
              <w:rPr>
                <w:sz w:val="20"/>
                <w:szCs w:val="20"/>
                <w:lang w:val="fr-FR"/>
              </w:rPr>
            </w:pPr>
            <w:r w:rsidRPr="007C2141">
              <w:rPr>
                <w:sz w:val="20"/>
                <w:szCs w:val="20"/>
                <w:lang w:val="fr-FR"/>
              </w:rPr>
              <w:t>Rapports individuels des membres de la task-force</w:t>
            </w:r>
          </w:p>
        </w:tc>
      </w:tr>
      <w:tr w:rsidR="00A6240B" w:rsidRPr="00E11FFB" w14:paraId="3CAEA39C" w14:textId="77777777" w:rsidTr="00BE5822">
        <w:trPr>
          <w:trHeight w:val="463"/>
        </w:trPr>
        <w:tc>
          <w:tcPr>
            <w:tcW w:w="3648" w:type="dxa"/>
          </w:tcPr>
          <w:p w14:paraId="65227C59" w14:textId="77777777" w:rsidR="00A6240B" w:rsidRPr="00E11FFB" w:rsidRDefault="00A6240B" w:rsidP="003A6DE1">
            <w:pPr>
              <w:rPr>
                <w:sz w:val="20"/>
                <w:szCs w:val="20"/>
                <w:lang w:val="fr-CD"/>
              </w:rPr>
            </w:pPr>
            <w:r w:rsidRPr="00E11FFB">
              <w:rPr>
                <w:sz w:val="20"/>
                <w:szCs w:val="20"/>
                <w:lang w:val="fr-CD"/>
              </w:rPr>
              <w:t>Activité 5.4.2 : Appuyer le fonctionnement et la logistique de la Task-Force d'appui à la réalisation des jalons des Ministères des Mines et des Hydrocarbures.</w:t>
            </w:r>
          </w:p>
        </w:tc>
        <w:tc>
          <w:tcPr>
            <w:tcW w:w="6665" w:type="dxa"/>
          </w:tcPr>
          <w:p w14:paraId="1BEA0ED4" w14:textId="77777777" w:rsidR="00A6240B" w:rsidRDefault="00A6240B" w:rsidP="00A6240B">
            <w:pPr>
              <w:pStyle w:val="Paragraphedeliste"/>
              <w:numPr>
                <w:ilvl w:val="0"/>
                <w:numId w:val="32"/>
              </w:numPr>
              <w:rPr>
                <w:sz w:val="20"/>
                <w:szCs w:val="20"/>
              </w:rPr>
            </w:pPr>
            <w:hyperlink r:id="rId237" w:history="1">
              <w:r w:rsidRPr="00116CA1">
                <w:rPr>
                  <w:rStyle w:val="Lienhypertexte"/>
                  <w:sz w:val="20"/>
                  <w:szCs w:val="20"/>
                </w:rPr>
                <w:t>Rapport d’acquisition des matériels</w:t>
              </w:r>
            </w:hyperlink>
            <w:r w:rsidRPr="00BE5822">
              <w:rPr>
                <w:sz w:val="20"/>
                <w:szCs w:val="20"/>
              </w:rPr>
              <w:t xml:space="preserve"> </w:t>
            </w:r>
          </w:p>
          <w:p w14:paraId="7709592A" w14:textId="11624C81" w:rsidR="00CA5E85" w:rsidRPr="007C2141" w:rsidRDefault="00CA5E85" w:rsidP="00A6240B">
            <w:pPr>
              <w:pStyle w:val="Paragraphedeliste"/>
              <w:numPr>
                <w:ilvl w:val="0"/>
                <w:numId w:val="32"/>
              </w:numPr>
              <w:rPr>
                <w:sz w:val="20"/>
                <w:szCs w:val="20"/>
                <w:lang w:val="fr-FR"/>
              </w:rPr>
            </w:pPr>
            <w:r w:rsidRPr="007C2141">
              <w:rPr>
                <w:sz w:val="20"/>
                <w:szCs w:val="20"/>
                <w:lang w:val="fr-FR"/>
              </w:rPr>
              <w:t>Contrat de consultance mobilisation expertise interne</w:t>
            </w:r>
          </w:p>
        </w:tc>
      </w:tr>
      <w:tr w:rsidR="00A6240B" w:rsidRPr="00E11FFB" w14:paraId="35002050" w14:textId="77777777" w:rsidTr="00BE5822">
        <w:trPr>
          <w:trHeight w:val="463"/>
        </w:trPr>
        <w:tc>
          <w:tcPr>
            <w:tcW w:w="3648" w:type="dxa"/>
          </w:tcPr>
          <w:p w14:paraId="12C75B2F" w14:textId="77777777" w:rsidR="00A6240B" w:rsidRPr="00E11FFB" w:rsidRDefault="00A6240B" w:rsidP="003A6DE1">
            <w:pPr>
              <w:rPr>
                <w:sz w:val="20"/>
                <w:szCs w:val="20"/>
                <w:lang w:val="fr-CD"/>
              </w:rPr>
            </w:pPr>
            <w:r w:rsidRPr="00E11FFB">
              <w:rPr>
                <w:sz w:val="20"/>
                <w:szCs w:val="20"/>
                <w:lang w:val="fr-CD"/>
              </w:rPr>
              <w:t>Activité 5.4.3 :  Appuyer les DANTIC des Ministères des Mines et des Hydrocarbures.</w:t>
            </w:r>
          </w:p>
        </w:tc>
        <w:tc>
          <w:tcPr>
            <w:tcW w:w="6665" w:type="dxa"/>
          </w:tcPr>
          <w:p w14:paraId="0501E6CE" w14:textId="77777777" w:rsidR="00A6240B" w:rsidRPr="00BE5822" w:rsidRDefault="00A6240B" w:rsidP="00A6240B">
            <w:pPr>
              <w:pStyle w:val="Paragraphedeliste"/>
              <w:numPr>
                <w:ilvl w:val="0"/>
                <w:numId w:val="32"/>
              </w:numPr>
              <w:rPr>
                <w:sz w:val="20"/>
                <w:szCs w:val="20"/>
              </w:rPr>
            </w:pPr>
            <w:r w:rsidRPr="00BE5822">
              <w:rPr>
                <w:sz w:val="20"/>
                <w:szCs w:val="20"/>
              </w:rPr>
              <w:t xml:space="preserve">Rapport d’activité </w:t>
            </w:r>
          </w:p>
        </w:tc>
      </w:tr>
    </w:tbl>
    <w:p w14:paraId="60E46EBC" w14:textId="77777777" w:rsidR="00A6240B" w:rsidRPr="00E11FFB" w:rsidRDefault="00A6240B" w:rsidP="00A6240B"/>
    <w:p w14:paraId="3678FBB0" w14:textId="08849DEB" w:rsidR="00A6240B" w:rsidRDefault="009320F1" w:rsidP="00A6240B">
      <w:pPr>
        <w:rPr>
          <w:b/>
          <w:bCs/>
          <w:sz w:val="28"/>
          <w:szCs w:val="28"/>
          <w:u w:val="single"/>
        </w:rPr>
      </w:pPr>
      <w:r>
        <w:rPr>
          <w:b/>
          <w:bCs/>
          <w:sz w:val="28"/>
          <w:szCs w:val="28"/>
          <w:u w:val="single"/>
        </w:rPr>
        <w:t>11.7. Composante</w:t>
      </w:r>
      <w:r w:rsidRPr="00E11FFB">
        <w:rPr>
          <w:b/>
          <w:bCs/>
          <w:sz w:val="28"/>
          <w:szCs w:val="28"/>
          <w:u w:val="single"/>
        </w:rPr>
        <w:t xml:space="preserve"> </w:t>
      </w:r>
      <w:r>
        <w:rPr>
          <w:b/>
          <w:bCs/>
          <w:sz w:val="28"/>
          <w:szCs w:val="28"/>
          <w:u w:val="single"/>
        </w:rPr>
        <w:t xml:space="preserve">7 : </w:t>
      </w:r>
      <w:r w:rsidR="00A6240B" w:rsidRPr="00E11FFB">
        <w:rPr>
          <w:b/>
          <w:bCs/>
          <w:sz w:val="28"/>
          <w:szCs w:val="28"/>
          <w:u w:val="single"/>
        </w:rPr>
        <w:t>ITIE</w:t>
      </w:r>
    </w:p>
    <w:p w14:paraId="2645BF02" w14:textId="77777777" w:rsidR="00BE5822" w:rsidRPr="00E11FFB" w:rsidRDefault="00BE5822" w:rsidP="00A6240B">
      <w:pPr>
        <w:rPr>
          <w:b/>
          <w:bCs/>
          <w:sz w:val="28"/>
          <w:szCs w:val="28"/>
          <w:u w:val="single"/>
        </w:rPr>
      </w:pPr>
    </w:p>
    <w:tbl>
      <w:tblPr>
        <w:tblStyle w:val="Grilledutableau"/>
        <w:tblW w:w="10002" w:type="dxa"/>
        <w:tblInd w:w="-185" w:type="dxa"/>
        <w:tblLook w:val="04A0" w:firstRow="1" w:lastRow="0" w:firstColumn="1" w:lastColumn="0" w:noHBand="0" w:noVBand="1"/>
      </w:tblPr>
      <w:tblGrid>
        <w:gridCol w:w="3484"/>
        <w:gridCol w:w="6518"/>
      </w:tblGrid>
      <w:tr w:rsidR="00A6240B" w:rsidRPr="00E11FFB" w14:paraId="4C949F11" w14:textId="77777777" w:rsidTr="00BE5822">
        <w:trPr>
          <w:trHeight w:val="174"/>
          <w:tblHeader/>
        </w:trPr>
        <w:tc>
          <w:tcPr>
            <w:tcW w:w="3484" w:type="dxa"/>
            <w:shd w:val="clear" w:color="auto" w:fill="FDE9D9" w:themeFill="accent6" w:themeFillTint="33"/>
          </w:tcPr>
          <w:p w14:paraId="5A5C5D29" w14:textId="77777777" w:rsidR="00A6240B" w:rsidRPr="00E11FFB" w:rsidRDefault="00A6240B" w:rsidP="003A6DE1">
            <w:pPr>
              <w:rPr>
                <w:b/>
                <w:bCs/>
                <w:sz w:val="20"/>
                <w:szCs w:val="20"/>
                <w:u w:val="single"/>
                <w:lang w:val="fr-CD"/>
              </w:rPr>
            </w:pPr>
            <w:r w:rsidRPr="00E11FFB">
              <w:rPr>
                <w:b/>
                <w:bCs/>
                <w:sz w:val="20"/>
                <w:szCs w:val="20"/>
                <w:u w:val="single"/>
                <w:lang w:val="fr-CD"/>
              </w:rPr>
              <w:t>Activité</w:t>
            </w:r>
          </w:p>
        </w:tc>
        <w:tc>
          <w:tcPr>
            <w:tcW w:w="6518" w:type="dxa"/>
            <w:shd w:val="clear" w:color="auto" w:fill="FDE9D9" w:themeFill="accent6" w:themeFillTint="33"/>
          </w:tcPr>
          <w:p w14:paraId="246EE003" w14:textId="77777777" w:rsidR="00A6240B" w:rsidRPr="00E11FFB" w:rsidRDefault="00A6240B" w:rsidP="003A6DE1">
            <w:pPr>
              <w:rPr>
                <w:b/>
                <w:bCs/>
                <w:sz w:val="20"/>
                <w:szCs w:val="20"/>
                <w:lang w:val="fr-CD"/>
              </w:rPr>
            </w:pPr>
            <w:r w:rsidRPr="00E11FFB">
              <w:rPr>
                <w:b/>
                <w:bCs/>
                <w:sz w:val="20"/>
                <w:szCs w:val="20"/>
                <w:lang w:val="fr-CD"/>
              </w:rPr>
              <w:t xml:space="preserve">Listes de livrables </w:t>
            </w:r>
          </w:p>
        </w:tc>
      </w:tr>
      <w:tr w:rsidR="00A6240B" w:rsidRPr="00E11FFB" w14:paraId="11CD9BBE" w14:textId="77777777" w:rsidTr="00BE5822">
        <w:trPr>
          <w:trHeight w:val="446"/>
        </w:trPr>
        <w:tc>
          <w:tcPr>
            <w:tcW w:w="3484" w:type="dxa"/>
          </w:tcPr>
          <w:p w14:paraId="7CA7300E" w14:textId="77777777" w:rsidR="00A6240B" w:rsidRPr="00E11FFB" w:rsidRDefault="00A6240B" w:rsidP="003A6DE1">
            <w:pPr>
              <w:rPr>
                <w:sz w:val="20"/>
                <w:szCs w:val="20"/>
                <w:lang w:val="fr-CD"/>
              </w:rPr>
            </w:pPr>
            <w:r w:rsidRPr="00E11FFB">
              <w:rPr>
                <w:sz w:val="20"/>
                <w:szCs w:val="20"/>
                <w:lang w:val="fr-CD"/>
              </w:rPr>
              <w:t>Activité 6.1.1 : Sensibiliser et renforcer les capacités des acteurs aux problématiques liées à l’exploitation forestière pour son intégration à l’ITIE (activité n° 32 du PTT 2024-2026).</w:t>
            </w:r>
          </w:p>
        </w:tc>
        <w:tc>
          <w:tcPr>
            <w:tcW w:w="6518" w:type="dxa"/>
          </w:tcPr>
          <w:p w14:paraId="34EB83F8" w14:textId="77777777" w:rsidR="00A6240B" w:rsidRPr="007C2141" w:rsidRDefault="00A6240B" w:rsidP="00A6240B">
            <w:pPr>
              <w:pStyle w:val="Paragraphedeliste"/>
              <w:numPr>
                <w:ilvl w:val="0"/>
                <w:numId w:val="32"/>
              </w:numPr>
              <w:rPr>
                <w:sz w:val="20"/>
                <w:szCs w:val="20"/>
                <w:lang w:val="fr-FR"/>
              </w:rPr>
            </w:pPr>
            <w:hyperlink r:id="rId238" w:history="1">
              <w:r w:rsidRPr="007C2141">
                <w:rPr>
                  <w:rStyle w:val="Lienhypertexte"/>
                  <w:sz w:val="20"/>
                  <w:szCs w:val="20"/>
                  <w:lang w:val="fr-FR"/>
                </w:rPr>
                <w:t>Dossiers des rapports de sensibilisation sur l’intégration de l’exploitation forestière à l’ITIE et sur le cadre réglementaire du secteur dans huit provinces de la RDC</w:t>
              </w:r>
            </w:hyperlink>
          </w:p>
          <w:p w14:paraId="4A3296BD" w14:textId="77777777" w:rsidR="00A6240B" w:rsidRPr="007C2141" w:rsidRDefault="00A6240B" w:rsidP="00A6240B">
            <w:pPr>
              <w:pStyle w:val="Paragraphedeliste"/>
              <w:numPr>
                <w:ilvl w:val="0"/>
                <w:numId w:val="32"/>
              </w:numPr>
              <w:rPr>
                <w:sz w:val="20"/>
                <w:szCs w:val="20"/>
                <w:lang w:val="fr-FR"/>
              </w:rPr>
            </w:pPr>
            <w:hyperlink r:id="rId239" w:history="1">
              <w:r w:rsidRPr="007C2141">
                <w:rPr>
                  <w:rStyle w:val="Lienhypertexte"/>
                  <w:sz w:val="20"/>
                  <w:szCs w:val="20"/>
                  <w:lang w:val="fr-FR"/>
                </w:rPr>
                <w:t>Liste de présence des participants aux séances de sensibilisations dans les huit provinces</w:t>
              </w:r>
            </w:hyperlink>
          </w:p>
        </w:tc>
      </w:tr>
      <w:tr w:rsidR="00A6240B" w:rsidRPr="00E11FFB" w14:paraId="5A2BD827" w14:textId="77777777" w:rsidTr="00BE5822">
        <w:trPr>
          <w:trHeight w:val="446"/>
        </w:trPr>
        <w:tc>
          <w:tcPr>
            <w:tcW w:w="3484" w:type="dxa"/>
          </w:tcPr>
          <w:p w14:paraId="17DC7BA7" w14:textId="77777777" w:rsidR="00A6240B" w:rsidRPr="00E11FFB" w:rsidRDefault="00A6240B" w:rsidP="003A6DE1">
            <w:pPr>
              <w:rPr>
                <w:sz w:val="20"/>
                <w:szCs w:val="20"/>
                <w:lang w:val="fr-CD"/>
              </w:rPr>
            </w:pPr>
            <w:r w:rsidRPr="00E11FFB">
              <w:rPr>
                <w:sz w:val="20"/>
                <w:szCs w:val="20"/>
                <w:lang w:val="fr-CD"/>
              </w:rPr>
              <w:t>Activité 6.1.2 : Produire et publier le rapport sur le secteur forestier (activité n° 33 du PTT 2024-2026).</w:t>
            </w:r>
          </w:p>
        </w:tc>
        <w:tc>
          <w:tcPr>
            <w:tcW w:w="6518" w:type="dxa"/>
          </w:tcPr>
          <w:p w14:paraId="00806EEB" w14:textId="77777777" w:rsidR="00A6240B" w:rsidRPr="007C2141" w:rsidRDefault="00A6240B" w:rsidP="00A6240B">
            <w:pPr>
              <w:pStyle w:val="Paragraphedeliste"/>
              <w:numPr>
                <w:ilvl w:val="0"/>
                <w:numId w:val="32"/>
              </w:numPr>
              <w:rPr>
                <w:sz w:val="20"/>
                <w:szCs w:val="20"/>
                <w:lang w:val="fr-FR"/>
              </w:rPr>
            </w:pPr>
            <w:hyperlink r:id="rId240" w:history="1">
              <w:r w:rsidRPr="007C2141">
                <w:rPr>
                  <w:rStyle w:val="Lienhypertexte"/>
                  <w:sz w:val="20"/>
                  <w:szCs w:val="20"/>
                  <w:lang w:val="fr-FR"/>
                </w:rPr>
                <w:t>TDRs de recrutement de l’expertise pour l’élaboration de l’étude de cadrage exercice 2022, 2023</w:t>
              </w:r>
            </w:hyperlink>
          </w:p>
        </w:tc>
      </w:tr>
      <w:tr w:rsidR="00A6240B" w:rsidRPr="00E11FFB" w14:paraId="27DE17C7" w14:textId="77777777" w:rsidTr="00BE5822">
        <w:trPr>
          <w:trHeight w:val="446"/>
        </w:trPr>
        <w:tc>
          <w:tcPr>
            <w:tcW w:w="3484" w:type="dxa"/>
          </w:tcPr>
          <w:p w14:paraId="0E475C67" w14:textId="766CB61D" w:rsidR="00A6240B" w:rsidRPr="00E11FFB" w:rsidRDefault="00A6240B" w:rsidP="003A6DE1">
            <w:pPr>
              <w:rPr>
                <w:sz w:val="20"/>
                <w:szCs w:val="20"/>
                <w:lang w:val="fr-CD"/>
              </w:rPr>
            </w:pPr>
            <w:r w:rsidRPr="00E11FFB">
              <w:rPr>
                <w:sz w:val="20"/>
                <w:szCs w:val="20"/>
                <w:lang w:val="fr-CD"/>
              </w:rPr>
              <w:t>Activité 6.1.4 : Publier tous les contrats du secteur forestier.</w:t>
            </w:r>
          </w:p>
        </w:tc>
        <w:tc>
          <w:tcPr>
            <w:tcW w:w="6518" w:type="dxa"/>
          </w:tcPr>
          <w:p w14:paraId="2C71E154" w14:textId="72A2CF57" w:rsidR="00A6240B" w:rsidRPr="007C2141" w:rsidRDefault="00BE5822" w:rsidP="00A6240B">
            <w:pPr>
              <w:pStyle w:val="Paragraphedeliste"/>
              <w:numPr>
                <w:ilvl w:val="0"/>
                <w:numId w:val="32"/>
              </w:numPr>
              <w:rPr>
                <w:sz w:val="20"/>
                <w:szCs w:val="20"/>
                <w:lang w:val="fr-FR"/>
              </w:rPr>
            </w:pPr>
            <w:hyperlink r:id="rId241" w:history="1">
              <w:r w:rsidRPr="007C2141">
                <w:rPr>
                  <w:rStyle w:val="Lienhypertexte"/>
                  <w:sz w:val="20"/>
                  <w:szCs w:val="20"/>
                  <w:lang w:val="fr-FR"/>
                </w:rPr>
                <w:t>Note de cadrage et données préliminaires sur l'inventaire des contrats</w:t>
              </w:r>
            </w:hyperlink>
          </w:p>
        </w:tc>
      </w:tr>
      <w:tr w:rsidR="00A6240B" w:rsidRPr="00E11FFB" w14:paraId="7CE4A8B7" w14:textId="77777777" w:rsidTr="00BE5822">
        <w:trPr>
          <w:trHeight w:val="446"/>
        </w:trPr>
        <w:tc>
          <w:tcPr>
            <w:tcW w:w="3484" w:type="dxa"/>
          </w:tcPr>
          <w:p w14:paraId="0E42F2FB" w14:textId="77777777" w:rsidR="00A6240B" w:rsidRPr="00E11FFB" w:rsidRDefault="00A6240B" w:rsidP="003A6DE1">
            <w:pPr>
              <w:rPr>
                <w:sz w:val="20"/>
                <w:szCs w:val="20"/>
                <w:lang w:val="fr-CD"/>
              </w:rPr>
            </w:pPr>
            <w:r w:rsidRPr="00E11FFB">
              <w:rPr>
                <w:sz w:val="20"/>
                <w:szCs w:val="20"/>
                <w:lang w:val="fr-CD"/>
              </w:rPr>
              <w:t>Activité 6.2.1 : Démontrer la mise en œuvre des obligations légales de réalisation des évaluations environnementales et sociales.</w:t>
            </w:r>
          </w:p>
        </w:tc>
        <w:tc>
          <w:tcPr>
            <w:tcW w:w="6518" w:type="dxa"/>
          </w:tcPr>
          <w:p w14:paraId="397037D0" w14:textId="77777777" w:rsidR="00A6240B" w:rsidRPr="002A0E14" w:rsidRDefault="00A6240B" w:rsidP="00A6240B">
            <w:pPr>
              <w:pStyle w:val="Paragraphedeliste"/>
              <w:numPr>
                <w:ilvl w:val="0"/>
                <w:numId w:val="32"/>
              </w:numPr>
              <w:rPr>
                <w:rStyle w:val="Lienhypertexte"/>
                <w:sz w:val="20"/>
                <w:szCs w:val="20"/>
                <w:lang w:val="fr-FR"/>
              </w:rPr>
            </w:pPr>
            <w:r w:rsidRPr="00E11FFB">
              <w:rPr>
                <w:sz w:val="20"/>
                <w:szCs w:val="20"/>
              </w:rPr>
              <w:fldChar w:fldCharType="begin"/>
            </w:r>
            <w:r w:rsidRPr="002A0E14">
              <w:rPr>
                <w:sz w:val="20"/>
                <w:szCs w:val="20"/>
                <w:lang w:val="fr-FR"/>
              </w:rPr>
              <w:instrText>HYPERLINK "https://drive.google.com/drive/folders/1XfV9BctmLQ-2mrwkMAizbk6fG5DRSyPl?usp=drive_link"</w:instrText>
            </w:r>
            <w:r w:rsidRPr="00E11FFB">
              <w:rPr>
                <w:sz w:val="20"/>
                <w:szCs w:val="20"/>
              </w:rPr>
            </w:r>
            <w:r w:rsidRPr="00E11FFB">
              <w:rPr>
                <w:sz w:val="20"/>
                <w:szCs w:val="20"/>
              </w:rPr>
              <w:fldChar w:fldCharType="separate"/>
            </w:r>
            <w:r w:rsidRPr="002A0E14">
              <w:rPr>
                <w:rStyle w:val="Lienhypertexte"/>
                <w:sz w:val="20"/>
                <w:szCs w:val="20"/>
                <w:lang w:val="fr-FR"/>
              </w:rPr>
              <w:t>Rapport de concertations entre ITIE et ACE sur les obligations légales de réalisations des EES</w:t>
            </w:r>
          </w:p>
          <w:p w14:paraId="2119FBFC" w14:textId="77777777" w:rsidR="00A6240B" w:rsidRPr="002A0E14" w:rsidRDefault="00A6240B" w:rsidP="00A6240B">
            <w:pPr>
              <w:pStyle w:val="Paragraphedeliste"/>
              <w:numPr>
                <w:ilvl w:val="0"/>
                <w:numId w:val="32"/>
              </w:numPr>
              <w:rPr>
                <w:sz w:val="20"/>
                <w:szCs w:val="20"/>
                <w:lang w:val="fr-FR"/>
              </w:rPr>
            </w:pPr>
            <w:r w:rsidRPr="002A0E14">
              <w:rPr>
                <w:rStyle w:val="Lienhypertexte"/>
                <w:sz w:val="20"/>
                <w:szCs w:val="20"/>
                <w:lang w:val="fr-FR"/>
              </w:rPr>
              <w:t>Liste de présence aux séances de concertations</w:t>
            </w:r>
            <w:r w:rsidRPr="00E11FFB">
              <w:rPr>
                <w:sz w:val="20"/>
                <w:szCs w:val="20"/>
              </w:rPr>
              <w:fldChar w:fldCharType="end"/>
            </w:r>
            <w:r w:rsidRPr="002A0E14">
              <w:rPr>
                <w:sz w:val="20"/>
                <w:szCs w:val="20"/>
                <w:lang w:val="fr-FR"/>
              </w:rPr>
              <w:t xml:space="preserve"> </w:t>
            </w:r>
          </w:p>
        </w:tc>
      </w:tr>
      <w:tr w:rsidR="00A6240B" w:rsidRPr="00E11FFB" w14:paraId="7E0C30D4" w14:textId="77777777" w:rsidTr="00BE5822">
        <w:trPr>
          <w:trHeight w:val="446"/>
        </w:trPr>
        <w:tc>
          <w:tcPr>
            <w:tcW w:w="3484" w:type="dxa"/>
          </w:tcPr>
          <w:p w14:paraId="6B298132" w14:textId="77777777" w:rsidR="00A6240B" w:rsidRPr="00E11FFB" w:rsidRDefault="00A6240B" w:rsidP="003A6DE1">
            <w:pPr>
              <w:rPr>
                <w:sz w:val="20"/>
                <w:szCs w:val="20"/>
                <w:lang w:val="fr-CD"/>
              </w:rPr>
            </w:pPr>
            <w:r w:rsidRPr="00E11FFB">
              <w:rPr>
                <w:sz w:val="20"/>
                <w:szCs w:val="20"/>
                <w:lang w:val="fr-CD"/>
              </w:rPr>
              <w:t>Activité 6.3.1 : Appuyer la Task-Force de pilotage de l'atteinte du processus de réalisation des jalons de LOI.</w:t>
            </w:r>
          </w:p>
        </w:tc>
        <w:tc>
          <w:tcPr>
            <w:tcW w:w="6518" w:type="dxa"/>
          </w:tcPr>
          <w:p w14:paraId="324E39CD" w14:textId="77777777" w:rsidR="00A6240B" w:rsidRPr="007C2141" w:rsidRDefault="00A6240B" w:rsidP="00A6240B">
            <w:pPr>
              <w:pStyle w:val="Paragraphedeliste"/>
              <w:numPr>
                <w:ilvl w:val="0"/>
                <w:numId w:val="32"/>
              </w:numPr>
              <w:rPr>
                <w:sz w:val="20"/>
                <w:szCs w:val="20"/>
                <w:lang w:val="fr-FR"/>
              </w:rPr>
            </w:pPr>
            <w:hyperlink r:id="rId242" w:history="1">
              <w:r w:rsidRPr="007C2141">
                <w:rPr>
                  <w:rStyle w:val="Lienhypertexte"/>
                  <w:sz w:val="20"/>
                  <w:szCs w:val="20"/>
                  <w:lang w:val="fr-FR"/>
                </w:rPr>
                <w:t>Rapports individuels des membres de la task-force</w:t>
              </w:r>
            </w:hyperlink>
          </w:p>
        </w:tc>
      </w:tr>
    </w:tbl>
    <w:p w14:paraId="34BA4088" w14:textId="77777777" w:rsidR="00A6240B" w:rsidRPr="00E11FFB" w:rsidRDefault="00A6240B" w:rsidP="00A6240B">
      <w:pPr>
        <w:rPr>
          <w:b/>
          <w:bCs/>
          <w:sz w:val="28"/>
          <w:szCs w:val="28"/>
          <w:u w:val="single"/>
        </w:rPr>
      </w:pPr>
    </w:p>
    <w:p w14:paraId="684A83A3" w14:textId="09ADE400" w:rsidR="00A6240B" w:rsidRDefault="009320F1" w:rsidP="00A6240B">
      <w:pPr>
        <w:rPr>
          <w:b/>
          <w:bCs/>
          <w:sz w:val="28"/>
          <w:szCs w:val="28"/>
          <w:u w:val="single"/>
        </w:rPr>
      </w:pPr>
      <w:r>
        <w:rPr>
          <w:b/>
          <w:bCs/>
          <w:sz w:val="28"/>
          <w:szCs w:val="28"/>
          <w:u w:val="single"/>
        </w:rPr>
        <w:t>11.8. Composante</w:t>
      </w:r>
      <w:r w:rsidRPr="00E11FFB">
        <w:rPr>
          <w:b/>
          <w:bCs/>
          <w:sz w:val="28"/>
          <w:szCs w:val="28"/>
          <w:u w:val="single"/>
        </w:rPr>
        <w:t xml:space="preserve"> </w:t>
      </w:r>
      <w:r>
        <w:rPr>
          <w:b/>
          <w:bCs/>
          <w:sz w:val="28"/>
          <w:szCs w:val="28"/>
          <w:u w:val="single"/>
        </w:rPr>
        <w:t xml:space="preserve">8 : </w:t>
      </w:r>
      <w:r w:rsidR="00A6240B" w:rsidRPr="00E11FFB">
        <w:rPr>
          <w:b/>
          <w:bCs/>
          <w:sz w:val="28"/>
          <w:szCs w:val="28"/>
          <w:u w:val="single"/>
        </w:rPr>
        <w:t>ACE</w:t>
      </w:r>
    </w:p>
    <w:p w14:paraId="5C96E7BC" w14:textId="77777777" w:rsidR="009320F1" w:rsidRPr="00E11FFB" w:rsidRDefault="009320F1" w:rsidP="00A6240B">
      <w:pPr>
        <w:rPr>
          <w:b/>
          <w:bCs/>
          <w:sz w:val="28"/>
          <w:szCs w:val="28"/>
          <w:u w:val="single"/>
        </w:rPr>
      </w:pPr>
    </w:p>
    <w:tbl>
      <w:tblPr>
        <w:tblStyle w:val="Grilledutableau"/>
        <w:tblW w:w="9884" w:type="dxa"/>
        <w:tblLook w:val="04A0" w:firstRow="1" w:lastRow="0" w:firstColumn="1" w:lastColumn="0" w:noHBand="0" w:noVBand="1"/>
      </w:tblPr>
      <w:tblGrid>
        <w:gridCol w:w="3009"/>
        <w:gridCol w:w="6875"/>
      </w:tblGrid>
      <w:tr w:rsidR="00A6240B" w:rsidRPr="00E11FFB" w14:paraId="0A3AF28B" w14:textId="77777777" w:rsidTr="00965B89">
        <w:trPr>
          <w:trHeight w:val="184"/>
          <w:tblHeader/>
        </w:trPr>
        <w:tc>
          <w:tcPr>
            <w:tcW w:w="3009" w:type="dxa"/>
            <w:shd w:val="clear" w:color="auto" w:fill="FDE9D9" w:themeFill="accent6" w:themeFillTint="33"/>
          </w:tcPr>
          <w:p w14:paraId="0DA8E314" w14:textId="77777777" w:rsidR="00A6240B" w:rsidRPr="00E11FFB" w:rsidRDefault="00A6240B" w:rsidP="003A6DE1">
            <w:pPr>
              <w:rPr>
                <w:b/>
                <w:bCs/>
                <w:sz w:val="18"/>
                <w:szCs w:val="18"/>
                <w:u w:val="single"/>
                <w:lang w:val="fr-CD"/>
              </w:rPr>
            </w:pPr>
            <w:r w:rsidRPr="00E11FFB">
              <w:rPr>
                <w:b/>
                <w:bCs/>
                <w:sz w:val="18"/>
                <w:szCs w:val="18"/>
                <w:u w:val="single"/>
                <w:lang w:val="fr-CD"/>
              </w:rPr>
              <w:t>Activité</w:t>
            </w:r>
          </w:p>
        </w:tc>
        <w:tc>
          <w:tcPr>
            <w:tcW w:w="6875" w:type="dxa"/>
            <w:shd w:val="clear" w:color="auto" w:fill="FDE9D9" w:themeFill="accent6" w:themeFillTint="33"/>
          </w:tcPr>
          <w:p w14:paraId="231C2818" w14:textId="77777777" w:rsidR="00A6240B" w:rsidRPr="00E11FFB" w:rsidRDefault="00A6240B" w:rsidP="003A6DE1">
            <w:pPr>
              <w:rPr>
                <w:b/>
                <w:bCs/>
                <w:sz w:val="18"/>
                <w:szCs w:val="18"/>
                <w:lang w:val="fr-CD"/>
              </w:rPr>
            </w:pPr>
            <w:r w:rsidRPr="00E11FFB">
              <w:rPr>
                <w:b/>
                <w:bCs/>
                <w:sz w:val="18"/>
                <w:szCs w:val="18"/>
                <w:lang w:val="fr-CD"/>
              </w:rPr>
              <w:t xml:space="preserve">Listes de livrables </w:t>
            </w:r>
          </w:p>
        </w:tc>
      </w:tr>
      <w:tr w:rsidR="00A6240B" w:rsidRPr="00E11FFB" w14:paraId="740B52B2" w14:textId="77777777" w:rsidTr="00965B89">
        <w:trPr>
          <w:trHeight w:val="471"/>
        </w:trPr>
        <w:tc>
          <w:tcPr>
            <w:tcW w:w="3009" w:type="dxa"/>
          </w:tcPr>
          <w:p w14:paraId="12777F76" w14:textId="77777777" w:rsidR="00A6240B" w:rsidRPr="00E11FFB" w:rsidRDefault="00A6240B" w:rsidP="003A6DE1">
            <w:pPr>
              <w:rPr>
                <w:sz w:val="18"/>
                <w:szCs w:val="18"/>
                <w:lang w:val="fr-CD"/>
              </w:rPr>
            </w:pPr>
            <w:r w:rsidRPr="00E11FFB">
              <w:rPr>
                <w:sz w:val="18"/>
                <w:szCs w:val="18"/>
                <w:lang w:val="fr-CD"/>
              </w:rPr>
              <w:t>7.1.1 : Démontrer la mise en œuvre de obligations légales de réalisation des évaluations environnementales et sociales. Budget placé sous ITIE.</w:t>
            </w:r>
          </w:p>
        </w:tc>
        <w:tc>
          <w:tcPr>
            <w:tcW w:w="6875" w:type="dxa"/>
          </w:tcPr>
          <w:p w14:paraId="0D6197DB" w14:textId="77777777" w:rsidR="00A6240B" w:rsidRPr="007C2141" w:rsidRDefault="00A6240B" w:rsidP="00A6240B">
            <w:pPr>
              <w:pStyle w:val="Paragraphedeliste"/>
              <w:numPr>
                <w:ilvl w:val="0"/>
                <w:numId w:val="32"/>
              </w:numPr>
              <w:rPr>
                <w:sz w:val="18"/>
                <w:szCs w:val="18"/>
                <w:lang w:val="fr-FR"/>
              </w:rPr>
            </w:pPr>
            <w:hyperlink r:id="rId243" w:history="1">
              <w:r w:rsidRPr="007C2141">
                <w:rPr>
                  <w:rStyle w:val="Lienhypertexte"/>
                  <w:sz w:val="18"/>
                  <w:szCs w:val="18"/>
                  <w:lang w:val="fr-FR"/>
                </w:rPr>
                <w:t>Task-force fonctionnelle et travaille avec ITIE pour les travaux d’intégration ITIE dans le secteur forestier</w:t>
              </w:r>
            </w:hyperlink>
          </w:p>
        </w:tc>
      </w:tr>
      <w:tr w:rsidR="00A6240B" w:rsidRPr="00E11FFB" w14:paraId="45C85FC2" w14:textId="77777777" w:rsidTr="00965B89">
        <w:trPr>
          <w:trHeight w:val="471"/>
        </w:trPr>
        <w:tc>
          <w:tcPr>
            <w:tcW w:w="3009" w:type="dxa"/>
          </w:tcPr>
          <w:p w14:paraId="717061F5" w14:textId="77777777" w:rsidR="00A6240B" w:rsidRPr="00E11FFB" w:rsidRDefault="00A6240B" w:rsidP="003A6DE1">
            <w:pPr>
              <w:rPr>
                <w:sz w:val="18"/>
                <w:szCs w:val="18"/>
                <w:lang w:val="fr-CD"/>
              </w:rPr>
            </w:pPr>
            <w:r w:rsidRPr="00E11FFB">
              <w:rPr>
                <w:sz w:val="18"/>
                <w:szCs w:val="18"/>
                <w:lang w:val="fr-CD"/>
              </w:rPr>
              <w:t>Activité 7.1.2 : Assurer l'instruction et l'évaluation des études.</w:t>
            </w:r>
          </w:p>
        </w:tc>
        <w:tc>
          <w:tcPr>
            <w:tcW w:w="6875" w:type="dxa"/>
          </w:tcPr>
          <w:p w14:paraId="7F6AF866" w14:textId="77777777" w:rsidR="00A6240B" w:rsidRPr="007C2141" w:rsidRDefault="00A6240B" w:rsidP="00A6240B">
            <w:pPr>
              <w:pStyle w:val="Paragraphedeliste"/>
              <w:numPr>
                <w:ilvl w:val="0"/>
                <w:numId w:val="32"/>
              </w:numPr>
              <w:rPr>
                <w:sz w:val="18"/>
                <w:szCs w:val="18"/>
                <w:lang w:val="fr-FR"/>
              </w:rPr>
            </w:pPr>
            <w:hyperlink r:id="rId244" w:history="1">
              <w:r w:rsidRPr="007C2141">
                <w:rPr>
                  <w:rStyle w:val="Lienhypertexte"/>
                  <w:sz w:val="18"/>
                  <w:szCs w:val="18"/>
                  <w:lang w:val="fr-FR"/>
                </w:rPr>
                <w:t>Rapport de validation de 11 EEs dans les zones de protection des APs et leur PV de validation</w:t>
              </w:r>
            </w:hyperlink>
          </w:p>
        </w:tc>
      </w:tr>
      <w:tr w:rsidR="00A6240B" w:rsidRPr="00E11FFB" w14:paraId="2CC8D7BA" w14:textId="77777777" w:rsidTr="00965B89">
        <w:trPr>
          <w:trHeight w:val="471"/>
        </w:trPr>
        <w:tc>
          <w:tcPr>
            <w:tcW w:w="3009" w:type="dxa"/>
          </w:tcPr>
          <w:p w14:paraId="330E7550" w14:textId="77777777" w:rsidR="00A6240B" w:rsidRPr="00E11FFB" w:rsidRDefault="00A6240B" w:rsidP="003A6DE1">
            <w:pPr>
              <w:rPr>
                <w:sz w:val="18"/>
                <w:szCs w:val="18"/>
                <w:lang w:val="fr-CD"/>
              </w:rPr>
            </w:pPr>
            <w:r w:rsidRPr="00E11FFB">
              <w:rPr>
                <w:sz w:val="18"/>
                <w:szCs w:val="18"/>
                <w:lang w:val="fr-CD"/>
              </w:rPr>
              <w:t>Activité 7.1.3 : Suivi et contrôle environnemental du PGES</w:t>
            </w:r>
          </w:p>
        </w:tc>
        <w:tc>
          <w:tcPr>
            <w:tcW w:w="6875" w:type="dxa"/>
          </w:tcPr>
          <w:p w14:paraId="4CB73DC0" w14:textId="77777777" w:rsidR="00A6240B" w:rsidRPr="007C2141" w:rsidRDefault="00A6240B" w:rsidP="00A6240B">
            <w:pPr>
              <w:pStyle w:val="Paragraphedeliste"/>
              <w:numPr>
                <w:ilvl w:val="0"/>
                <w:numId w:val="32"/>
              </w:numPr>
              <w:rPr>
                <w:sz w:val="18"/>
                <w:szCs w:val="18"/>
                <w:lang w:val="fr-FR"/>
              </w:rPr>
            </w:pPr>
            <w:hyperlink r:id="rId245" w:history="1">
              <w:r w:rsidRPr="007C2141">
                <w:rPr>
                  <w:rStyle w:val="Lienhypertexte"/>
                  <w:sz w:val="18"/>
                  <w:szCs w:val="18"/>
                  <w:lang w:val="fr-FR"/>
                </w:rPr>
                <w:t>Rapports de missions de suivi et contrôle environnemental des PGES des entreprises forestières dans 4 provinces forestières (Equateur, Tshopo, Mai Ndombe et Mongala)</w:t>
              </w:r>
            </w:hyperlink>
          </w:p>
        </w:tc>
      </w:tr>
      <w:tr w:rsidR="00A6240B" w:rsidRPr="00E11FFB" w14:paraId="14DF57E7" w14:textId="77777777" w:rsidTr="00965B89">
        <w:trPr>
          <w:trHeight w:val="471"/>
        </w:trPr>
        <w:tc>
          <w:tcPr>
            <w:tcW w:w="3009" w:type="dxa"/>
          </w:tcPr>
          <w:p w14:paraId="3008C068" w14:textId="77777777" w:rsidR="00A6240B" w:rsidRPr="00E11FFB" w:rsidRDefault="00A6240B" w:rsidP="003A6DE1">
            <w:pPr>
              <w:rPr>
                <w:sz w:val="18"/>
                <w:szCs w:val="18"/>
                <w:lang w:val="fr-CD"/>
              </w:rPr>
            </w:pPr>
            <w:r w:rsidRPr="00E11FFB">
              <w:rPr>
                <w:sz w:val="18"/>
                <w:szCs w:val="18"/>
                <w:lang w:val="fr-CD"/>
              </w:rPr>
              <w:t>Activité 7.2.1 : Exiger les EIES pour les investissements miniers et d'hydrocarbures dans la zone tampon d'aires protégées ainsi que l'application des mesures de sauvegardes ES.</w:t>
            </w:r>
          </w:p>
        </w:tc>
        <w:tc>
          <w:tcPr>
            <w:tcW w:w="6875" w:type="dxa"/>
          </w:tcPr>
          <w:p w14:paraId="5ACA1458" w14:textId="77777777" w:rsidR="00A6240B" w:rsidRPr="002A0E14" w:rsidRDefault="00A6240B" w:rsidP="00A6240B">
            <w:pPr>
              <w:pStyle w:val="Paragraphedeliste"/>
              <w:numPr>
                <w:ilvl w:val="0"/>
                <w:numId w:val="32"/>
              </w:numPr>
              <w:rPr>
                <w:sz w:val="18"/>
                <w:szCs w:val="18"/>
                <w:lang w:val="fr-FR"/>
              </w:rPr>
            </w:pPr>
            <w:hyperlink r:id="rId246" w:history="1">
              <w:r w:rsidRPr="002A0E14">
                <w:rPr>
                  <w:rStyle w:val="Lienhypertexte"/>
                  <w:sz w:val="18"/>
                  <w:szCs w:val="18"/>
                  <w:lang w:val="fr-FR"/>
                </w:rPr>
                <w:t>Rapport des missions de contrevérification et installation des brigades forestiers dans 4 provinces forestières (Mongala, Equateur, Tshopo et Mai Ndombe)</w:t>
              </w:r>
            </w:hyperlink>
          </w:p>
          <w:p w14:paraId="157B6783" w14:textId="77777777" w:rsidR="00A6240B" w:rsidRPr="007C2141" w:rsidRDefault="00A6240B" w:rsidP="00A6240B">
            <w:pPr>
              <w:pStyle w:val="Paragraphedeliste"/>
              <w:numPr>
                <w:ilvl w:val="0"/>
                <w:numId w:val="32"/>
              </w:numPr>
              <w:rPr>
                <w:sz w:val="18"/>
                <w:szCs w:val="18"/>
                <w:lang w:val="fr-FR"/>
              </w:rPr>
            </w:pPr>
            <w:hyperlink r:id="rId247" w:history="1">
              <w:r w:rsidRPr="007C2141">
                <w:rPr>
                  <w:rStyle w:val="Lienhypertexte"/>
                  <w:sz w:val="18"/>
                  <w:szCs w:val="18"/>
                  <w:lang w:val="fr-FR"/>
                </w:rPr>
                <w:t>Rapport de l’atelier de vulgarisation des textes règlementaires des EIEs</w:t>
              </w:r>
            </w:hyperlink>
            <w:r w:rsidRPr="007C2141">
              <w:rPr>
                <w:sz w:val="18"/>
                <w:szCs w:val="18"/>
                <w:lang w:val="fr-FR"/>
              </w:rPr>
              <w:t xml:space="preserve"> </w:t>
            </w:r>
          </w:p>
          <w:p w14:paraId="3A3EC383" w14:textId="77777777" w:rsidR="00A6240B" w:rsidRPr="007C2141" w:rsidRDefault="00A6240B" w:rsidP="00A6240B">
            <w:pPr>
              <w:pStyle w:val="Paragraphedeliste"/>
              <w:numPr>
                <w:ilvl w:val="0"/>
                <w:numId w:val="32"/>
              </w:numPr>
              <w:rPr>
                <w:rStyle w:val="Lienhypertexte"/>
                <w:color w:val="auto"/>
                <w:sz w:val="18"/>
                <w:szCs w:val="18"/>
                <w:u w:val="none"/>
                <w:lang w:val="fr-FR"/>
              </w:rPr>
            </w:pPr>
            <w:hyperlink r:id="rId248" w:history="1">
              <w:r w:rsidRPr="007C2141">
                <w:rPr>
                  <w:rStyle w:val="Lienhypertexte"/>
                  <w:sz w:val="18"/>
                  <w:szCs w:val="18"/>
                  <w:lang w:val="fr-FR"/>
                </w:rPr>
                <w:t>Liste de présence à l’atelier de vulgarisation des textes</w:t>
              </w:r>
            </w:hyperlink>
            <w:r w:rsidRPr="007C2141">
              <w:rPr>
                <w:sz w:val="18"/>
                <w:szCs w:val="18"/>
                <w:lang w:val="fr-FR"/>
              </w:rPr>
              <w:t xml:space="preserve"> </w:t>
            </w:r>
          </w:p>
        </w:tc>
      </w:tr>
      <w:tr w:rsidR="00A6240B" w:rsidRPr="00E11FFB" w14:paraId="3D6E4671" w14:textId="77777777" w:rsidTr="00965B89">
        <w:trPr>
          <w:trHeight w:val="471"/>
        </w:trPr>
        <w:tc>
          <w:tcPr>
            <w:tcW w:w="3009" w:type="dxa"/>
          </w:tcPr>
          <w:p w14:paraId="573BEE31" w14:textId="77777777" w:rsidR="00A6240B" w:rsidRPr="00E11FFB" w:rsidRDefault="00A6240B" w:rsidP="003A6DE1">
            <w:pPr>
              <w:rPr>
                <w:sz w:val="18"/>
                <w:szCs w:val="18"/>
                <w:lang w:val="fr-CD"/>
              </w:rPr>
            </w:pPr>
            <w:r w:rsidRPr="00E11FFB">
              <w:rPr>
                <w:sz w:val="18"/>
                <w:szCs w:val="18"/>
                <w:lang w:val="fr-CD"/>
              </w:rPr>
              <w:t>Activité 7.3.1 : Assurer le suivi de la mise en œuvre et des réalisations.</w:t>
            </w:r>
          </w:p>
        </w:tc>
        <w:tc>
          <w:tcPr>
            <w:tcW w:w="6875" w:type="dxa"/>
          </w:tcPr>
          <w:p w14:paraId="312DAD43" w14:textId="77777777" w:rsidR="00A6240B" w:rsidRPr="002A0E14" w:rsidRDefault="00A6240B" w:rsidP="00A6240B">
            <w:pPr>
              <w:pStyle w:val="Paragraphedeliste"/>
              <w:numPr>
                <w:ilvl w:val="0"/>
                <w:numId w:val="32"/>
              </w:numPr>
              <w:rPr>
                <w:rStyle w:val="Lienhypertexte"/>
                <w:sz w:val="18"/>
                <w:szCs w:val="18"/>
                <w:lang w:val="fr-FR"/>
              </w:rPr>
            </w:pPr>
            <w:r w:rsidRPr="00E11FFB">
              <w:rPr>
                <w:sz w:val="18"/>
                <w:szCs w:val="18"/>
              </w:rPr>
              <w:fldChar w:fldCharType="begin"/>
            </w:r>
            <w:r w:rsidRPr="002A0E14">
              <w:rPr>
                <w:sz w:val="18"/>
                <w:szCs w:val="18"/>
                <w:lang w:val="fr-FR"/>
              </w:rPr>
              <w:instrText>HYPERLINK "https://docs.google.com/document/d/1VtXQmSYKTegc2EvdzzaTkxygPxSw-Fd4/edit?usp=drive_link&amp;ouid=108778412236978298707&amp;rtpof=true&amp;sd=true,%20https://docs.google.com/document/d/140LNymurkntfJp2efqLtCvr98aeyBWAn/edit?usp=drive_link&amp;ouid=108778412236978298707&amp;rtpof=true&amp;sd=true,%20https://docs.google.com/document/d/1dwcuqxDC5TDUeh0YN5CV9jXj88uGFlsx/edit?usp=drive_link&amp;ouid=108778412236978298707&amp;rtpof=true&amp;sd=true"</w:instrText>
            </w:r>
            <w:r w:rsidRPr="00E11FFB">
              <w:rPr>
                <w:sz w:val="18"/>
                <w:szCs w:val="18"/>
              </w:rPr>
            </w:r>
            <w:r w:rsidRPr="00E11FFB">
              <w:rPr>
                <w:sz w:val="18"/>
                <w:szCs w:val="18"/>
              </w:rPr>
              <w:fldChar w:fldCharType="separate"/>
            </w:r>
            <w:r w:rsidRPr="002A0E14">
              <w:rPr>
                <w:rStyle w:val="Lienhypertexte"/>
                <w:sz w:val="18"/>
                <w:szCs w:val="18"/>
                <w:lang w:val="fr-FR"/>
              </w:rPr>
              <w:t>Rapports des réunions de concertation sur les normes REDD+ dans le secteur de mines et hydrocarbures avec la GIZ, Mines, Hydrocarbures</w:t>
            </w:r>
          </w:p>
          <w:p w14:paraId="405CA68D" w14:textId="77777777" w:rsidR="00A6240B" w:rsidRPr="002A0E14" w:rsidRDefault="00A6240B" w:rsidP="00A6240B">
            <w:pPr>
              <w:pStyle w:val="Paragraphedeliste"/>
              <w:numPr>
                <w:ilvl w:val="0"/>
                <w:numId w:val="32"/>
              </w:numPr>
              <w:rPr>
                <w:sz w:val="18"/>
                <w:szCs w:val="18"/>
                <w:lang w:val="fr-FR"/>
              </w:rPr>
            </w:pPr>
            <w:r w:rsidRPr="00E11FFB">
              <w:rPr>
                <w:sz w:val="18"/>
                <w:szCs w:val="18"/>
              </w:rPr>
              <w:fldChar w:fldCharType="end"/>
            </w:r>
            <w:hyperlink r:id="rId249" w:history="1">
              <w:r w:rsidRPr="002A0E14">
                <w:rPr>
                  <w:rStyle w:val="Lienhypertexte"/>
                  <w:sz w:val="18"/>
                  <w:szCs w:val="18"/>
                  <w:lang w:val="fr-FR"/>
                </w:rPr>
                <w:t>Manuel d’opérations et des procédures des évaluations environnementales et sociales (draft 1, Vol 1 &amp; Vol 2)</w:t>
              </w:r>
            </w:hyperlink>
          </w:p>
        </w:tc>
      </w:tr>
      <w:tr w:rsidR="00A6240B" w:rsidRPr="00E11FFB" w14:paraId="372A31D1" w14:textId="77777777" w:rsidTr="00965B89">
        <w:trPr>
          <w:trHeight w:val="471"/>
        </w:trPr>
        <w:tc>
          <w:tcPr>
            <w:tcW w:w="3009" w:type="dxa"/>
          </w:tcPr>
          <w:p w14:paraId="4A912103" w14:textId="77777777" w:rsidR="00A6240B" w:rsidRPr="00E11FFB" w:rsidRDefault="00A6240B" w:rsidP="003A6DE1">
            <w:pPr>
              <w:rPr>
                <w:sz w:val="18"/>
                <w:szCs w:val="18"/>
                <w:lang w:val="fr-CD"/>
              </w:rPr>
            </w:pPr>
            <w:r w:rsidRPr="00E11FFB">
              <w:rPr>
                <w:sz w:val="18"/>
                <w:szCs w:val="18"/>
                <w:lang w:val="fr-CD"/>
              </w:rPr>
              <w:t>Activité 7.4.1 : Appuyer la Task-Force de pilotage de l'atteinte du processus de réalisation des jalons de LOI sous ACE.</w:t>
            </w:r>
          </w:p>
        </w:tc>
        <w:tc>
          <w:tcPr>
            <w:tcW w:w="6875" w:type="dxa"/>
          </w:tcPr>
          <w:p w14:paraId="3CAC4043" w14:textId="77777777" w:rsidR="00A6240B" w:rsidRPr="007C2141" w:rsidRDefault="00A6240B" w:rsidP="00A6240B">
            <w:pPr>
              <w:pStyle w:val="Paragraphedeliste"/>
              <w:numPr>
                <w:ilvl w:val="0"/>
                <w:numId w:val="32"/>
              </w:numPr>
              <w:rPr>
                <w:sz w:val="18"/>
                <w:szCs w:val="18"/>
                <w:lang w:val="fr-FR"/>
              </w:rPr>
            </w:pPr>
            <w:hyperlink r:id="rId250" w:history="1">
              <w:r w:rsidRPr="007C2141">
                <w:rPr>
                  <w:rStyle w:val="Lienhypertexte"/>
                  <w:sz w:val="18"/>
                  <w:szCs w:val="18"/>
                  <w:lang w:val="fr-FR"/>
                </w:rPr>
                <w:t>Rapports individuels mensuels des membres de la task-force</w:t>
              </w:r>
            </w:hyperlink>
          </w:p>
        </w:tc>
      </w:tr>
      <w:tr w:rsidR="00A6240B" w:rsidRPr="00E11FFB" w14:paraId="286EE567" w14:textId="77777777" w:rsidTr="00965B89">
        <w:trPr>
          <w:trHeight w:val="471"/>
        </w:trPr>
        <w:tc>
          <w:tcPr>
            <w:tcW w:w="3009" w:type="dxa"/>
          </w:tcPr>
          <w:p w14:paraId="68C5F2D8" w14:textId="77777777" w:rsidR="00A6240B" w:rsidRPr="00E11FFB" w:rsidRDefault="00A6240B" w:rsidP="003A6DE1">
            <w:pPr>
              <w:rPr>
                <w:sz w:val="18"/>
                <w:szCs w:val="18"/>
                <w:lang w:val="fr-CD"/>
              </w:rPr>
            </w:pPr>
            <w:r w:rsidRPr="00E11FFB">
              <w:rPr>
                <w:sz w:val="18"/>
                <w:szCs w:val="18"/>
                <w:lang w:val="fr-CD"/>
              </w:rPr>
              <w:t>Activité 7.4.2 : Appuyer le fonctionnement et la logistique de la Task-Force d'appui à la réalisation des jalons sous ACE</w:t>
            </w:r>
          </w:p>
        </w:tc>
        <w:tc>
          <w:tcPr>
            <w:tcW w:w="6875" w:type="dxa"/>
          </w:tcPr>
          <w:p w14:paraId="0D023318" w14:textId="77777777" w:rsidR="00A6240B" w:rsidRPr="00E11FFB" w:rsidRDefault="00A6240B" w:rsidP="00A6240B">
            <w:pPr>
              <w:pStyle w:val="Paragraphedeliste"/>
              <w:numPr>
                <w:ilvl w:val="0"/>
                <w:numId w:val="32"/>
              </w:numPr>
              <w:rPr>
                <w:sz w:val="18"/>
                <w:szCs w:val="18"/>
              </w:rPr>
            </w:pPr>
            <w:hyperlink r:id="rId251" w:history="1">
              <w:r w:rsidRPr="00E11FFB">
                <w:rPr>
                  <w:rStyle w:val="Lienhypertexte"/>
                  <w:sz w:val="18"/>
                  <w:szCs w:val="18"/>
                </w:rPr>
                <w:t>Rapport réunion task-force</w:t>
              </w:r>
            </w:hyperlink>
          </w:p>
        </w:tc>
      </w:tr>
      <w:tr w:rsidR="00A6240B" w:rsidRPr="00E11FFB" w14:paraId="40FC8CD9" w14:textId="77777777" w:rsidTr="00965B89">
        <w:trPr>
          <w:trHeight w:val="471"/>
        </w:trPr>
        <w:tc>
          <w:tcPr>
            <w:tcW w:w="3009" w:type="dxa"/>
          </w:tcPr>
          <w:p w14:paraId="41637769" w14:textId="77777777" w:rsidR="00A6240B" w:rsidRPr="00E11FFB" w:rsidRDefault="00A6240B" w:rsidP="003A6DE1">
            <w:pPr>
              <w:rPr>
                <w:sz w:val="18"/>
                <w:szCs w:val="18"/>
                <w:lang w:val="fr-CD"/>
              </w:rPr>
            </w:pPr>
            <w:r w:rsidRPr="00E11FFB">
              <w:rPr>
                <w:sz w:val="18"/>
                <w:szCs w:val="18"/>
                <w:lang w:val="fr-CD"/>
              </w:rPr>
              <w:t>Activité 7.4.3 : Appuyer les DANTIC de l'ACE.</w:t>
            </w:r>
          </w:p>
        </w:tc>
        <w:tc>
          <w:tcPr>
            <w:tcW w:w="6875" w:type="dxa"/>
          </w:tcPr>
          <w:p w14:paraId="1FE8CC91" w14:textId="77777777" w:rsidR="00A6240B" w:rsidRPr="007C2141" w:rsidRDefault="00A6240B" w:rsidP="00A6240B">
            <w:pPr>
              <w:pStyle w:val="Paragraphedeliste"/>
              <w:numPr>
                <w:ilvl w:val="0"/>
                <w:numId w:val="32"/>
              </w:numPr>
              <w:rPr>
                <w:sz w:val="18"/>
                <w:szCs w:val="18"/>
                <w:lang w:val="fr-FR"/>
              </w:rPr>
            </w:pPr>
            <w:hyperlink r:id="rId252" w:history="1">
              <w:r w:rsidRPr="007C2141">
                <w:rPr>
                  <w:rStyle w:val="Lienhypertexte"/>
                  <w:sz w:val="18"/>
                  <w:szCs w:val="18"/>
                  <w:lang w:val="fr-FR"/>
                </w:rPr>
                <w:t>Site internet de vulgarisation de données PAAJ</w:t>
              </w:r>
            </w:hyperlink>
            <w:r w:rsidRPr="007C2141">
              <w:rPr>
                <w:sz w:val="18"/>
                <w:szCs w:val="18"/>
                <w:lang w:val="fr-FR"/>
              </w:rPr>
              <w:t xml:space="preserve"> en cours de structuration</w:t>
            </w:r>
          </w:p>
        </w:tc>
      </w:tr>
    </w:tbl>
    <w:p w14:paraId="33B4472F" w14:textId="77777777" w:rsidR="00A6240B" w:rsidRPr="00E11FFB" w:rsidRDefault="00A6240B" w:rsidP="00A6240B"/>
    <w:p w14:paraId="670F60B0" w14:textId="77777777" w:rsidR="00A6240B" w:rsidRPr="00E11FFB" w:rsidRDefault="00A6240B">
      <w:pPr>
        <w:spacing w:after="5" w:line="271" w:lineRule="auto"/>
        <w:ind w:left="20" w:right="28" w:hanging="10"/>
        <w:jc w:val="both"/>
        <w:rPr>
          <w:rFonts w:ascii="Avenir" w:eastAsia="Avenir" w:hAnsi="Avenir" w:cs="Avenir"/>
          <w:iCs/>
          <w:color w:val="000000"/>
          <w:sz w:val="21"/>
          <w:szCs w:val="21"/>
        </w:rPr>
      </w:pPr>
    </w:p>
    <w:p w14:paraId="03FE7662" w14:textId="77777777" w:rsidR="0024617D" w:rsidRPr="00E11FFB" w:rsidRDefault="00C83F85">
      <w:pPr>
        <w:pStyle w:val="Titre1"/>
        <w:numPr>
          <w:ilvl w:val="0"/>
          <w:numId w:val="1"/>
        </w:numPr>
      </w:pPr>
      <w:bookmarkStart w:id="48" w:name="_Toc224044735"/>
      <w:r w:rsidRPr="00E11FFB">
        <w:t>Annexes</w:t>
      </w:r>
      <w:bookmarkEnd w:id="48"/>
    </w:p>
    <w:p w14:paraId="54104CFD" w14:textId="77777777" w:rsidR="0024617D" w:rsidRPr="00E11FFB" w:rsidRDefault="00C83F85">
      <w:pPr>
        <w:keepNext/>
        <w:keepLines/>
        <w:numPr>
          <w:ilvl w:val="1"/>
          <w:numId w:val="1"/>
        </w:numPr>
        <w:pBdr>
          <w:top w:val="nil"/>
          <w:left w:val="nil"/>
          <w:bottom w:val="nil"/>
          <w:right w:val="nil"/>
          <w:between w:val="nil"/>
        </w:pBdr>
        <w:spacing w:before="40" w:line="271" w:lineRule="auto"/>
        <w:ind w:right="28"/>
        <w:jc w:val="both"/>
        <w:rPr>
          <w:rFonts w:ascii="Avenir" w:eastAsia="Avenir" w:hAnsi="Avenir" w:cs="Avenir"/>
          <w:color w:val="2F5496"/>
        </w:rPr>
      </w:pPr>
      <w:r w:rsidRPr="00E11FFB">
        <w:rPr>
          <w:rFonts w:ascii="Avenir" w:eastAsia="Avenir" w:hAnsi="Avenir" w:cs="Avenir"/>
          <w:color w:val="2F5496"/>
        </w:rPr>
        <w:t xml:space="preserve">Tableaux indicateurs </w:t>
      </w:r>
    </w:p>
    <w:p w14:paraId="746D7856" w14:textId="65CB8EBA" w:rsidR="002726C6" w:rsidRDefault="00F7221C">
      <w:pPr>
        <w:jc w:val="both"/>
      </w:pPr>
      <w:hyperlink r:id="rId253" w:history="1">
        <w:r w:rsidRPr="00E11FFB">
          <w:rPr>
            <w:rStyle w:val="Lienhypertexte"/>
          </w:rPr>
          <w:t>Annexe 1</w:t>
        </w:r>
      </w:hyperlink>
      <w:r w:rsidR="00C83F85" w:rsidRPr="00E11FFB">
        <w:t xml:space="preserve"> </w:t>
      </w:r>
    </w:p>
    <w:p w14:paraId="10667961" w14:textId="42CA1D41" w:rsidR="0024617D" w:rsidRPr="00E11FFB" w:rsidRDefault="0042598F">
      <w:pPr>
        <w:jc w:val="both"/>
        <w:rPr>
          <w:color w:val="2F5496"/>
        </w:rPr>
      </w:pPr>
      <w:hyperlink r:id="rId254" w:history="1">
        <w:r w:rsidRPr="00E11FFB">
          <w:rPr>
            <w:rStyle w:val="Lienhypertexte"/>
          </w:rPr>
          <w:t>Annexe 2</w:t>
        </w:r>
      </w:hyperlink>
      <w:r w:rsidR="00C83F85" w:rsidRPr="00E11FFB">
        <w:rPr>
          <w:rFonts w:ascii="Avenir" w:eastAsia="Avenir" w:hAnsi="Avenir" w:cs="Avenir"/>
          <w:i/>
          <w:color w:val="000000"/>
          <w:sz w:val="21"/>
          <w:szCs w:val="21"/>
        </w:rPr>
        <w:t>.</w:t>
      </w:r>
    </w:p>
    <w:p w14:paraId="464B2E31" w14:textId="77777777" w:rsidR="0024617D" w:rsidRPr="00E11FFB" w:rsidRDefault="00C83F85">
      <w:pPr>
        <w:keepNext/>
        <w:keepLines/>
        <w:numPr>
          <w:ilvl w:val="1"/>
          <w:numId w:val="1"/>
        </w:numPr>
        <w:pBdr>
          <w:top w:val="nil"/>
          <w:left w:val="nil"/>
          <w:bottom w:val="nil"/>
          <w:right w:val="nil"/>
          <w:between w:val="nil"/>
        </w:pBdr>
        <w:spacing w:before="40" w:line="271" w:lineRule="auto"/>
        <w:ind w:right="28"/>
        <w:jc w:val="both"/>
        <w:rPr>
          <w:rFonts w:ascii="Avenir" w:eastAsia="Avenir" w:hAnsi="Avenir" w:cs="Avenir"/>
          <w:color w:val="2F5496"/>
        </w:rPr>
      </w:pPr>
      <w:r w:rsidRPr="00E11FFB">
        <w:rPr>
          <w:rFonts w:ascii="Avenir" w:eastAsia="Avenir" w:hAnsi="Avenir" w:cs="Avenir"/>
          <w:color w:val="2F5496"/>
        </w:rPr>
        <w:t>Annexe 3 / Tableau 8.2</w:t>
      </w:r>
    </w:p>
    <w:p w14:paraId="4D37F13B" w14:textId="71C68AA9" w:rsidR="0024617D" w:rsidRPr="00E11FFB" w:rsidRDefault="007B16C2">
      <w:pPr>
        <w:spacing w:after="5" w:line="271" w:lineRule="auto"/>
        <w:ind w:left="20" w:right="28" w:hanging="10"/>
        <w:jc w:val="both"/>
        <w:rPr>
          <w:rFonts w:ascii="Avenir" w:eastAsia="Avenir" w:hAnsi="Avenir" w:cs="Avenir"/>
          <w:i/>
          <w:color w:val="000000"/>
          <w:sz w:val="21"/>
          <w:szCs w:val="21"/>
        </w:rPr>
      </w:pPr>
      <w:hyperlink r:id="rId255" w:history="1">
        <w:r w:rsidRPr="00E11FFB">
          <w:rPr>
            <w:rStyle w:val="Lienhypertexte"/>
            <w:rFonts w:ascii="Avenir" w:eastAsia="Avenir" w:hAnsi="Avenir" w:cs="Avenir"/>
            <w:sz w:val="20"/>
            <w:szCs w:val="20"/>
          </w:rPr>
          <w:t>t</w:t>
        </w:r>
        <w:r w:rsidR="009E123D" w:rsidRPr="00E11FFB">
          <w:rPr>
            <w:rStyle w:val="Lienhypertexte"/>
            <w:rFonts w:ascii="Avenir" w:eastAsia="Avenir" w:hAnsi="Avenir" w:cs="Avenir"/>
            <w:sz w:val="20"/>
            <w:szCs w:val="20"/>
          </w:rPr>
          <w:t>ableau 8</w:t>
        </w:r>
        <w:r w:rsidRPr="00E11FFB">
          <w:rPr>
            <w:rStyle w:val="Lienhypertexte"/>
            <w:rFonts w:ascii="Avenir" w:eastAsia="Avenir" w:hAnsi="Avenir" w:cs="Avenir"/>
            <w:sz w:val="20"/>
            <w:szCs w:val="20"/>
          </w:rPr>
          <w:t>.</w:t>
        </w:r>
        <w:r w:rsidR="009E123D" w:rsidRPr="00E11FFB">
          <w:rPr>
            <w:rStyle w:val="Lienhypertexte"/>
            <w:rFonts w:ascii="Avenir" w:eastAsia="Avenir" w:hAnsi="Avenir" w:cs="Avenir"/>
            <w:sz w:val="20"/>
            <w:szCs w:val="20"/>
          </w:rPr>
          <w:t>2</w:t>
        </w:r>
      </w:hyperlink>
      <w:r w:rsidR="00C83F85" w:rsidRPr="00E11FFB">
        <w:rPr>
          <w:rFonts w:ascii="Avenir" w:eastAsia="Avenir" w:hAnsi="Avenir" w:cs="Avenir"/>
          <w:i/>
          <w:color w:val="000000"/>
          <w:sz w:val="21"/>
          <w:szCs w:val="21"/>
        </w:rPr>
        <w:t>.</w:t>
      </w:r>
    </w:p>
    <w:p w14:paraId="762E3FB1" w14:textId="77777777" w:rsidR="0024617D" w:rsidRPr="00E11FFB" w:rsidRDefault="0024617D">
      <w:pPr>
        <w:spacing w:after="5" w:line="271" w:lineRule="auto"/>
        <w:ind w:left="20" w:right="28" w:hanging="10"/>
        <w:jc w:val="both"/>
        <w:rPr>
          <w:rFonts w:ascii="Avenir" w:eastAsia="Avenir" w:hAnsi="Avenir" w:cs="Avenir"/>
          <w:i/>
          <w:color w:val="000000"/>
          <w:sz w:val="21"/>
          <w:szCs w:val="21"/>
        </w:rPr>
      </w:pPr>
    </w:p>
    <w:p w14:paraId="674E72A4" w14:textId="77777777" w:rsidR="0024617D" w:rsidRPr="00E11FFB" w:rsidRDefault="00C83F85">
      <w:pPr>
        <w:keepNext/>
        <w:keepLines/>
        <w:numPr>
          <w:ilvl w:val="1"/>
          <w:numId w:val="1"/>
        </w:numPr>
        <w:pBdr>
          <w:top w:val="nil"/>
          <w:left w:val="nil"/>
          <w:bottom w:val="nil"/>
          <w:right w:val="nil"/>
          <w:between w:val="nil"/>
        </w:pBdr>
        <w:spacing w:before="40" w:line="271" w:lineRule="auto"/>
        <w:ind w:right="28"/>
        <w:jc w:val="both"/>
        <w:rPr>
          <w:rFonts w:ascii="Avenir" w:eastAsia="Avenir" w:hAnsi="Avenir" w:cs="Avenir"/>
          <w:color w:val="2F5496"/>
        </w:rPr>
      </w:pPr>
      <w:r w:rsidRPr="00E11FFB">
        <w:rPr>
          <w:rFonts w:ascii="Avenir" w:eastAsia="Avenir" w:hAnsi="Avenir" w:cs="Avenir"/>
          <w:color w:val="2F5496"/>
        </w:rPr>
        <w:t>Encadré « bénéficiaires »</w:t>
      </w:r>
    </w:p>
    <w:p w14:paraId="4790FBD5" w14:textId="77777777" w:rsidR="0024617D" w:rsidRDefault="00C83F85">
      <w:pPr>
        <w:spacing w:after="5" w:line="271" w:lineRule="auto"/>
        <w:ind w:left="20" w:right="28" w:hanging="10"/>
        <w:jc w:val="both"/>
      </w:pPr>
      <w:r w:rsidRPr="00E11FFB">
        <w:rPr>
          <w:noProof/>
        </w:rPr>
        <mc:AlternateContent>
          <mc:Choice Requires="wps">
            <w:drawing>
              <wp:anchor distT="45720" distB="45720" distL="114300" distR="114300" simplePos="0" relativeHeight="251658240" behindDoc="0" locked="0" layoutInCell="1" hidden="0" allowOverlap="1" wp14:anchorId="2019F6B1" wp14:editId="1F19B5C0">
                <wp:simplePos x="0" y="0"/>
                <wp:positionH relativeFrom="column">
                  <wp:posOffset>1</wp:posOffset>
                </wp:positionH>
                <wp:positionV relativeFrom="paragraph">
                  <wp:posOffset>160020</wp:posOffset>
                </wp:positionV>
                <wp:extent cx="5937250" cy="5734050"/>
                <wp:effectExtent l="0" t="0" r="0" b="0"/>
                <wp:wrapSquare wrapText="bothSides" distT="45720" distB="45720" distL="114300" distR="114300"/>
                <wp:docPr id="1446002068" name="Rectangle 1446002068"/>
                <wp:cNvGraphicFramePr/>
                <a:graphic xmlns:a="http://schemas.openxmlformats.org/drawingml/2006/main">
                  <a:graphicData uri="http://schemas.microsoft.com/office/word/2010/wordprocessingShape">
                    <wps:wsp>
                      <wps:cNvSpPr/>
                      <wps:spPr>
                        <a:xfrm>
                          <a:off x="2405950" y="941550"/>
                          <a:ext cx="5880100" cy="5676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62FC1D" w14:textId="77777777" w:rsidR="0024617D" w:rsidRPr="00E11FFB" w:rsidRDefault="00C83F85">
                            <w:pPr>
                              <w:ind w:firstLine="10"/>
                              <w:textDirection w:val="btLr"/>
                            </w:pPr>
                            <w:r w:rsidRPr="00E11FFB">
                              <w:rPr>
                                <w:rFonts w:ascii="Avenir" w:eastAsia="Avenir" w:hAnsi="Avenir" w:cs="Avenir"/>
                                <w:b/>
                                <w:color w:val="000000"/>
                              </w:rPr>
                              <w:t>Encadré : calculer et estimer le nombre de bénéficiaires</w:t>
                            </w:r>
                          </w:p>
                          <w:p w14:paraId="206EDA79" w14:textId="77777777" w:rsidR="0024617D" w:rsidRPr="00E11FFB" w:rsidRDefault="0024617D">
                            <w:pPr>
                              <w:ind w:firstLine="10"/>
                              <w:textDirection w:val="btLr"/>
                            </w:pPr>
                          </w:p>
                          <w:p w14:paraId="57C02A33" w14:textId="77777777" w:rsidR="0024617D" w:rsidRPr="00E11FFB" w:rsidRDefault="00C83F85">
                            <w:pPr>
                              <w:ind w:firstLine="10"/>
                              <w:textDirection w:val="btLr"/>
                            </w:pPr>
                            <w:r w:rsidRPr="00E11FFB">
                              <w:rPr>
                                <w:rFonts w:ascii="Avenir" w:eastAsia="Avenir" w:hAnsi="Avenir" w:cs="Avenir"/>
                                <w:color w:val="000000"/>
                              </w:rPr>
                              <w:t xml:space="preserve"> Les bénéficiaires reçoivent un soutien qui est défini dans deux dimensions :  </w:t>
                            </w:r>
                          </w:p>
                          <w:p w14:paraId="021FC2FE" w14:textId="77777777" w:rsidR="0024617D" w:rsidRPr="00E11FFB" w:rsidRDefault="00C83F85">
                            <w:pPr>
                              <w:ind w:left="765" w:firstLine="4392"/>
                              <w:textDirection w:val="btLr"/>
                            </w:pPr>
                            <w:r w:rsidRPr="00E11FFB">
                              <w:rPr>
                                <w:rFonts w:ascii="Avenir" w:eastAsia="Avenir" w:hAnsi="Avenir" w:cs="Avenir"/>
                                <w:b/>
                                <w:color w:val="000000"/>
                              </w:rPr>
                              <w:t xml:space="preserve">Type de soutien </w:t>
                            </w:r>
                          </w:p>
                          <w:p w14:paraId="1788434C" w14:textId="77777777" w:rsidR="0024617D" w:rsidRPr="00E11FFB" w:rsidRDefault="00C83F85">
                            <w:pPr>
                              <w:ind w:left="567" w:firstLine="1701"/>
                              <w:textDirection w:val="btLr"/>
                            </w:pPr>
                            <w:r w:rsidRPr="00E11FFB">
                              <w:rPr>
                                <w:rFonts w:ascii="Avenir" w:eastAsia="Avenir" w:hAnsi="Avenir" w:cs="Avenir"/>
                                <w:b/>
                                <w:color w:val="FF0000"/>
                                <w:u w:val="single"/>
                              </w:rPr>
                              <w:t>Soutien ciblé</w:t>
                            </w:r>
                            <w:r w:rsidRPr="00E11FFB">
                              <w:rPr>
                                <w:rFonts w:ascii="Avenir" w:eastAsia="Avenir" w:hAnsi="Avenir" w:cs="Avenir"/>
                                <w:color w:val="000000"/>
                              </w:rPr>
                              <w:t xml:space="preserve"> (reçu par des </w:t>
                            </w:r>
                            <w:r w:rsidRPr="00E11FFB">
                              <w:rPr>
                                <w:rFonts w:ascii="Avenir" w:eastAsia="Avenir" w:hAnsi="Avenir" w:cs="Avenir"/>
                                <w:b/>
                                <w:color w:val="FF0000"/>
                              </w:rPr>
                              <w:t>personnes qui peuvent être identifiées et comptées</w:t>
                            </w:r>
                            <w:r w:rsidRPr="00E11FFB">
                              <w:rPr>
                                <w:rFonts w:ascii="Avenir" w:eastAsia="Avenir" w:hAnsi="Avenir" w:cs="Avenir"/>
                                <w:color w:val="FF0000"/>
                              </w:rPr>
                              <w:t xml:space="preserve"> </w:t>
                            </w:r>
                            <w:r w:rsidRPr="00E11FFB">
                              <w:rPr>
                                <w:rFonts w:ascii="Avenir" w:eastAsia="Avenir" w:hAnsi="Avenir" w:cs="Avenir"/>
                                <w:color w:val="000000"/>
                              </w:rPr>
                              <w:t xml:space="preserve">par le projet </w:t>
                            </w:r>
                            <w:r w:rsidRPr="00E11FFB">
                              <w:rPr>
                                <w:rFonts w:ascii="Avenir" w:eastAsia="Avenir" w:hAnsi="Avenir" w:cs="Avenir"/>
                                <w:b/>
                                <w:color w:val="FF0000"/>
                              </w:rPr>
                              <w:t>et qui savent qu’elles reçoivent du soutien</w:t>
                            </w:r>
                            <w:r w:rsidRPr="00E11FFB">
                              <w:rPr>
                                <w:rFonts w:ascii="Avenir" w:eastAsia="Avenir" w:hAnsi="Avenir" w:cs="Avenir"/>
                                <w:color w:val="000000"/>
                              </w:rPr>
                              <w:t xml:space="preserve">) </w:t>
                            </w:r>
                          </w:p>
                          <w:p w14:paraId="618A76DA" w14:textId="77777777" w:rsidR="0024617D" w:rsidRPr="00E11FFB" w:rsidRDefault="0024617D">
                            <w:pPr>
                              <w:ind w:left="567" w:firstLine="1701"/>
                              <w:textDirection w:val="btLr"/>
                            </w:pPr>
                          </w:p>
                          <w:p w14:paraId="17FE7B8A" w14:textId="77777777" w:rsidR="0024617D" w:rsidRPr="00E11FFB" w:rsidRDefault="00C83F85">
                            <w:pPr>
                              <w:ind w:left="567" w:firstLine="1701"/>
                              <w:textDirection w:val="btLr"/>
                            </w:pPr>
                            <w:r w:rsidRPr="00E11FFB">
                              <w:rPr>
                                <w:rFonts w:ascii="Avenir" w:eastAsia="Avenir" w:hAnsi="Avenir" w:cs="Avenir"/>
                                <w:b/>
                                <w:color w:val="00B050"/>
                                <w:u w:val="single"/>
                              </w:rPr>
                              <w:t>Soutien non ciblé</w:t>
                            </w:r>
                            <w:r w:rsidRPr="00E11FFB">
                              <w:rPr>
                                <w:rFonts w:ascii="Avenir" w:eastAsia="Avenir" w:hAnsi="Avenir" w:cs="Avenir"/>
                                <w:color w:val="000000"/>
                              </w:rPr>
                              <w:t xml:space="preserve"> : reçu indirectement par des </w:t>
                            </w:r>
                            <w:r w:rsidRPr="00E11FFB">
                              <w:rPr>
                                <w:rFonts w:ascii="Avenir" w:eastAsia="Avenir" w:hAnsi="Avenir" w:cs="Avenir"/>
                                <w:b/>
                                <w:color w:val="00B050"/>
                              </w:rPr>
                              <w:t>personnes qui ne peuvent pas être identifiées et comptées précisément</w:t>
                            </w:r>
                            <w:r w:rsidRPr="00E11FFB">
                              <w:rPr>
                                <w:rFonts w:ascii="Avenir" w:eastAsia="Avenir" w:hAnsi="Avenir" w:cs="Avenir"/>
                                <w:color w:val="000000"/>
                              </w:rPr>
                              <w:t xml:space="preserve">. Par exemple : campagnes de communication, enfants dans un foyer dont l’un ou les deux parents reçoivent un appui ciblé.  </w:t>
                            </w:r>
                          </w:p>
                          <w:p w14:paraId="18D617A8" w14:textId="77777777" w:rsidR="0024617D" w:rsidRPr="00E11FFB" w:rsidRDefault="0024617D">
                            <w:pPr>
                              <w:ind w:left="1800" w:firstLine="12600"/>
                              <w:textDirection w:val="btLr"/>
                            </w:pPr>
                          </w:p>
                          <w:p w14:paraId="6856362F" w14:textId="77777777" w:rsidR="0024617D" w:rsidRPr="00E11FFB" w:rsidRDefault="00C83F85">
                            <w:pPr>
                              <w:ind w:left="567" w:firstLine="3402"/>
                              <w:textDirection w:val="btLr"/>
                            </w:pPr>
                            <w:r w:rsidRPr="00E11FFB">
                              <w:rPr>
                                <w:rFonts w:ascii="Avenir" w:eastAsia="Avenir" w:hAnsi="Avenir" w:cs="Avenir"/>
                                <w:b/>
                                <w:color w:val="000000"/>
                              </w:rPr>
                              <w:t>2) Intensité du soutien</w:t>
                            </w:r>
                          </w:p>
                          <w:p w14:paraId="4E69A514" w14:textId="77777777" w:rsidR="0024617D" w:rsidRPr="00E11FFB" w:rsidRDefault="00C83F85">
                            <w:pPr>
                              <w:ind w:left="567" w:firstLine="1701"/>
                              <w:textDirection w:val="btLr"/>
                            </w:pPr>
                            <w:r w:rsidRPr="00E11FFB">
                              <w:rPr>
                                <w:rFonts w:ascii="Avenir" w:eastAsia="Avenir" w:hAnsi="Avenir" w:cs="Avenir"/>
                                <w:color w:val="000000"/>
                                <w:u w:val="single"/>
                              </w:rPr>
                              <w:t>Faible</w:t>
                            </w:r>
                            <w:r w:rsidRPr="00E11FFB">
                              <w:rPr>
                                <w:rFonts w:ascii="Avenir" w:eastAsia="Avenir" w:hAnsi="Avenir" w:cs="Avenir"/>
                                <w:color w:val="000000"/>
                              </w:rPr>
                              <w:t xml:space="preserve"> (par exemple, les personnes vivant dans une zone administrative où l’autorité reçoit un soutien au renforcement des capacités)</w:t>
                            </w:r>
                          </w:p>
                          <w:p w14:paraId="45EEE1B5" w14:textId="77777777" w:rsidR="0024617D" w:rsidRPr="00E11FFB" w:rsidRDefault="0024617D">
                            <w:pPr>
                              <w:ind w:left="567" w:firstLine="1701"/>
                              <w:textDirection w:val="btLr"/>
                            </w:pPr>
                          </w:p>
                          <w:p w14:paraId="7855B6BD" w14:textId="77777777" w:rsidR="0024617D" w:rsidRPr="00E11FFB" w:rsidRDefault="00C83F85">
                            <w:pPr>
                              <w:ind w:left="567" w:firstLine="1701"/>
                              <w:textDirection w:val="btLr"/>
                            </w:pPr>
                            <w:r w:rsidRPr="00E11FFB">
                              <w:rPr>
                                <w:rFonts w:ascii="Avenir" w:eastAsia="Avenir" w:hAnsi="Avenir" w:cs="Avenir"/>
                                <w:color w:val="000000"/>
                                <w:u w:val="single"/>
                              </w:rPr>
                              <w:t>Moyenne</w:t>
                            </w:r>
                            <w:r w:rsidRPr="00E11FFB">
                              <w:rPr>
                                <w:rFonts w:ascii="Avenir" w:eastAsia="Avenir" w:hAnsi="Avenir" w:cs="Avenir"/>
                                <w:color w:val="000000"/>
                              </w:rPr>
                              <w:t xml:space="preserve"> (par exemple, les personnes qui participent à des séances de renforcement de capacité de manière régulière)</w:t>
                            </w:r>
                          </w:p>
                          <w:p w14:paraId="0B5076A3" w14:textId="77777777" w:rsidR="0024617D" w:rsidRPr="00E11FFB" w:rsidRDefault="0024617D">
                            <w:pPr>
                              <w:spacing w:after="5" w:line="270" w:lineRule="auto"/>
                              <w:ind w:left="567" w:right="27" w:firstLine="1701"/>
                              <w:jc w:val="both"/>
                              <w:textDirection w:val="btLr"/>
                            </w:pPr>
                          </w:p>
                          <w:p w14:paraId="28E3F600" w14:textId="77777777" w:rsidR="0024617D" w:rsidRPr="00E11FFB" w:rsidRDefault="00C83F85">
                            <w:pPr>
                              <w:ind w:left="567" w:firstLine="1701"/>
                              <w:textDirection w:val="btLr"/>
                            </w:pPr>
                            <w:r w:rsidRPr="00E11FFB">
                              <w:rPr>
                                <w:rFonts w:ascii="Avenir" w:eastAsia="Avenir" w:hAnsi="Avenir" w:cs="Avenir"/>
                                <w:color w:val="000000"/>
                                <w:u w:val="single"/>
                              </w:rPr>
                              <w:t>Haute</w:t>
                            </w:r>
                            <w:r w:rsidRPr="00E11FFB">
                              <w:rPr>
                                <w:rFonts w:ascii="Avenir" w:eastAsia="Avenir" w:hAnsi="Avenir" w:cs="Avenir"/>
                                <w:color w:val="000000"/>
                              </w:rPr>
                              <w:t xml:space="preserve"> (par exemple, les individus qui reçoivent un accompagnement soutenu sur la durée)</w:t>
                            </w:r>
                          </w:p>
                          <w:p w14:paraId="4C612CF9" w14:textId="77777777" w:rsidR="0024617D" w:rsidRPr="00E11FFB" w:rsidRDefault="0024617D">
                            <w:pPr>
                              <w:ind w:left="1070" w:firstLine="7490"/>
                              <w:textDirection w:val="btLr"/>
                            </w:pPr>
                          </w:p>
                          <w:p w14:paraId="47073788" w14:textId="77777777" w:rsidR="0024617D" w:rsidRPr="00E11FFB" w:rsidRDefault="00C83F85">
                            <w:pPr>
                              <w:textDirection w:val="btLr"/>
                            </w:pPr>
                            <w:r w:rsidRPr="00E11FFB">
                              <w:rPr>
                                <w:rFonts w:ascii="Avenir" w:eastAsia="Avenir" w:hAnsi="Avenir" w:cs="Avenir"/>
                                <w:b/>
                                <w:color w:val="000000"/>
                              </w:rPr>
                              <w:t xml:space="preserve">Le nombre de bénéficiaires directs est dès lors défini comme le nombre d’individus (ventilés par le genre) qui reçoivent un soutien ciblé </w:t>
                            </w:r>
                            <w:r w:rsidRPr="00E11FFB">
                              <w:rPr>
                                <w:rFonts w:ascii="Avenir" w:eastAsia="Avenir" w:hAnsi="Avenir" w:cs="Avenir"/>
                                <w:b/>
                                <w:color w:val="000000"/>
                                <w:u w:val="single"/>
                              </w:rPr>
                              <w:t>et</w:t>
                            </w:r>
                            <w:r w:rsidRPr="00E11FFB">
                              <w:rPr>
                                <w:rFonts w:ascii="Avenir" w:eastAsia="Avenir" w:hAnsi="Avenir" w:cs="Avenir"/>
                                <w:b/>
                                <w:color w:val="000000"/>
                              </w:rPr>
                              <w:t xml:space="preserve"> de haute et moyenne intensité. </w:t>
                            </w:r>
                          </w:p>
                          <w:p w14:paraId="7AEA2588" w14:textId="77777777" w:rsidR="0024617D" w:rsidRPr="00E11FFB" w:rsidRDefault="0024617D">
                            <w:pPr>
                              <w:textDirection w:val="btLr"/>
                            </w:pPr>
                          </w:p>
                          <w:p w14:paraId="03AEDD67" w14:textId="77777777" w:rsidR="0024617D" w:rsidRPr="00E11FFB" w:rsidRDefault="00C83F85">
                            <w:pPr>
                              <w:textDirection w:val="btLr"/>
                            </w:pPr>
                            <w:r w:rsidRPr="00E11FFB">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667069CB" w14:textId="77777777" w:rsidR="0024617D" w:rsidRPr="00E11FFB" w:rsidRDefault="0024617D">
                            <w:pPr>
                              <w:textDirection w:val="btLr"/>
                            </w:pPr>
                          </w:p>
                          <w:p w14:paraId="0197857D" w14:textId="77777777" w:rsidR="0024617D" w:rsidRPr="00E11FFB" w:rsidRDefault="00C83F85">
                            <w:pPr>
                              <w:textDirection w:val="btLr"/>
                            </w:pPr>
                            <w:r w:rsidRPr="00E11FFB">
                              <w:rPr>
                                <w:rFonts w:ascii="Avenir" w:eastAsia="Avenir" w:hAnsi="Avenir" w:cs="Avenir"/>
                                <w:b/>
                                <w:color w:val="000000"/>
                              </w:rPr>
                              <w:t xml:space="preserve">Si certains bénéficiaires bénéficient plus d’une fois : (eg : les membres d’une communauté qui sont soutenus pour une mise en défens et bénéficient aussi d’une nouvelle route) estimer le détail mais ne pas les comptabiliser deux fois. </w:t>
                            </w:r>
                          </w:p>
                        </w:txbxContent>
                      </wps:txbx>
                      <wps:bodyPr spcFirstLastPara="1" wrap="square" lIns="91425" tIns="45675" rIns="91425" bIns="45675" anchor="t" anchorCtr="0">
                        <a:noAutofit/>
                      </wps:bodyPr>
                    </wps:wsp>
                  </a:graphicData>
                </a:graphic>
              </wp:anchor>
            </w:drawing>
          </mc:Choice>
          <mc:Fallback>
            <w:pict>
              <v:rect w14:anchorId="2019F6B1" id="Rectangle 1446002068" o:spid="_x0000_s1026" style="position:absolute;left:0;text-align:left;margin-left:0;margin-top:12.6pt;width:467.5pt;height:451.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">
                <v:stroke startarrowwidth="narrow" startarrowlength="short" endarrowwidth="narrow" endarrowlength="short"/>
                <v:textbox inset="2.53958mm,1.26875mm,2.53958mm,1.26875mm">
                  <w:txbxContent>
                    <w:p w14:paraId="7062FC1D" w14:textId="77777777" w:rsidR="0024617D" w:rsidRPr="00E11FFB" w:rsidRDefault="00C83F85">
                      <w:pPr>
                        <w:ind w:firstLine="10"/>
                        <w:textDirection w:val="btLr"/>
                      </w:pPr>
                      <w:r w:rsidRPr="00E11FFB">
                        <w:rPr>
                          <w:rFonts w:ascii="Avenir" w:eastAsia="Avenir" w:hAnsi="Avenir" w:cs="Avenir"/>
                          <w:b/>
                          <w:color w:val="000000"/>
                        </w:rPr>
                        <w:t>Encadré : calculer et estimer le nombre de bénéficiaires</w:t>
                      </w:r>
                    </w:p>
                    <w:p w14:paraId="206EDA79" w14:textId="77777777" w:rsidR="0024617D" w:rsidRPr="00E11FFB" w:rsidRDefault="0024617D">
                      <w:pPr>
                        <w:ind w:firstLine="10"/>
                        <w:textDirection w:val="btLr"/>
                      </w:pPr>
                    </w:p>
                    <w:p w14:paraId="57C02A33" w14:textId="77777777" w:rsidR="0024617D" w:rsidRPr="00E11FFB" w:rsidRDefault="00C83F85">
                      <w:pPr>
                        <w:ind w:firstLine="10"/>
                        <w:textDirection w:val="btLr"/>
                      </w:pPr>
                      <w:r w:rsidRPr="00E11FFB">
                        <w:rPr>
                          <w:rFonts w:ascii="Avenir" w:eastAsia="Avenir" w:hAnsi="Avenir" w:cs="Avenir"/>
                          <w:color w:val="000000"/>
                        </w:rPr>
                        <w:t xml:space="preserve"> Les bénéficiaires reçoivent un soutien qui est défini dans deux dimensions :  </w:t>
                      </w:r>
                    </w:p>
                    <w:p w14:paraId="021FC2FE" w14:textId="77777777" w:rsidR="0024617D" w:rsidRPr="00E11FFB" w:rsidRDefault="00C83F85">
                      <w:pPr>
                        <w:ind w:left="765" w:firstLine="4392"/>
                        <w:textDirection w:val="btLr"/>
                      </w:pPr>
                      <w:r w:rsidRPr="00E11FFB">
                        <w:rPr>
                          <w:rFonts w:ascii="Avenir" w:eastAsia="Avenir" w:hAnsi="Avenir" w:cs="Avenir"/>
                          <w:b/>
                          <w:color w:val="000000"/>
                        </w:rPr>
                        <w:t xml:space="preserve">Type de soutien </w:t>
                      </w:r>
                    </w:p>
                    <w:p w14:paraId="1788434C" w14:textId="77777777" w:rsidR="0024617D" w:rsidRPr="00E11FFB" w:rsidRDefault="00C83F85">
                      <w:pPr>
                        <w:ind w:left="567" w:firstLine="1701"/>
                        <w:textDirection w:val="btLr"/>
                      </w:pPr>
                      <w:r w:rsidRPr="00E11FFB">
                        <w:rPr>
                          <w:rFonts w:ascii="Avenir" w:eastAsia="Avenir" w:hAnsi="Avenir" w:cs="Avenir"/>
                          <w:b/>
                          <w:color w:val="FF0000"/>
                          <w:u w:val="single"/>
                        </w:rPr>
                        <w:t>Soutien ciblé</w:t>
                      </w:r>
                      <w:r w:rsidRPr="00E11FFB">
                        <w:rPr>
                          <w:rFonts w:ascii="Avenir" w:eastAsia="Avenir" w:hAnsi="Avenir" w:cs="Avenir"/>
                          <w:color w:val="000000"/>
                        </w:rPr>
                        <w:t xml:space="preserve"> (reçu par des </w:t>
                      </w:r>
                      <w:r w:rsidRPr="00E11FFB">
                        <w:rPr>
                          <w:rFonts w:ascii="Avenir" w:eastAsia="Avenir" w:hAnsi="Avenir" w:cs="Avenir"/>
                          <w:b/>
                          <w:color w:val="FF0000"/>
                        </w:rPr>
                        <w:t>personnes qui peuvent être identifiées et comptées</w:t>
                      </w:r>
                      <w:r w:rsidRPr="00E11FFB">
                        <w:rPr>
                          <w:rFonts w:ascii="Avenir" w:eastAsia="Avenir" w:hAnsi="Avenir" w:cs="Avenir"/>
                          <w:color w:val="FF0000"/>
                        </w:rPr>
                        <w:t xml:space="preserve"> </w:t>
                      </w:r>
                      <w:r w:rsidRPr="00E11FFB">
                        <w:rPr>
                          <w:rFonts w:ascii="Avenir" w:eastAsia="Avenir" w:hAnsi="Avenir" w:cs="Avenir"/>
                          <w:color w:val="000000"/>
                        </w:rPr>
                        <w:t xml:space="preserve">par le projet </w:t>
                      </w:r>
                      <w:r w:rsidRPr="00E11FFB">
                        <w:rPr>
                          <w:rFonts w:ascii="Avenir" w:eastAsia="Avenir" w:hAnsi="Avenir" w:cs="Avenir"/>
                          <w:b/>
                          <w:color w:val="FF0000"/>
                        </w:rPr>
                        <w:t>et qui savent qu’elles reçoivent du soutien</w:t>
                      </w:r>
                      <w:r w:rsidRPr="00E11FFB">
                        <w:rPr>
                          <w:rFonts w:ascii="Avenir" w:eastAsia="Avenir" w:hAnsi="Avenir" w:cs="Avenir"/>
                          <w:color w:val="000000"/>
                        </w:rPr>
                        <w:t xml:space="preserve">) </w:t>
                      </w:r>
                    </w:p>
                    <w:p w14:paraId="618A76DA" w14:textId="77777777" w:rsidR="0024617D" w:rsidRPr="00E11FFB" w:rsidRDefault="0024617D">
                      <w:pPr>
                        <w:ind w:left="567" w:firstLine="1701"/>
                        <w:textDirection w:val="btLr"/>
                      </w:pPr>
                    </w:p>
                    <w:p w14:paraId="17FE7B8A" w14:textId="77777777" w:rsidR="0024617D" w:rsidRPr="00E11FFB" w:rsidRDefault="00C83F85">
                      <w:pPr>
                        <w:ind w:left="567" w:firstLine="1701"/>
                        <w:textDirection w:val="btLr"/>
                      </w:pPr>
                      <w:r w:rsidRPr="00E11FFB">
                        <w:rPr>
                          <w:rFonts w:ascii="Avenir" w:eastAsia="Avenir" w:hAnsi="Avenir" w:cs="Avenir"/>
                          <w:b/>
                          <w:color w:val="00B050"/>
                          <w:u w:val="single"/>
                        </w:rPr>
                        <w:t>Soutien non ciblé</w:t>
                      </w:r>
                      <w:r w:rsidRPr="00E11FFB">
                        <w:rPr>
                          <w:rFonts w:ascii="Avenir" w:eastAsia="Avenir" w:hAnsi="Avenir" w:cs="Avenir"/>
                          <w:color w:val="000000"/>
                        </w:rPr>
                        <w:t xml:space="preserve"> : reçu indirectement par des </w:t>
                      </w:r>
                      <w:r w:rsidRPr="00E11FFB">
                        <w:rPr>
                          <w:rFonts w:ascii="Avenir" w:eastAsia="Avenir" w:hAnsi="Avenir" w:cs="Avenir"/>
                          <w:b/>
                          <w:color w:val="00B050"/>
                        </w:rPr>
                        <w:t>personnes qui ne peuvent pas être identifiées et comptées précisément</w:t>
                      </w:r>
                      <w:r w:rsidRPr="00E11FFB">
                        <w:rPr>
                          <w:rFonts w:ascii="Avenir" w:eastAsia="Avenir" w:hAnsi="Avenir" w:cs="Avenir"/>
                          <w:color w:val="000000"/>
                        </w:rPr>
                        <w:t xml:space="preserve">. Par exemple : campagnes de communication, enfants dans un foyer dont l’un ou les deux parents reçoivent un appui ciblé.  </w:t>
                      </w:r>
                    </w:p>
                    <w:p w14:paraId="18D617A8" w14:textId="77777777" w:rsidR="0024617D" w:rsidRPr="00E11FFB" w:rsidRDefault="0024617D">
                      <w:pPr>
                        <w:ind w:left="1800" w:firstLine="12600"/>
                        <w:textDirection w:val="btLr"/>
                      </w:pPr>
                    </w:p>
                    <w:p w14:paraId="6856362F" w14:textId="77777777" w:rsidR="0024617D" w:rsidRPr="00E11FFB" w:rsidRDefault="00C83F85">
                      <w:pPr>
                        <w:ind w:left="567" w:firstLine="3402"/>
                        <w:textDirection w:val="btLr"/>
                      </w:pPr>
                      <w:r w:rsidRPr="00E11FFB">
                        <w:rPr>
                          <w:rFonts w:ascii="Avenir" w:eastAsia="Avenir" w:hAnsi="Avenir" w:cs="Avenir"/>
                          <w:b/>
                          <w:color w:val="000000"/>
                        </w:rPr>
                        <w:t>2) Intensité du soutien</w:t>
                      </w:r>
                    </w:p>
                    <w:p w14:paraId="4E69A514" w14:textId="77777777" w:rsidR="0024617D" w:rsidRPr="00E11FFB" w:rsidRDefault="00C83F85">
                      <w:pPr>
                        <w:ind w:left="567" w:firstLine="1701"/>
                        <w:textDirection w:val="btLr"/>
                      </w:pPr>
                      <w:r w:rsidRPr="00E11FFB">
                        <w:rPr>
                          <w:rFonts w:ascii="Avenir" w:eastAsia="Avenir" w:hAnsi="Avenir" w:cs="Avenir"/>
                          <w:color w:val="000000"/>
                          <w:u w:val="single"/>
                        </w:rPr>
                        <w:t>Faible</w:t>
                      </w:r>
                      <w:r w:rsidRPr="00E11FFB">
                        <w:rPr>
                          <w:rFonts w:ascii="Avenir" w:eastAsia="Avenir" w:hAnsi="Avenir" w:cs="Avenir"/>
                          <w:color w:val="000000"/>
                        </w:rPr>
                        <w:t xml:space="preserve"> (par exemple, les personnes vivant dans une zone administrative où l’autorité reçoit un soutien au renforcement des capacités)</w:t>
                      </w:r>
                    </w:p>
                    <w:p w14:paraId="45EEE1B5" w14:textId="77777777" w:rsidR="0024617D" w:rsidRPr="00E11FFB" w:rsidRDefault="0024617D">
                      <w:pPr>
                        <w:ind w:left="567" w:firstLine="1701"/>
                        <w:textDirection w:val="btLr"/>
                      </w:pPr>
                    </w:p>
                    <w:p w14:paraId="7855B6BD" w14:textId="77777777" w:rsidR="0024617D" w:rsidRPr="00E11FFB" w:rsidRDefault="00C83F85">
                      <w:pPr>
                        <w:ind w:left="567" w:firstLine="1701"/>
                        <w:textDirection w:val="btLr"/>
                      </w:pPr>
                      <w:r w:rsidRPr="00E11FFB">
                        <w:rPr>
                          <w:rFonts w:ascii="Avenir" w:eastAsia="Avenir" w:hAnsi="Avenir" w:cs="Avenir"/>
                          <w:color w:val="000000"/>
                          <w:u w:val="single"/>
                        </w:rPr>
                        <w:t>Moyenne</w:t>
                      </w:r>
                      <w:r w:rsidRPr="00E11FFB">
                        <w:rPr>
                          <w:rFonts w:ascii="Avenir" w:eastAsia="Avenir" w:hAnsi="Avenir" w:cs="Avenir"/>
                          <w:color w:val="000000"/>
                        </w:rPr>
                        <w:t xml:space="preserve"> (par exemple, les personnes qui participent à des séances de renforcement de capacité de manière régulière)</w:t>
                      </w:r>
                    </w:p>
                    <w:p w14:paraId="0B5076A3" w14:textId="77777777" w:rsidR="0024617D" w:rsidRPr="00E11FFB" w:rsidRDefault="0024617D">
                      <w:pPr>
                        <w:spacing w:after="5" w:line="270" w:lineRule="auto"/>
                        <w:ind w:left="567" w:right="27" w:firstLine="1701"/>
                        <w:jc w:val="both"/>
                        <w:textDirection w:val="btLr"/>
                      </w:pPr>
                    </w:p>
                    <w:p w14:paraId="28E3F600" w14:textId="77777777" w:rsidR="0024617D" w:rsidRPr="00E11FFB" w:rsidRDefault="00C83F85">
                      <w:pPr>
                        <w:ind w:left="567" w:firstLine="1701"/>
                        <w:textDirection w:val="btLr"/>
                      </w:pPr>
                      <w:r w:rsidRPr="00E11FFB">
                        <w:rPr>
                          <w:rFonts w:ascii="Avenir" w:eastAsia="Avenir" w:hAnsi="Avenir" w:cs="Avenir"/>
                          <w:color w:val="000000"/>
                          <w:u w:val="single"/>
                        </w:rPr>
                        <w:t>Haute</w:t>
                      </w:r>
                      <w:r w:rsidRPr="00E11FFB">
                        <w:rPr>
                          <w:rFonts w:ascii="Avenir" w:eastAsia="Avenir" w:hAnsi="Avenir" w:cs="Avenir"/>
                          <w:color w:val="000000"/>
                        </w:rPr>
                        <w:t xml:space="preserve"> (par exemple, les individus qui reçoivent un accompagnement soutenu sur la durée)</w:t>
                      </w:r>
                    </w:p>
                    <w:p w14:paraId="4C612CF9" w14:textId="77777777" w:rsidR="0024617D" w:rsidRPr="00E11FFB" w:rsidRDefault="0024617D">
                      <w:pPr>
                        <w:ind w:left="1070" w:firstLine="7490"/>
                        <w:textDirection w:val="btLr"/>
                      </w:pPr>
                    </w:p>
                    <w:p w14:paraId="47073788" w14:textId="77777777" w:rsidR="0024617D" w:rsidRPr="00E11FFB" w:rsidRDefault="00C83F85">
                      <w:pPr>
                        <w:textDirection w:val="btLr"/>
                      </w:pPr>
                      <w:r w:rsidRPr="00E11FFB">
                        <w:rPr>
                          <w:rFonts w:ascii="Avenir" w:eastAsia="Avenir" w:hAnsi="Avenir" w:cs="Avenir"/>
                          <w:b/>
                          <w:color w:val="000000"/>
                        </w:rPr>
                        <w:t xml:space="preserve">Le nombre de bénéficiaires directs est dès lors défini comme le nombre d’individus (ventilés par le genre) qui reçoivent un soutien ciblé </w:t>
                      </w:r>
                      <w:r w:rsidRPr="00E11FFB">
                        <w:rPr>
                          <w:rFonts w:ascii="Avenir" w:eastAsia="Avenir" w:hAnsi="Avenir" w:cs="Avenir"/>
                          <w:b/>
                          <w:color w:val="000000"/>
                          <w:u w:val="single"/>
                        </w:rPr>
                        <w:t>et</w:t>
                      </w:r>
                      <w:r w:rsidRPr="00E11FFB">
                        <w:rPr>
                          <w:rFonts w:ascii="Avenir" w:eastAsia="Avenir" w:hAnsi="Avenir" w:cs="Avenir"/>
                          <w:b/>
                          <w:color w:val="000000"/>
                        </w:rPr>
                        <w:t xml:space="preserve"> de haute et moyenne intensité. </w:t>
                      </w:r>
                    </w:p>
                    <w:p w14:paraId="7AEA2588" w14:textId="77777777" w:rsidR="0024617D" w:rsidRPr="00E11FFB" w:rsidRDefault="0024617D">
                      <w:pPr>
                        <w:textDirection w:val="btLr"/>
                      </w:pPr>
                    </w:p>
                    <w:p w14:paraId="03AEDD67" w14:textId="77777777" w:rsidR="0024617D" w:rsidRPr="00E11FFB" w:rsidRDefault="00C83F85">
                      <w:pPr>
                        <w:textDirection w:val="btLr"/>
                      </w:pPr>
                      <w:r w:rsidRPr="00E11FFB">
                        <w:rPr>
                          <w:rFonts w:ascii="Avenir" w:eastAsia="Avenir" w:hAnsi="Avenir" w:cs="Avenir"/>
                          <w:b/>
                          <w:color w:val="000000"/>
                        </w:rPr>
                        <w:t xml:space="preserve">Le nombre de bénéficiaires indirects est le nombre d’individus (ventilés par le genre) qui reçoivent un soutien ciblé d’intensité moyenne, ou un appui non ciblé d’intensité forte ou moyenne </w:t>
                      </w:r>
                    </w:p>
                    <w:p w14:paraId="667069CB" w14:textId="77777777" w:rsidR="0024617D" w:rsidRPr="00E11FFB" w:rsidRDefault="0024617D">
                      <w:pPr>
                        <w:textDirection w:val="btLr"/>
                      </w:pPr>
                    </w:p>
                    <w:p w14:paraId="0197857D" w14:textId="77777777" w:rsidR="0024617D" w:rsidRPr="00E11FFB" w:rsidRDefault="00C83F85">
                      <w:pPr>
                        <w:textDirection w:val="btLr"/>
                      </w:pPr>
                      <w:r w:rsidRPr="00E11FFB">
                        <w:rPr>
                          <w:rFonts w:ascii="Avenir" w:eastAsia="Avenir" w:hAnsi="Avenir" w:cs="Avenir"/>
                          <w:b/>
                          <w:color w:val="000000"/>
                        </w:rPr>
                        <w:t xml:space="preserve">Si certains bénéficiaires bénéficient plus d’une fois : (eg : les membres d’une communauté qui sont soutenus pour une mise en défens et bénéficient aussi d’une nouvelle route) estimer le détail mais ne pas les comptabiliser deux fois. </w:t>
                      </w:r>
                    </w:p>
                  </w:txbxContent>
                </v:textbox>
                <w10:wrap type="square"/>
              </v:rect>
            </w:pict>
          </mc:Fallback>
        </mc:AlternateContent>
      </w:r>
    </w:p>
    <w:sectPr w:rsidR="0024617D" w:rsidSect="002142A2">
      <w:footerReference w:type="first" r:id="rId256"/>
      <w:pgSz w:w="11900" w:h="16840"/>
      <w:pgMar w:top="1418" w:right="1557" w:bottom="851" w:left="1579" w:header="1020" w:footer="263"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D1F6C" w14:textId="77777777" w:rsidR="00C244ED" w:rsidRPr="00E11FFB" w:rsidRDefault="00C244ED">
      <w:r w:rsidRPr="00E11FFB">
        <w:separator/>
      </w:r>
    </w:p>
  </w:endnote>
  <w:endnote w:type="continuationSeparator" w:id="0">
    <w:p w14:paraId="743BF3BF" w14:textId="77777777" w:rsidR="00C244ED" w:rsidRPr="00E11FFB" w:rsidRDefault="00C244ED">
      <w:r w:rsidRPr="00E11F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9A4D721-D739-4117-8ACD-28DFEFD94CEE}"/>
    <w:embedBold r:id="rId2" w:fontKey="{E635B31F-6217-45EE-81B9-ED2BE87C5A51}"/>
    <w:embedItalic r:id="rId3" w:fontKey="{632D613E-27CC-45CA-85AF-BE8F9ACEBEDC}"/>
  </w:font>
  <w:font w:name="Noto Sans Symbols">
    <w:altName w:val="Calibri"/>
    <w:charset w:val="00"/>
    <w:family w:val="auto"/>
    <w:pitch w:val="default"/>
  </w:font>
  <w:font w:name="Avenir">
    <w:altName w:val="Calibri"/>
    <w:charset w:val="00"/>
    <w:family w:val="auto"/>
    <w:pitch w:val="default"/>
  </w:font>
  <w:font w:name="Avenir Next LT Pro">
    <w:charset w:val="00"/>
    <w:family w:val="swiss"/>
    <w:pitch w:val="variable"/>
    <w:sig w:usb0="800000EF" w:usb1="5000204A" w:usb2="00000000" w:usb3="00000000" w:csb0="00000093" w:csb1="00000000"/>
    <w:embedRegular r:id="rId4" w:fontKey="{986F6701-61A7-47C7-A87E-B785813146EC}"/>
  </w:font>
  <w:font w:name="Aptos">
    <w:charset w:val="00"/>
    <w:family w:val="swiss"/>
    <w:pitch w:val="variable"/>
    <w:sig w:usb0="20000287" w:usb1="00000003" w:usb2="00000000" w:usb3="00000000" w:csb0="0000019F" w:csb1="00000000"/>
    <w:embedRegular r:id="rId5" w:fontKey="{172BF168-32B9-47D9-B3D7-270301061A60}"/>
  </w:font>
  <w:font w:name="Cambria">
    <w:panose1 w:val="02040503050406030204"/>
    <w:charset w:val="00"/>
    <w:family w:val="roman"/>
    <w:pitch w:val="variable"/>
    <w:sig w:usb0="E00006FF" w:usb1="420024FF" w:usb2="02000000" w:usb3="00000000" w:csb0="0000019F" w:csb1="00000000"/>
    <w:embedRegular r:id="rId6" w:fontKey="{437C60F0-6DF0-46DA-ABAA-E0AFAD5015CF}"/>
    <w:embedBold r:id="rId7" w:fontKey="{40B7267A-F913-4C30-B686-DB0C97482BD2}"/>
    <w:embedItalic r:id="rId8" w:fontKey="{EC3F9518-4EA9-4828-947D-A25A74787415}"/>
  </w:font>
  <w:font w:name="Georgia">
    <w:panose1 w:val="02040502050405020303"/>
    <w:charset w:val="00"/>
    <w:family w:val="roman"/>
    <w:pitch w:val="variable"/>
    <w:sig w:usb0="00000287" w:usb1="00000000" w:usb2="00000000" w:usb3="00000000" w:csb0="0000009F" w:csb1="00000000"/>
    <w:embedRegular r:id="rId9" w:fontKey="{78505039-FCA5-49AA-A81C-034A105C6F54}"/>
    <w:embedItalic r:id="rId10" w:fontKey="{95549837-05C4-448B-82C8-BCF267EB0A4E}"/>
  </w:font>
  <w:font w:name="Arimo">
    <w:altName w:val="Calibri"/>
    <w:charset w:val="00"/>
    <w:family w:val="auto"/>
    <w:pitch w:val="default"/>
    <w:embedRegular r:id="rId11" w:fontKey="{D39AB2EC-54D0-4DA2-9169-9119D1E441A3}"/>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2" w:fontKey="{7FA6541C-AA45-419C-B6C3-095B964AE10A}"/>
  </w:font>
  <w:font w:name="Aptos Narrow">
    <w:charset w:val="00"/>
    <w:family w:val="swiss"/>
    <w:pitch w:val="variable"/>
    <w:sig w:usb0="20000287" w:usb1="00000003" w:usb2="00000000" w:usb3="00000000" w:csb0="0000019F" w:csb1="00000000"/>
    <w:embedRegular r:id="rId13" w:fontKey="{0FC13622-8ECE-4F53-AD85-ADD87E012B2D}"/>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AF15" w14:textId="77805007" w:rsidR="0024617D" w:rsidRPr="002142A2" w:rsidRDefault="00C83F85" w:rsidP="00F74540">
    <w:pPr>
      <w:pBdr>
        <w:top w:val="nil"/>
        <w:left w:val="nil"/>
        <w:bottom w:val="nil"/>
        <w:right w:val="nil"/>
        <w:between w:val="nil"/>
      </w:pBdr>
      <w:tabs>
        <w:tab w:val="center" w:pos="4536"/>
        <w:tab w:val="right" w:pos="9072"/>
      </w:tabs>
      <w:jc w:val="center"/>
      <w:rPr>
        <w:sz w:val="18"/>
        <w:szCs w:val="18"/>
      </w:rPr>
    </w:pPr>
    <w:r w:rsidRPr="002142A2">
      <w:rPr>
        <w:color w:val="2B579A"/>
        <w:sz w:val="18"/>
        <w:szCs w:val="18"/>
        <w:shd w:val="clear" w:color="auto" w:fill="E6E6E6"/>
      </w:rPr>
      <w:fldChar w:fldCharType="begin"/>
    </w:r>
    <w:r w:rsidRPr="002142A2">
      <w:rPr>
        <w:color w:val="2B579A"/>
        <w:sz w:val="18"/>
        <w:szCs w:val="18"/>
        <w:shd w:val="clear" w:color="auto" w:fill="E6E6E6"/>
      </w:rPr>
      <w:instrText>PAGE</w:instrText>
    </w:r>
    <w:r w:rsidRPr="002142A2">
      <w:rPr>
        <w:color w:val="2B579A"/>
        <w:sz w:val="18"/>
        <w:szCs w:val="18"/>
        <w:shd w:val="clear" w:color="auto" w:fill="E6E6E6"/>
      </w:rPr>
      <w:fldChar w:fldCharType="separate"/>
    </w:r>
    <w:r w:rsidR="00F77CC0" w:rsidRPr="002142A2">
      <w:rPr>
        <w:color w:val="2B579A"/>
        <w:sz w:val="18"/>
        <w:szCs w:val="18"/>
        <w:shd w:val="clear" w:color="auto" w:fill="E6E6E6"/>
      </w:rPr>
      <w:t>2</w:t>
    </w:r>
    <w:r w:rsidRPr="002142A2">
      <w:rPr>
        <w:color w:val="2B579A"/>
        <w:sz w:val="18"/>
        <w:szCs w:val="18"/>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C0F9" w14:textId="108B0DFD" w:rsidR="0024617D" w:rsidRPr="00E11FFB" w:rsidRDefault="00C83F85" w:rsidP="002142A2">
    <w:pPr>
      <w:pBdr>
        <w:top w:val="nil"/>
        <w:left w:val="nil"/>
        <w:bottom w:val="nil"/>
        <w:right w:val="nil"/>
        <w:between w:val="nil"/>
      </w:pBdr>
      <w:tabs>
        <w:tab w:val="center" w:pos="4536"/>
        <w:tab w:val="right" w:pos="9072"/>
      </w:tabs>
      <w:ind w:left="20" w:right="28" w:hanging="10"/>
      <w:jc w:val="center"/>
    </w:pPr>
    <w:r w:rsidRPr="00E11FFB">
      <w:rPr>
        <w:color w:val="000000"/>
        <w:sz w:val="21"/>
        <w:szCs w:val="21"/>
        <w:shd w:val="clear" w:color="auto" w:fill="E6E6E6"/>
      </w:rPr>
      <w:fldChar w:fldCharType="begin"/>
    </w:r>
    <w:r w:rsidRPr="00E11FFB">
      <w:rPr>
        <w:color w:val="000000"/>
        <w:sz w:val="21"/>
        <w:szCs w:val="21"/>
        <w:shd w:val="clear" w:color="auto" w:fill="E6E6E6"/>
      </w:rPr>
      <w:instrText>PAGE</w:instrText>
    </w:r>
    <w:r w:rsidRPr="00E11FFB">
      <w:rPr>
        <w:color w:val="000000"/>
        <w:sz w:val="21"/>
        <w:szCs w:val="21"/>
        <w:shd w:val="clear" w:color="auto" w:fill="E6E6E6"/>
      </w:rPr>
      <w:fldChar w:fldCharType="separate"/>
    </w:r>
    <w:r w:rsidR="00F77CC0" w:rsidRPr="00E11FFB">
      <w:rPr>
        <w:color w:val="000000"/>
        <w:sz w:val="21"/>
        <w:szCs w:val="21"/>
        <w:shd w:val="clear" w:color="auto" w:fill="E6E6E6"/>
      </w:rPr>
      <w:t>1</w:t>
    </w:r>
    <w:r w:rsidRPr="00E11FFB">
      <w:rPr>
        <w:color w:val="000000"/>
        <w:sz w:val="21"/>
        <w:szCs w:val="21"/>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C3BF" w14:textId="77777777" w:rsidR="00E020EC" w:rsidRPr="00E11FFB" w:rsidRDefault="00E020EC">
    <w:pPr>
      <w:pBdr>
        <w:top w:val="nil"/>
        <w:left w:val="nil"/>
        <w:bottom w:val="nil"/>
        <w:right w:val="nil"/>
        <w:between w:val="nil"/>
      </w:pBdr>
      <w:tabs>
        <w:tab w:val="center" w:pos="4536"/>
        <w:tab w:val="right" w:pos="9072"/>
      </w:tabs>
      <w:ind w:left="20" w:right="28" w:hanging="10"/>
      <w:jc w:val="center"/>
      <w:rPr>
        <w:color w:val="000000"/>
        <w:sz w:val="21"/>
        <w:szCs w:val="21"/>
      </w:rPr>
    </w:pPr>
    <w:r w:rsidRPr="00E11FFB">
      <w:rPr>
        <w:color w:val="000000"/>
        <w:sz w:val="21"/>
        <w:szCs w:val="21"/>
        <w:shd w:val="clear" w:color="auto" w:fill="E6E6E6"/>
      </w:rPr>
      <w:fldChar w:fldCharType="begin"/>
    </w:r>
    <w:r w:rsidRPr="00E11FFB">
      <w:rPr>
        <w:color w:val="000000"/>
        <w:sz w:val="21"/>
        <w:szCs w:val="21"/>
        <w:shd w:val="clear" w:color="auto" w:fill="E6E6E6"/>
      </w:rPr>
      <w:instrText>PAGE</w:instrText>
    </w:r>
    <w:r w:rsidRPr="00E11FFB">
      <w:rPr>
        <w:color w:val="000000"/>
        <w:sz w:val="21"/>
        <w:szCs w:val="21"/>
        <w:shd w:val="clear" w:color="auto" w:fill="E6E6E6"/>
      </w:rPr>
      <w:fldChar w:fldCharType="separate"/>
    </w:r>
    <w:r w:rsidRPr="00E11FFB">
      <w:rPr>
        <w:color w:val="000000"/>
        <w:sz w:val="21"/>
        <w:szCs w:val="21"/>
        <w:shd w:val="clear" w:color="auto" w:fill="E6E6E6"/>
      </w:rPr>
      <w:t>1</w:t>
    </w:r>
    <w:r w:rsidRPr="00E11FFB">
      <w:rPr>
        <w:color w:val="000000"/>
        <w:sz w:val="21"/>
        <w:szCs w:val="21"/>
        <w:shd w:val="clear" w:color="auto" w:fill="E6E6E6"/>
      </w:rPr>
      <w:fldChar w:fldCharType="end"/>
    </w:r>
  </w:p>
  <w:p w14:paraId="32FD34A7" w14:textId="77777777" w:rsidR="00E020EC" w:rsidRPr="00E11FFB" w:rsidRDefault="00E020EC">
    <w:pPr>
      <w:pBdr>
        <w:top w:val="nil"/>
        <w:left w:val="nil"/>
        <w:bottom w:val="nil"/>
        <w:right w:val="nil"/>
        <w:between w:val="nil"/>
      </w:pBdr>
      <w:tabs>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04A21" w14:textId="77777777" w:rsidR="00C244ED" w:rsidRPr="00E11FFB" w:rsidRDefault="00C244ED">
      <w:r w:rsidRPr="00E11FFB">
        <w:separator/>
      </w:r>
    </w:p>
  </w:footnote>
  <w:footnote w:type="continuationSeparator" w:id="0">
    <w:p w14:paraId="28D92546" w14:textId="77777777" w:rsidR="00C244ED" w:rsidRPr="00E11FFB" w:rsidRDefault="00C244ED">
      <w:r w:rsidRPr="00E11FFB">
        <w:continuationSeparator/>
      </w:r>
    </w:p>
  </w:footnote>
  <w:footnote w:id="1">
    <w:p w14:paraId="4583A15B" w14:textId="59E5E5E5" w:rsidR="0024617D" w:rsidRPr="00E11FFB" w:rsidRDefault="00C83F85" w:rsidP="003B7D88">
      <w:pPr>
        <w:pBdr>
          <w:top w:val="nil"/>
          <w:left w:val="nil"/>
          <w:bottom w:val="nil"/>
          <w:right w:val="nil"/>
          <w:between w:val="nil"/>
        </w:pBdr>
        <w:jc w:val="both"/>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Ce canevas est relatif à la présentation des rapports annuel et semestriel des organisations de mise en œuvre des programmes financés par CAFI</w:t>
      </w:r>
      <w:r w:rsidR="00574E8E" w:rsidRPr="00E11FFB">
        <w:rPr>
          <w:rFonts w:ascii="Avenir" w:eastAsia="Avenir" w:hAnsi="Avenir" w:cs="Avenir"/>
          <w:sz w:val="18"/>
          <w:szCs w:val="18"/>
        </w:rPr>
        <w:t xml:space="preserve"> </w:t>
      </w:r>
      <w:r w:rsidRPr="00E11FFB">
        <w:rPr>
          <w:rFonts w:ascii="Avenir" w:eastAsia="Avenir" w:hAnsi="Avenir" w:cs="Avenir"/>
          <w:sz w:val="18"/>
          <w:szCs w:val="18"/>
        </w:rPr>
        <w:t>via le FONAREDD en RDC.</w:t>
      </w:r>
      <w:r w:rsidR="00074F18" w:rsidRPr="00E11FFB">
        <w:rPr>
          <w:rFonts w:ascii="Avenir" w:eastAsia="Avenir" w:hAnsi="Avenir" w:cs="Avenir"/>
          <w:sz w:val="18"/>
          <w:szCs w:val="18"/>
        </w:rPr>
        <w:t xml:space="preserve"> </w:t>
      </w:r>
      <w:r w:rsidRPr="00E11FFB">
        <w:rPr>
          <w:rFonts w:ascii="Avenir" w:eastAsia="Avenir" w:hAnsi="Avenir" w:cs="Avenir"/>
          <w:sz w:val="18"/>
          <w:szCs w:val="18"/>
        </w:rPr>
        <w:t xml:space="preserve"> </w:t>
      </w:r>
      <w:r w:rsidR="00614EE6" w:rsidRPr="00E11FFB">
        <w:rPr>
          <w:rFonts w:ascii="Avenir" w:eastAsia="Avenir" w:hAnsi="Avenir" w:cs="Avenir"/>
          <w:sz w:val="18"/>
          <w:szCs w:val="18"/>
        </w:rPr>
        <w:t xml:space="preserve">Les rapports annuels couvrent la période du 1er janvier au 31 décembre et les </w:t>
      </w:r>
      <w:r w:rsidR="008C0546" w:rsidRPr="00E11FFB">
        <w:rPr>
          <w:rFonts w:ascii="Avenir" w:eastAsia="Avenir" w:hAnsi="Avenir" w:cs="Avenir"/>
          <w:sz w:val="18"/>
          <w:szCs w:val="18"/>
        </w:rPr>
        <w:t xml:space="preserve">premières </w:t>
      </w:r>
      <w:r w:rsidR="00614EE6" w:rsidRPr="00E11FFB">
        <w:rPr>
          <w:rFonts w:ascii="Avenir" w:eastAsia="Avenir" w:hAnsi="Avenir" w:cs="Avenir"/>
          <w:sz w:val="18"/>
          <w:szCs w:val="18"/>
        </w:rPr>
        <w:t>versions doivent être soumis</w:t>
      </w:r>
      <w:r w:rsidR="008C0546" w:rsidRPr="00E11FFB">
        <w:rPr>
          <w:rFonts w:ascii="Avenir" w:eastAsia="Avenir" w:hAnsi="Avenir" w:cs="Avenir"/>
          <w:sz w:val="18"/>
          <w:szCs w:val="18"/>
        </w:rPr>
        <w:t>es</w:t>
      </w:r>
      <w:r w:rsidR="00614EE6" w:rsidRPr="00E11FFB">
        <w:rPr>
          <w:rFonts w:ascii="Avenir" w:eastAsia="Avenir" w:hAnsi="Avenir" w:cs="Avenir"/>
          <w:sz w:val="18"/>
          <w:szCs w:val="18"/>
        </w:rPr>
        <w:t xml:space="preserve"> au plus tard le 31 janvier de l’année suivante. Les rapports semestriels couvrent la période du 1er janvier au 30 juin et les </w:t>
      </w:r>
      <w:r w:rsidR="008C0546" w:rsidRPr="00E11FFB">
        <w:rPr>
          <w:rFonts w:ascii="Avenir" w:eastAsia="Avenir" w:hAnsi="Avenir" w:cs="Avenir"/>
          <w:sz w:val="18"/>
          <w:szCs w:val="18"/>
        </w:rPr>
        <w:t>premi</w:t>
      </w:r>
      <w:r w:rsidR="00614EE6" w:rsidRPr="00E11FFB">
        <w:rPr>
          <w:rFonts w:ascii="Avenir" w:eastAsia="Avenir" w:hAnsi="Avenir" w:cs="Avenir"/>
          <w:sz w:val="18"/>
          <w:szCs w:val="18"/>
        </w:rPr>
        <w:t>ères versions doivent être soumis</w:t>
      </w:r>
      <w:r w:rsidR="008C0546" w:rsidRPr="00E11FFB">
        <w:rPr>
          <w:rFonts w:ascii="Avenir" w:eastAsia="Avenir" w:hAnsi="Avenir" w:cs="Avenir"/>
          <w:sz w:val="18"/>
          <w:szCs w:val="18"/>
        </w:rPr>
        <w:t>es</w:t>
      </w:r>
      <w:r w:rsidR="00614EE6" w:rsidRPr="00E11FFB">
        <w:rPr>
          <w:rFonts w:ascii="Avenir" w:eastAsia="Avenir" w:hAnsi="Avenir" w:cs="Avenir"/>
          <w:sz w:val="18"/>
          <w:szCs w:val="18"/>
        </w:rPr>
        <w:t xml:space="preserve"> le 31 juillet.</w:t>
      </w:r>
    </w:p>
  </w:footnote>
  <w:footnote w:id="2">
    <w:p w14:paraId="65D1E896" w14:textId="77777777" w:rsidR="00DE66F0" w:rsidRPr="00E11FFB" w:rsidRDefault="00DE66F0">
      <w:pPr>
        <w:pBdr>
          <w:top w:val="nil"/>
          <w:left w:val="nil"/>
          <w:bottom w:val="nil"/>
          <w:right w:val="nil"/>
          <w:between w:val="nil"/>
        </w:pBdr>
        <w:ind w:left="20" w:right="28" w:hanging="10"/>
        <w:rPr>
          <w:rFonts w:ascii="Avenir" w:eastAsia="Avenir" w:hAnsi="Avenir" w:cs="Avenir"/>
          <w:color w:val="000000"/>
          <w:sz w:val="18"/>
          <w:szCs w:val="18"/>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 xml:space="preserve">L’ensemble des documents de projet se trouve sur le Drive CAFI </w:t>
      </w:r>
      <w:hyperlink r:id="rId1">
        <w:r w:rsidRPr="00E11FFB">
          <w:rPr>
            <w:rFonts w:ascii="Avenir" w:eastAsia="Avenir" w:hAnsi="Avenir" w:cs="Avenir"/>
            <w:color w:val="0563C1"/>
            <w:sz w:val="18"/>
            <w:szCs w:val="18"/>
            <w:u w:val="single"/>
          </w:rPr>
          <w:t>https://drive.google.com/drive/folders/1RhAT_Hc5jycgw40xr7YZM57jV4zQFadQ</w:t>
        </w:r>
      </w:hyperlink>
      <w:r w:rsidRPr="00E11FFB">
        <w:rPr>
          <w:rFonts w:ascii="Avenir" w:eastAsia="Avenir" w:hAnsi="Avenir" w:cs="Avenir"/>
          <w:color w:val="000000"/>
          <w:sz w:val="18"/>
          <w:szCs w:val="18"/>
        </w:rPr>
        <w:t xml:space="preserve">. Sélectionner Country documents / Le pays ou regional / programming / active portfolio / numéro et nom du projet </w:t>
      </w:r>
    </w:p>
  </w:footnote>
  <w:footnote w:id="3">
    <w:p w14:paraId="40D4BC1A" w14:textId="77777777" w:rsidR="00DE66F0" w:rsidRPr="00E11FFB" w:rsidRDefault="00DE66F0">
      <w:pPr>
        <w:pBdr>
          <w:top w:val="nil"/>
          <w:left w:val="nil"/>
          <w:bottom w:val="nil"/>
          <w:right w:val="nil"/>
          <w:between w:val="nil"/>
        </w:pBdr>
        <w:ind w:left="20" w:right="28" w:hanging="10"/>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18"/>
          <w:szCs w:val="18"/>
        </w:rPr>
        <w:t xml:space="preserve"> Il s’agit des organisations qui ont reçu un financement direct du Bureau MPTF dans le cadre du projet.</w:t>
      </w:r>
    </w:p>
  </w:footnote>
  <w:footnote w:id="4">
    <w:p w14:paraId="6623F5D2" w14:textId="4E18F219" w:rsidR="00CF7557" w:rsidRPr="002142A2" w:rsidRDefault="00CF7557">
      <w:pPr>
        <w:pStyle w:val="Notedebasdepage"/>
        <w:rPr>
          <w:rFonts w:ascii="Avenir" w:hAnsi="Avenir"/>
        </w:rPr>
      </w:pPr>
      <w:r w:rsidRPr="002142A2">
        <w:rPr>
          <w:rStyle w:val="Appelnotedebasdep"/>
          <w:rFonts w:ascii="Avenir" w:hAnsi="Avenir"/>
          <w:sz w:val="18"/>
          <w:szCs w:val="18"/>
        </w:rPr>
        <w:footnoteRef/>
      </w:r>
      <w:r w:rsidRPr="002142A2">
        <w:rPr>
          <w:rFonts w:ascii="Avenir" w:hAnsi="Avenir"/>
          <w:sz w:val="18"/>
          <w:szCs w:val="18"/>
        </w:rPr>
        <w:t xml:space="preserve"> Par exemple, on ne peut pas organiser la formation des membres de CNAT sans la sortie signée du décret CNAT par madame la première ministre et l’arrêté de désignation de ces membres par le ministre d’AT bien que le decret ait été adopté par le gouvernement depuis octobre 2025. </w:t>
      </w:r>
    </w:p>
  </w:footnote>
  <w:footnote w:id="5">
    <w:p w14:paraId="5F0A13DC" w14:textId="77777777" w:rsidR="00031A75" w:rsidRPr="00E11FFB" w:rsidRDefault="00031A75" w:rsidP="00CF191A">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Préciser l’unité.</w:t>
      </w:r>
    </w:p>
  </w:footnote>
  <w:footnote w:id="6">
    <w:p w14:paraId="0AB3738B" w14:textId="77777777" w:rsidR="00031A75" w:rsidRPr="00E11FFB" w:rsidRDefault="00031A75" w:rsidP="00CF191A">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rFonts w:ascii="Avenir" w:eastAsia="Avenir" w:hAnsi="Avenir" w:cs="Avenir"/>
          <w:color w:val="000000"/>
          <w:sz w:val="18"/>
          <w:szCs w:val="18"/>
        </w:rPr>
        <w:t xml:space="preserve"> Indiquer la valeur à l’issue de la période de rapportage.</w:t>
      </w:r>
    </w:p>
  </w:footnote>
  <w:footnote w:id="7">
    <w:p w14:paraId="216446E2" w14:textId="77777777" w:rsidR="00031A75" w:rsidRPr="00E11FFB" w:rsidRDefault="00031A75" w:rsidP="00CF191A">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Indiquer la cible telle que renseignée dans le document de projet.</w:t>
      </w:r>
    </w:p>
  </w:footnote>
  <w:footnote w:id="8">
    <w:p w14:paraId="1F000619" w14:textId="77777777" w:rsidR="00031A75" w:rsidRPr="00E11FFB" w:rsidRDefault="00031A75" w:rsidP="00CF191A">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Les commentaires doivent inclure les raisons pour les progrès significatifs, les retards ou changements le cas échéant.</w:t>
      </w:r>
    </w:p>
  </w:footnote>
  <w:footnote w:id="9">
    <w:p w14:paraId="2A56A7BB" w14:textId="77777777" w:rsidR="00211A8A" w:rsidRPr="00E11FFB" w:rsidRDefault="00211A8A" w:rsidP="00211A8A">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Préciser l’unité.</w:t>
      </w:r>
    </w:p>
  </w:footnote>
  <w:footnote w:id="10">
    <w:p w14:paraId="596D768A" w14:textId="77777777" w:rsidR="00211A8A" w:rsidRPr="00E11FFB" w:rsidRDefault="00211A8A" w:rsidP="00211A8A">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rFonts w:ascii="Avenir" w:eastAsia="Avenir" w:hAnsi="Avenir" w:cs="Avenir"/>
          <w:color w:val="000000"/>
          <w:sz w:val="18"/>
          <w:szCs w:val="18"/>
        </w:rPr>
        <w:t xml:space="preserve"> Indiquer la valeur à l’issue de la période de rapportage.</w:t>
      </w:r>
    </w:p>
  </w:footnote>
  <w:footnote w:id="11">
    <w:p w14:paraId="57698285" w14:textId="77777777" w:rsidR="00211A8A" w:rsidRPr="00E11FFB" w:rsidRDefault="00211A8A" w:rsidP="00211A8A">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Indiquer la cible telle que renseignée dans le document de projet.</w:t>
      </w:r>
    </w:p>
  </w:footnote>
  <w:footnote w:id="12">
    <w:p w14:paraId="05C101DC" w14:textId="77777777" w:rsidR="00211A8A" w:rsidRPr="00E11FFB" w:rsidRDefault="00211A8A" w:rsidP="00211A8A">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Les commentaires doivent inclure les raisons pour les progrès significatifs, les retards ou changements le cas échéant.</w:t>
      </w:r>
    </w:p>
  </w:footnote>
  <w:footnote w:id="13">
    <w:p w14:paraId="4113C80E" w14:textId="77777777" w:rsidR="00291F47" w:rsidRPr="00E11FFB" w:rsidRDefault="00291F47" w:rsidP="00291F47">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Préciser l’unité.</w:t>
      </w:r>
    </w:p>
  </w:footnote>
  <w:footnote w:id="14">
    <w:p w14:paraId="2EEEA484" w14:textId="77777777" w:rsidR="00291F47" w:rsidRPr="00E11FFB" w:rsidRDefault="00291F47" w:rsidP="00291F47">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rFonts w:ascii="Avenir" w:eastAsia="Avenir" w:hAnsi="Avenir" w:cs="Avenir"/>
          <w:color w:val="000000"/>
          <w:sz w:val="18"/>
          <w:szCs w:val="18"/>
        </w:rPr>
        <w:t xml:space="preserve"> Indiquer la valeur à l’issue de la période de rapportage.</w:t>
      </w:r>
    </w:p>
  </w:footnote>
  <w:footnote w:id="15">
    <w:p w14:paraId="142A3738" w14:textId="77777777" w:rsidR="00291F47" w:rsidRPr="00E11FFB" w:rsidRDefault="00291F47" w:rsidP="00291F47">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Indiquer la cible telle que renseignée dans le document de projet.</w:t>
      </w:r>
    </w:p>
  </w:footnote>
  <w:footnote w:id="16">
    <w:p w14:paraId="32951BF6" w14:textId="77777777" w:rsidR="00291F47" w:rsidRPr="00E11FFB" w:rsidRDefault="00291F47" w:rsidP="00291F47">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Les commentaires doivent inclure les raisons pour les progrès significatifs, les retards ou changements le cas échéant.</w:t>
      </w:r>
    </w:p>
  </w:footnote>
  <w:footnote w:id="17">
    <w:p w14:paraId="2BFFE5EB" w14:textId="77777777" w:rsidR="006536C4" w:rsidRPr="00E11FFB" w:rsidRDefault="006536C4" w:rsidP="006536C4">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Préciser l’unité.</w:t>
      </w:r>
    </w:p>
  </w:footnote>
  <w:footnote w:id="18">
    <w:p w14:paraId="1324388C" w14:textId="77777777" w:rsidR="006536C4" w:rsidRPr="00E11FFB" w:rsidRDefault="006536C4" w:rsidP="006536C4">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rFonts w:ascii="Avenir" w:eastAsia="Avenir" w:hAnsi="Avenir" w:cs="Avenir"/>
          <w:color w:val="000000"/>
          <w:sz w:val="18"/>
          <w:szCs w:val="18"/>
        </w:rPr>
        <w:t xml:space="preserve"> Indiquer la valeur à l’issue de la période de rapportage.</w:t>
      </w:r>
    </w:p>
  </w:footnote>
  <w:footnote w:id="19">
    <w:p w14:paraId="6F9A13F8" w14:textId="77777777" w:rsidR="006536C4" w:rsidRPr="00E11FFB" w:rsidRDefault="006536C4" w:rsidP="006536C4">
      <w:pPr>
        <w:pBdr>
          <w:top w:val="nil"/>
          <w:left w:val="nil"/>
          <w:bottom w:val="nil"/>
          <w:right w:val="nil"/>
          <w:between w:val="nil"/>
        </w:pBdr>
        <w:ind w:left="20" w:right="28" w:hanging="10"/>
        <w:jc w:val="both"/>
        <w:rPr>
          <w:rFonts w:ascii="Avenir" w:eastAsia="Avenir" w:hAnsi="Avenir" w:cs="Avenir"/>
          <w:color w:val="000000"/>
          <w:sz w:val="18"/>
          <w:szCs w:val="18"/>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Indiquer la cible telle que renseignée dans le document de projet.</w:t>
      </w:r>
    </w:p>
  </w:footnote>
  <w:footnote w:id="20">
    <w:p w14:paraId="04FD0B61" w14:textId="77777777" w:rsidR="006536C4" w:rsidRPr="00E11FFB" w:rsidRDefault="006536C4" w:rsidP="006536C4">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vertAlign w:val="superscript"/>
        </w:rPr>
        <w:footnoteRef/>
      </w:r>
      <w:r w:rsidRPr="00E11FFB">
        <w:rPr>
          <w:i/>
          <w:color w:val="000000"/>
          <w:sz w:val="20"/>
          <w:szCs w:val="20"/>
          <w:vertAlign w:val="superscript"/>
        </w:rPr>
        <w:t xml:space="preserve"> </w:t>
      </w:r>
      <w:r w:rsidRPr="00E11FFB">
        <w:rPr>
          <w:rFonts w:ascii="Avenir" w:eastAsia="Avenir" w:hAnsi="Avenir" w:cs="Avenir"/>
          <w:color w:val="000000"/>
          <w:sz w:val="18"/>
          <w:szCs w:val="18"/>
        </w:rPr>
        <w:t>Les commentaires doivent inclure les raisons pour les progrès significatifs, les retards ou changements le cas échéant.</w:t>
      </w:r>
    </w:p>
  </w:footnote>
  <w:footnote w:id="21">
    <w:p w14:paraId="086A8F20" w14:textId="77777777" w:rsidR="00B669B6" w:rsidRPr="00E11FFB" w:rsidRDefault="00B669B6" w:rsidP="00B669B6">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22">
    <w:p w14:paraId="7B017F23" w14:textId="77777777" w:rsidR="00B669B6" w:rsidRPr="00E11FFB" w:rsidRDefault="00B669B6" w:rsidP="00B669B6">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23">
    <w:p w14:paraId="03774A9E" w14:textId="77777777" w:rsidR="00B669B6" w:rsidRPr="00E11FFB" w:rsidRDefault="00B669B6" w:rsidP="00B669B6">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24">
    <w:p w14:paraId="12764E44" w14:textId="77777777" w:rsidR="00B669B6" w:rsidRPr="00E11FFB" w:rsidRDefault="00B669B6" w:rsidP="00B669B6">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25">
    <w:p w14:paraId="5FA54963" w14:textId="77777777" w:rsidR="00B669B6" w:rsidRPr="00E11FFB" w:rsidRDefault="00B669B6" w:rsidP="00B669B6">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26">
    <w:p w14:paraId="62FD4E21" w14:textId="77777777" w:rsidR="00B669B6" w:rsidRPr="00E11FFB" w:rsidRDefault="00B669B6" w:rsidP="00B669B6">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27">
    <w:p w14:paraId="2AAB28CC" w14:textId="77777777" w:rsidR="00B669B6" w:rsidRPr="00E11FFB" w:rsidRDefault="00B669B6" w:rsidP="00B669B6">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28">
    <w:p w14:paraId="0348E7AA" w14:textId="77777777" w:rsidR="00B669B6" w:rsidRPr="00E11FFB" w:rsidRDefault="00B669B6" w:rsidP="00B669B6">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29">
    <w:p w14:paraId="76CB0A46" w14:textId="77777777" w:rsidR="0072796D" w:rsidRPr="00E11FFB" w:rsidRDefault="0072796D" w:rsidP="0072796D">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30">
    <w:p w14:paraId="665613CB" w14:textId="77777777" w:rsidR="0072796D" w:rsidRPr="00E11FFB" w:rsidRDefault="0072796D" w:rsidP="0072796D">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31">
    <w:p w14:paraId="3DD8E4BA" w14:textId="77777777" w:rsidR="00727654" w:rsidRPr="00E11FFB" w:rsidRDefault="00727654" w:rsidP="00727654">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32">
    <w:p w14:paraId="44CB7775" w14:textId="77777777" w:rsidR="00727654" w:rsidRPr="00E11FFB" w:rsidRDefault="00727654" w:rsidP="00727654">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33">
    <w:p w14:paraId="5A2460BF" w14:textId="77777777" w:rsidR="00B669B6" w:rsidRPr="00E11FFB" w:rsidRDefault="00B669B6" w:rsidP="00B669B6">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34">
    <w:p w14:paraId="40A05FE5" w14:textId="77777777" w:rsidR="00B669B6" w:rsidRPr="00E11FFB" w:rsidRDefault="00B669B6" w:rsidP="00B669B6">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35">
    <w:p w14:paraId="638BAC3B" w14:textId="77777777" w:rsidR="00B669B6" w:rsidRPr="00E11FFB" w:rsidRDefault="00B669B6" w:rsidP="00B669B6">
      <w:pPr>
        <w:pBdr>
          <w:top w:val="nil"/>
          <w:left w:val="nil"/>
          <w:bottom w:val="nil"/>
          <w:right w:val="nil"/>
          <w:between w:val="nil"/>
        </w:pBdr>
        <w:ind w:left="20" w:right="28" w:hanging="10"/>
        <w:jc w:val="both"/>
        <w:rPr>
          <w:color w:val="000000"/>
          <w:sz w:val="20"/>
          <w:szCs w:val="20"/>
        </w:rPr>
      </w:pPr>
      <w:r w:rsidRPr="00E11FFB">
        <w:rPr>
          <w:rStyle w:val="Appelnotedebasdep"/>
        </w:rPr>
        <w:footnoteRef/>
      </w:r>
      <w:r w:rsidRPr="00E11FFB">
        <w:rPr>
          <w:color w:val="000000"/>
          <w:sz w:val="20"/>
          <w:szCs w:val="20"/>
        </w:rPr>
        <w:t xml:space="preserve"> </w:t>
      </w:r>
      <w:r w:rsidRPr="00E11FFB">
        <w:rPr>
          <w:rFonts w:ascii="Avenir" w:eastAsia="Avenir" w:hAnsi="Avenir" w:cs="Avenir"/>
          <w:color w:val="000000"/>
          <w:sz w:val="18"/>
          <w:szCs w:val="18"/>
        </w:rPr>
        <w:t>Indiquer seulement le numéro du Produit dans lequel s’inscrit l’activité.</w:t>
      </w:r>
    </w:p>
  </w:footnote>
  <w:footnote w:id="36">
    <w:p w14:paraId="005B3DB0" w14:textId="77777777" w:rsidR="00B669B6" w:rsidRPr="00E11FFB" w:rsidRDefault="00B669B6" w:rsidP="00B669B6">
      <w:pPr>
        <w:pBdr>
          <w:top w:val="nil"/>
          <w:left w:val="nil"/>
          <w:bottom w:val="nil"/>
          <w:right w:val="nil"/>
          <w:between w:val="nil"/>
        </w:pBdr>
        <w:ind w:left="20" w:right="28" w:hanging="10"/>
        <w:jc w:val="both"/>
        <w:rPr>
          <w:rFonts w:ascii="Avenir" w:eastAsia="Avenir" w:hAnsi="Avenir" w:cs="Avenir"/>
          <w:color w:val="000000"/>
          <w:sz w:val="20"/>
          <w:szCs w:val="20"/>
        </w:rPr>
      </w:pPr>
      <w:r w:rsidRPr="00E11FFB">
        <w:rPr>
          <w:rStyle w:val="Appelnotedebasdep"/>
        </w:rPr>
        <w:footnoteRef/>
      </w:r>
      <w:r w:rsidRPr="00E11FFB">
        <w:rPr>
          <w:rFonts w:ascii="Avenir" w:eastAsia="Avenir" w:hAnsi="Avenir" w:cs="Avenir"/>
          <w:color w:val="000000"/>
          <w:sz w:val="20"/>
          <w:szCs w:val="20"/>
        </w:rPr>
        <w:t xml:space="preserve"> </w:t>
      </w:r>
      <w:r w:rsidRPr="00E11FFB">
        <w:rPr>
          <w:rFonts w:ascii="Avenir" w:eastAsia="Avenir" w:hAnsi="Avenir" w:cs="Avenir"/>
          <w:color w:val="000000"/>
          <w:sz w:val="18"/>
          <w:szCs w:val="18"/>
        </w:rPr>
        <w:t>Merci de vous référer au calendrier de mise en œuvre du cadre logique du projet.</w:t>
      </w:r>
    </w:p>
  </w:footnote>
  <w:footnote w:id="37">
    <w:p w14:paraId="7E27B16E" w14:textId="77777777" w:rsidR="00D16B68" w:rsidRPr="00E11FFB" w:rsidRDefault="00D16B68">
      <w:pPr>
        <w:pBdr>
          <w:top w:val="nil"/>
          <w:left w:val="nil"/>
          <w:bottom w:val="nil"/>
          <w:right w:val="nil"/>
          <w:between w:val="nil"/>
        </w:pBdr>
        <w:ind w:left="20" w:right="28" w:hanging="10"/>
        <w:rPr>
          <w:rFonts w:ascii="Avenir" w:eastAsia="Avenir" w:hAnsi="Avenir" w:cs="Avenir"/>
          <w:color w:val="000000"/>
          <w:sz w:val="18"/>
          <w:szCs w:val="18"/>
        </w:rPr>
      </w:pPr>
      <w:r w:rsidRPr="00E11FFB">
        <w:rPr>
          <w:rStyle w:val="Appelnotedebasdep"/>
        </w:rPr>
        <w:footnoteRef/>
      </w:r>
      <w:r w:rsidRPr="00E11FFB">
        <w:rPr>
          <w:rFonts w:ascii="Avenir" w:eastAsia="Avenir" w:hAnsi="Avenir" w:cs="Avenir"/>
          <w:color w:val="000000"/>
          <w:sz w:val="18"/>
          <w:szCs w:val="18"/>
        </w:rPr>
        <w:t xml:space="preserve"> Les Lettres d’intentions sont accessibles dans ce dossier : </w:t>
      </w:r>
      <w:hyperlink r:id="rId2">
        <w:r w:rsidRPr="00E11FFB">
          <w:rPr>
            <w:rFonts w:ascii="Avenir" w:eastAsia="Avenir" w:hAnsi="Avenir" w:cs="Avenir"/>
            <w:color w:val="0563C1"/>
            <w:sz w:val="18"/>
            <w:szCs w:val="18"/>
            <w:u w:val="single"/>
          </w:rPr>
          <w:t>https://drive.google.com/drive/folders/19GjqHJID8RP4imWoEiqNIoagyZPwZHDP?usp=drive_link</w:t>
        </w:r>
      </w:hyperlink>
      <w:r w:rsidRPr="00E11FFB">
        <w:rPr>
          <w:rFonts w:ascii="Avenir" w:eastAsia="Avenir" w:hAnsi="Avenir" w:cs="Avenir"/>
          <w:color w:val="0563C1"/>
          <w:sz w:val="18"/>
          <w:szCs w:val="18"/>
          <w:u w:val="single"/>
        </w:rPr>
        <w:t xml:space="preserve">  </w:t>
      </w:r>
      <w:r w:rsidRPr="00E11FFB">
        <w:rPr>
          <w:rFonts w:ascii="Avenir" w:eastAsia="Avenir" w:hAnsi="Avenir" w:cs="Avenir"/>
          <w:color w:val="000000"/>
          <w:sz w:val="18"/>
          <w:szCs w:val="18"/>
        </w:rPr>
        <w:t xml:space="preserve"> </w:t>
      </w:r>
    </w:p>
  </w:footnote>
  <w:footnote w:id="38">
    <w:p w14:paraId="208ABF56" w14:textId="30447BD6" w:rsidR="001E4ECC" w:rsidRPr="00E11FFB" w:rsidRDefault="001E4ECC">
      <w:pPr>
        <w:pStyle w:val="Notedebasdepage"/>
      </w:pPr>
      <w:r w:rsidRPr="00E11FFB">
        <w:rPr>
          <w:rStyle w:val="Appelnotedebasdep"/>
        </w:rPr>
        <w:footnoteRef/>
      </w:r>
      <w:r w:rsidRPr="00E11FFB">
        <w:t xml:space="preserve"> </w:t>
      </w:r>
      <w:hyperlink r:id="rId3" w:history="1">
        <w:r w:rsidR="00B37261" w:rsidRPr="00E11FFB">
          <w:rPr>
            <w:rStyle w:val="Lienhypertexte"/>
          </w:rPr>
          <w:t>https://www.elite-news.net/2025/12/03/kasai-lancement-de-la-recolte-des-donnees-qualitatives-demographique-par-la-delegation-du-ministere-de-plan-a-tshikapa</w:t>
        </w:r>
      </w:hyperlink>
      <w:r w:rsidR="00B37261" w:rsidRPr="00E11FFB">
        <w:t xml:space="preserve"> </w:t>
      </w:r>
    </w:p>
  </w:footnote>
  <w:footnote w:id="39">
    <w:p w14:paraId="7BCA0762"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40">
    <w:p w14:paraId="108A3B42"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 w:id="41">
    <w:p w14:paraId="221001CF"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42">
    <w:p w14:paraId="5B2229D4"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 w:id="43">
    <w:p w14:paraId="48AB9CBB"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44">
    <w:p w14:paraId="7AA88F4A"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 w:id="45">
    <w:p w14:paraId="2F8E1686"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46">
    <w:p w14:paraId="7902EA45"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 w:id="47">
    <w:p w14:paraId="7FE23FDD"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48">
    <w:p w14:paraId="25B90995"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 w:id="49">
    <w:p w14:paraId="46B15C31" w14:textId="77777777" w:rsidR="00915C63" w:rsidRPr="00E11FFB" w:rsidRDefault="00915C63"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50">
    <w:p w14:paraId="1D2A8D15" w14:textId="77777777" w:rsidR="00915C63" w:rsidRPr="00E11FFB" w:rsidRDefault="00915C63"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 w:id="51">
    <w:p w14:paraId="04732AD6"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vertAlign w:val="superscript"/>
        </w:rPr>
        <w:t xml:space="preserve"> </w:t>
      </w:r>
      <w:r w:rsidRPr="00E11FFB">
        <w:rPr>
          <w:rFonts w:ascii="Avenir" w:eastAsia="Avenir" w:hAnsi="Avenir" w:cs="Avenir"/>
          <w:sz w:val="18"/>
          <w:szCs w:val="18"/>
        </w:rPr>
        <w:t>Reporter la valeur indique dans le tableau 2.</w:t>
      </w:r>
    </w:p>
  </w:footnote>
  <w:footnote w:id="52">
    <w:p w14:paraId="513EFCCD" w14:textId="77777777" w:rsidR="00FE3684" w:rsidRPr="00E11FFB" w:rsidRDefault="00FE3684" w:rsidP="00FE3684">
      <w:pPr>
        <w:pBdr>
          <w:top w:val="nil"/>
          <w:left w:val="nil"/>
          <w:bottom w:val="nil"/>
          <w:right w:val="nil"/>
          <w:between w:val="nil"/>
        </w:pBdr>
        <w:rPr>
          <w:rFonts w:ascii="Avenir" w:eastAsia="Avenir" w:hAnsi="Avenir" w:cs="Avenir"/>
          <w:sz w:val="18"/>
          <w:szCs w:val="18"/>
        </w:rPr>
      </w:pPr>
      <w:r w:rsidRPr="00E11FFB">
        <w:rPr>
          <w:rStyle w:val="Appelnotedebasdep"/>
        </w:rPr>
        <w:footnoteRef/>
      </w:r>
      <w:r w:rsidRPr="00E11FFB">
        <w:rPr>
          <w:rFonts w:ascii="Avenir" w:eastAsia="Avenir" w:hAnsi="Avenir" w:cs="Avenir"/>
          <w:sz w:val="18"/>
          <w:szCs w:val="18"/>
        </w:rPr>
        <w:t xml:space="preserve"> Tels qu’indiqués dans la colonne G du tableau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82EB" w14:textId="531927D6" w:rsidR="0024617D" w:rsidRPr="00E11FFB" w:rsidRDefault="00E63D23">
    <w:pPr>
      <w:pBdr>
        <w:top w:val="nil"/>
        <w:left w:val="nil"/>
        <w:bottom w:val="nil"/>
        <w:right w:val="nil"/>
        <w:between w:val="nil"/>
      </w:pBdr>
      <w:tabs>
        <w:tab w:val="center" w:pos="4536"/>
        <w:tab w:val="right" w:pos="9072"/>
      </w:tabs>
      <w:jc w:val="right"/>
      <w:rPr>
        <w:rFonts w:ascii="Avenir" w:eastAsia="Avenir" w:hAnsi="Avenir" w:cs="Avenir"/>
        <w:i/>
      </w:rPr>
    </w:pPr>
    <w:r w:rsidRPr="00E11FFB">
      <w:rPr>
        <w:rFonts w:ascii="Avenir" w:eastAsia="Avenir" w:hAnsi="Avenir" w:cs="Avenir"/>
        <w:i/>
      </w:rPr>
      <w:t>Rapport annuel 2025_ Programme d’Appui à l’Atteinte de</w:t>
    </w:r>
    <w:r w:rsidR="00033B19" w:rsidRPr="00E11FFB">
      <w:rPr>
        <w:rFonts w:ascii="Avenir" w:eastAsia="Avenir" w:hAnsi="Avenir" w:cs="Avenir"/>
        <w:i/>
      </w:rPr>
      <w:t>s</w:t>
    </w:r>
    <w:r w:rsidRPr="00E11FFB">
      <w:rPr>
        <w:rFonts w:ascii="Avenir" w:eastAsia="Avenir" w:hAnsi="Avenir" w:cs="Avenir"/>
        <w:i/>
      </w:rPr>
      <w:t xml:space="preserve"> Jalons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1890" w14:textId="4AACE27C" w:rsidR="0024617D" w:rsidRPr="00E11FFB" w:rsidRDefault="002142A2">
    <w:pPr>
      <w:pBdr>
        <w:top w:val="nil"/>
        <w:left w:val="nil"/>
        <w:bottom w:val="nil"/>
        <w:right w:val="nil"/>
        <w:between w:val="nil"/>
      </w:pBdr>
      <w:tabs>
        <w:tab w:val="center" w:pos="4680"/>
        <w:tab w:val="right" w:pos="9360"/>
      </w:tabs>
      <w:rPr>
        <w:color w:val="000000"/>
      </w:rPr>
    </w:pPr>
    <w:r w:rsidRPr="00E11FFB">
      <w:rPr>
        <w:noProof/>
        <w:color w:val="2B579A"/>
        <w:shd w:val="clear" w:color="auto" w:fill="E6E6E6"/>
      </w:rPr>
      <w:drawing>
        <wp:anchor distT="0" distB="0" distL="114300" distR="114300" simplePos="0" relativeHeight="251661312" behindDoc="0" locked="0" layoutInCell="1" hidden="0" allowOverlap="1" wp14:anchorId="3C239EA8" wp14:editId="07B384AE">
          <wp:simplePos x="0" y="0"/>
          <wp:positionH relativeFrom="column">
            <wp:posOffset>1344114</wp:posOffset>
          </wp:positionH>
          <wp:positionV relativeFrom="paragraph">
            <wp:posOffset>-25945</wp:posOffset>
          </wp:positionV>
          <wp:extent cx="1044579" cy="607634"/>
          <wp:effectExtent l="0" t="0" r="3175" b="2540"/>
          <wp:wrapNone/>
          <wp:docPr id="1284144738" name="Picture 4" descr="RDC.png"/>
          <wp:cNvGraphicFramePr/>
          <a:graphic xmlns:a="http://schemas.openxmlformats.org/drawingml/2006/main">
            <a:graphicData uri="http://schemas.openxmlformats.org/drawingml/2006/picture">
              <pic:pic xmlns:pic="http://schemas.openxmlformats.org/drawingml/2006/picture">
                <pic:nvPicPr>
                  <pic:cNvPr id="0" name="image3.png" descr="RDC.png"/>
                  <pic:cNvPicPr preferRelativeResize="0"/>
                </pic:nvPicPr>
                <pic:blipFill>
                  <a:blip r:embed="rId1"/>
                  <a:srcRect/>
                  <a:stretch>
                    <a:fillRect/>
                  </a:stretch>
                </pic:blipFill>
                <pic:spPr>
                  <a:xfrm>
                    <a:off x="0" y="0"/>
                    <a:ext cx="1044579" cy="607634"/>
                  </a:xfrm>
                  <a:prstGeom prst="rect">
                    <a:avLst/>
                  </a:prstGeom>
                  <a:ln/>
                </pic:spPr>
              </pic:pic>
            </a:graphicData>
          </a:graphic>
          <wp14:sizeRelH relativeFrom="margin">
            <wp14:pctWidth>0</wp14:pctWidth>
          </wp14:sizeRelH>
          <wp14:sizeRelV relativeFrom="margin">
            <wp14:pctHeight>0</wp14:pctHeight>
          </wp14:sizeRelV>
        </wp:anchor>
      </w:drawing>
    </w:r>
    <w:r w:rsidRPr="00E11FFB">
      <w:rPr>
        <w:noProof/>
      </w:rPr>
      <w:drawing>
        <wp:anchor distT="0" distB="0" distL="114300" distR="114300" simplePos="0" relativeHeight="251659264" behindDoc="0" locked="0" layoutInCell="1" hidden="0" allowOverlap="1" wp14:anchorId="5918B985" wp14:editId="060A28D0">
          <wp:simplePos x="0" y="0"/>
          <wp:positionH relativeFrom="margin">
            <wp:posOffset>4684395</wp:posOffset>
          </wp:positionH>
          <wp:positionV relativeFrom="paragraph">
            <wp:posOffset>-249192</wp:posOffset>
          </wp:positionV>
          <wp:extent cx="878840" cy="960755"/>
          <wp:effectExtent l="0" t="0" r="0" b="0"/>
          <wp:wrapSquare wrapText="bothSides" distT="0" distB="0" distL="114300" distR="114300"/>
          <wp:docPr id="150147590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78840" cy="960755"/>
                  </a:xfrm>
                  <a:prstGeom prst="rect">
                    <a:avLst/>
                  </a:prstGeom>
                  <a:ln/>
                </pic:spPr>
              </pic:pic>
            </a:graphicData>
          </a:graphic>
          <wp14:sizeRelH relativeFrom="margin">
            <wp14:pctWidth>0</wp14:pctWidth>
          </wp14:sizeRelH>
          <wp14:sizeRelV relativeFrom="margin">
            <wp14:pctHeight>0</wp14:pctHeight>
          </wp14:sizeRelV>
        </wp:anchor>
      </w:drawing>
    </w:r>
    <w:r w:rsidRPr="00E11FFB">
      <w:rPr>
        <w:noProof/>
      </w:rPr>
      <w:drawing>
        <wp:anchor distT="0" distB="0" distL="114300" distR="114300" simplePos="0" relativeHeight="251658240" behindDoc="0" locked="0" layoutInCell="1" hidden="0" allowOverlap="1" wp14:anchorId="15301C85" wp14:editId="678AA873">
          <wp:simplePos x="0" y="0"/>
          <wp:positionH relativeFrom="column">
            <wp:posOffset>3249567</wp:posOffset>
          </wp:positionH>
          <wp:positionV relativeFrom="paragraph">
            <wp:posOffset>-517343</wp:posOffset>
          </wp:positionV>
          <wp:extent cx="938530" cy="1186180"/>
          <wp:effectExtent l="0" t="0" r="0" b="0"/>
          <wp:wrapSquare wrapText="bothSides" distT="0" distB="0" distL="114300" distR="114300"/>
          <wp:docPr id="767040612" name="image2.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3"/>
                  <a:srcRect/>
                  <a:stretch>
                    <a:fillRect/>
                  </a:stretch>
                </pic:blipFill>
                <pic:spPr>
                  <a:xfrm>
                    <a:off x="0" y="0"/>
                    <a:ext cx="938530" cy="1186180"/>
                  </a:xfrm>
                  <a:prstGeom prst="rect">
                    <a:avLst/>
                  </a:prstGeom>
                  <a:ln/>
                </pic:spPr>
              </pic:pic>
            </a:graphicData>
          </a:graphic>
        </wp:anchor>
      </w:drawing>
    </w:r>
    <w:r w:rsidRPr="00E11FFB">
      <w:rPr>
        <w:noProof/>
      </w:rPr>
      <w:drawing>
        <wp:anchor distT="0" distB="0" distL="114300" distR="114300" simplePos="0" relativeHeight="251663360" behindDoc="0" locked="0" layoutInCell="1" allowOverlap="1" wp14:anchorId="19B47748" wp14:editId="3716B0B4">
          <wp:simplePos x="0" y="0"/>
          <wp:positionH relativeFrom="margin">
            <wp:align>left</wp:align>
          </wp:positionH>
          <wp:positionV relativeFrom="paragraph">
            <wp:posOffset>-348343</wp:posOffset>
          </wp:positionV>
          <wp:extent cx="482545" cy="918210"/>
          <wp:effectExtent l="0" t="0" r="0" b="0"/>
          <wp:wrapNone/>
          <wp:docPr id="1174145406" name="image4.png"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57745" name="image4.png" descr="A blue and white logo&#10;&#10;AI-generated content may be incorrec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2545" cy="918210"/>
                  </a:xfrm>
                  <a:prstGeom prst="rect">
                    <a:avLst/>
                  </a:prstGeom>
                </pic:spPr>
              </pic:pic>
            </a:graphicData>
          </a:graphic>
          <wp14:sizeRelH relativeFrom="margin">
            <wp14:pctWidth>0</wp14:pctWidth>
          </wp14:sizeRelH>
          <wp14:sizeRelV relativeFrom="margin">
            <wp14:pctHeight>0</wp14:pctHeight>
          </wp14:sizeRelV>
        </wp:anchor>
      </w:drawing>
    </w:r>
    <w:r w:rsidR="00E35D0C" w:rsidRPr="00E11FFB">
      <w:rPr>
        <w:color w:val="000000"/>
        <w:highlight w:val="whit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546C" w14:textId="77777777" w:rsidR="0024617D" w:rsidRPr="00E11FFB" w:rsidRDefault="0024617D">
    <w:pPr>
      <w:keepN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999"/>
    <w:multiLevelType w:val="hybridMultilevel"/>
    <w:tmpl w:val="11A66D9E"/>
    <w:lvl w:ilvl="0" w:tplc="4C8894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94FD9"/>
    <w:multiLevelType w:val="hybridMultilevel"/>
    <w:tmpl w:val="FB02052C"/>
    <w:lvl w:ilvl="0" w:tplc="EA660CB8">
      <w:start w:val="9"/>
      <w:numFmt w:val="bullet"/>
      <w:lvlText w:val="-"/>
      <w:lvlJc w:val="left"/>
      <w:pPr>
        <w:ind w:left="502" w:hanging="360"/>
      </w:pPr>
      <w:rPr>
        <w:rFonts w:ascii="Times New Roman" w:eastAsia="Times New Roman" w:hAnsi="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15:restartNumberingAfterBreak="0">
    <w:nsid w:val="0670249C"/>
    <w:multiLevelType w:val="multilevel"/>
    <w:tmpl w:val="4322D770"/>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6895D0A"/>
    <w:multiLevelType w:val="hybridMultilevel"/>
    <w:tmpl w:val="E4EE337C"/>
    <w:lvl w:ilvl="0" w:tplc="EA660CB8">
      <w:start w:val="9"/>
      <w:numFmt w:val="bullet"/>
      <w:lvlText w:val="-"/>
      <w:lvlJc w:val="left"/>
      <w:pPr>
        <w:ind w:left="502" w:hanging="360"/>
      </w:pPr>
      <w:rPr>
        <w:rFonts w:ascii="Times New Roman" w:eastAsia="Times New Roman" w:hAnsi="Times New Roman" w:hint="default"/>
      </w:rPr>
    </w:lvl>
    <w:lvl w:ilvl="1" w:tplc="040C0003" w:tentative="1">
      <w:start w:val="1"/>
      <w:numFmt w:val="bullet"/>
      <w:lvlText w:val="o"/>
      <w:lvlJc w:val="left"/>
      <w:pPr>
        <w:ind w:left="1004" w:hanging="360"/>
      </w:pPr>
      <w:rPr>
        <w:rFonts w:ascii="Courier New" w:hAnsi="Courier New" w:cs="Courier New" w:hint="default"/>
      </w:rPr>
    </w:lvl>
    <w:lvl w:ilvl="2" w:tplc="040C0005" w:tentative="1">
      <w:start w:val="1"/>
      <w:numFmt w:val="bullet"/>
      <w:lvlText w:val=""/>
      <w:lvlJc w:val="left"/>
      <w:pPr>
        <w:ind w:left="1724" w:hanging="360"/>
      </w:pPr>
      <w:rPr>
        <w:rFonts w:ascii="Wingdings" w:hAnsi="Wingdings" w:hint="default"/>
      </w:rPr>
    </w:lvl>
    <w:lvl w:ilvl="3" w:tplc="040C0001" w:tentative="1">
      <w:start w:val="1"/>
      <w:numFmt w:val="bullet"/>
      <w:lvlText w:val=""/>
      <w:lvlJc w:val="left"/>
      <w:pPr>
        <w:ind w:left="2444" w:hanging="360"/>
      </w:pPr>
      <w:rPr>
        <w:rFonts w:ascii="Symbol" w:hAnsi="Symbol" w:hint="default"/>
      </w:rPr>
    </w:lvl>
    <w:lvl w:ilvl="4" w:tplc="040C0003" w:tentative="1">
      <w:start w:val="1"/>
      <w:numFmt w:val="bullet"/>
      <w:lvlText w:val="o"/>
      <w:lvlJc w:val="left"/>
      <w:pPr>
        <w:ind w:left="3164" w:hanging="360"/>
      </w:pPr>
      <w:rPr>
        <w:rFonts w:ascii="Courier New" w:hAnsi="Courier New" w:cs="Courier New" w:hint="default"/>
      </w:rPr>
    </w:lvl>
    <w:lvl w:ilvl="5" w:tplc="040C0005" w:tentative="1">
      <w:start w:val="1"/>
      <w:numFmt w:val="bullet"/>
      <w:lvlText w:val=""/>
      <w:lvlJc w:val="left"/>
      <w:pPr>
        <w:ind w:left="3884" w:hanging="360"/>
      </w:pPr>
      <w:rPr>
        <w:rFonts w:ascii="Wingdings" w:hAnsi="Wingdings" w:hint="default"/>
      </w:rPr>
    </w:lvl>
    <w:lvl w:ilvl="6" w:tplc="040C0001" w:tentative="1">
      <w:start w:val="1"/>
      <w:numFmt w:val="bullet"/>
      <w:lvlText w:val=""/>
      <w:lvlJc w:val="left"/>
      <w:pPr>
        <w:ind w:left="4604" w:hanging="360"/>
      </w:pPr>
      <w:rPr>
        <w:rFonts w:ascii="Symbol" w:hAnsi="Symbol" w:hint="default"/>
      </w:rPr>
    </w:lvl>
    <w:lvl w:ilvl="7" w:tplc="040C0003" w:tentative="1">
      <w:start w:val="1"/>
      <w:numFmt w:val="bullet"/>
      <w:lvlText w:val="o"/>
      <w:lvlJc w:val="left"/>
      <w:pPr>
        <w:ind w:left="5324" w:hanging="360"/>
      </w:pPr>
      <w:rPr>
        <w:rFonts w:ascii="Courier New" w:hAnsi="Courier New" w:cs="Courier New" w:hint="default"/>
      </w:rPr>
    </w:lvl>
    <w:lvl w:ilvl="8" w:tplc="040C0005" w:tentative="1">
      <w:start w:val="1"/>
      <w:numFmt w:val="bullet"/>
      <w:lvlText w:val=""/>
      <w:lvlJc w:val="left"/>
      <w:pPr>
        <w:ind w:left="6044" w:hanging="360"/>
      </w:pPr>
      <w:rPr>
        <w:rFonts w:ascii="Wingdings" w:hAnsi="Wingdings" w:hint="default"/>
      </w:rPr>
    </w:lvl>
  </w:abstractNum>
  <w:abstractNum w:abstractNumId="4" w15:restartNumberingAfterBreak="0">
    <w:nsid w:val="08777208"/>
    <w:multiLevelType w:val="multilevel"/>
    <w:tmpl w:val="08777208"/>
    <w:lvl w:ilvl="0">
      <w:start w:val="1"/>
      <w:numFmt w:val="bullet"/>
      <w:lvlText w:val=""/>
      <w:lvlJc w:val="left"/>
      <w:pPr>
        <w:ind w:left="730" w:hanging="360"/>
      </w:pPr>
      <w:rPr>
        <w:rFonts w:ascii="Symbol" w:hAnsi="Symbol"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5" w15:restartNumberingAfterBreak="0">
    <w:nsid w:val="0E4C3D5D"/>
    <w:multiLevelType w:val="hybridMultilevel"/>
    <w:tmpl w:val="CBB8DB8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8A78B6"/>
    <w:multiLevelType w:val="multilevel"/>
    <w:tmpl w:val="7C844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E9756ED"/>
    <w:multiLevelType w:val="hybridMultilevel"/>
    <w:tmpl w:val="02BE9F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4341D"/>
    <w:multiLevelType w:val="hybridMultilevel"/>
    <w:tmpl w:val="40AC6B36"/>
    <w:lvl w:ilvl="0" w:tplc="533A6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7A2606"/>
    <w:multiLevelType w:val="hybridMultilevel"/>
    <w:tmpl w:val="B6ECED2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18AC26DE"/>
    <w:multiLevelType w:val="hybridMultilevel"/>
    <w:tmpl w:val="FB5EE278"/>
    <w:lvl w:ilvl="0" w:tplc="0D4092AA">
      <w:start w:val="1"/>
      <w:numFmt w:val="bullet"/>
      <w:lvlText w:val="-"/>
      <w:lvlJc w:val="left"/>
      <w:pPr>
        <w:ind w:left="720" w:hanging="360"/>
      </w:pPr>
      <w:rPr>
        <w:rFonts w:ascii="Avenir" w:eastAsia="Avenir" w:hAnsi="Avenir" w:cs="Aveni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50E84"/>
    <w:multiLevelType w:val="multilevel"/>
    <w:tmpl w:val="2A267B8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2" w15:restartNumberingAfterBreak="0">
    <w:nsid w:val="23290D8D"/>
    <w:multiLevelType w:val="hybridMultilevel"/>
    <w:tmpl w:val="1B062E66"/>
    <w:lvl w:ilvl="0" w:tplc="548CF77E">
      <w:start w:val="3"/>
      <w:numFmt w:val="bullet"/>
      <w:lvlText w:val="-"/>
      <w:lvlJc w:val="left"/>
      <w:pPr>
        <w:ind w:left="720" w:hanging="360"/>
      </w:pPr>
      <w:rPr>
        <w:rFonts w:ascii="Avenir Next LT Pro" w:eastAsia="Calibri" w:hAnsi="Avenir Next LT Pro" w:cs="Calibri"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3" w15:restartNumberingAfterBreak="0">
    <w:nsid w:val="24917987"/>
    <w:multiLevelType w:val="hybridMultilevel"/>
    <w:tmpl w:val="236C5378"/>
    <w:lvl w:ilvl="0" w:tplc="AA32E9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A97BC9"/>
    <w:multiLevelType w:val="multilevel"/>
    <w:tmpl w:val="65805508"/>
    <w:lvl w:ilvl="0">
      <w:start w:val="1"/>
      <w:numFmt w:val="bullet"/>
      <w:lvlText w:val="●"/>
      <w:lvlJc w:val="left"/>
      <w:pPr>
        <w:ind w:left="1090" w:hanging="360"/>
      </w:pPr>
      <w:rPr>
        <w:rFonts w:ascii="Noto Sans Symbols" w:eastAsia="Noto Sans Symbols" w:hAnsi="Noto Sans Symbols" w:cs="Noto Sans Symbols"/>
      </w:rPr>
    </w:lvl>
    <w:lvl w:ilvl="1">
      <w:start w:val="1"/>
      <w:numFmt w:val="bullet"/>
      <w:lvlText w:val="o"/>
      <w:lvlJc w:val="left"/>
      <w:pPr>
        <w:ind w:left="1810" w:hanging="360"/>
      </w:pPr>
      <w:rPr>
        <w:rFonts w:ascii="Courier New" w:eastAsia="Courier New" w:hAnsi="Courier New" w:cs="Courier New"/>
      </w:rPr>
    </w:lvl>
    <w:lvl w:ilvl="2">
      <w:start w:val="1"/>
      <w:numFmt w:val="bullet"/>
      <w:lvlText w:val="▪"/>
      <w:lvlJc w:val="left"/>
      <w:pPr>
        <w:ind w:left="2530" w:hanging="360"/>
      </w:pPr>
      <w:rPr>
        <w:rFonts w:ascii="Noto Sans Symbols" w:eastAsia="Noto Sans Symbols" w:hAnsi="Noto Sans Symbols" w:cs="Noto Sans Symbols"/>
      </w:rPr>
    </w:lvl>
    <w:lvl w:ilvl="3">
      <w:start w:val="1"/>
      <w:numFmt w:val="bullet"/>
      <w:lvlText w:val="●"/>
      <w:lvlJc w:val="left"/>
      <w:pPr>
        <w:ind w:left="3250" w:hanging="360"/>
      </w:pPr>
      <w:rPr>
        <w:rFonts w:ascii="Noto Sans Symbols" w:eastAsia="Noto Sans Symbols" w:hAnsi="Noto Sans Symbols" w:cs="Noto Sans Symbols"/>
      </w:rPr>
    </w:lvl>
    <w:lvl w:ilvl="4">
      <w:start w:val="1"/>
      <w:numFmt w:val="bullet"/>
      <w:lvlText w:val="o"/>
      <w:lvlJc w:val="left"/>
      <w:pPr>
        <w:ind w:left="3970" w:hanging="360"/>
      </w:pPr>
      <w:rPr>
        <w:rFonts w:ascii="Courier New" w:eastAsia="Courier New" w:hAnsi="Courier New" w:cs="Courier New"/>
      </w:rPr>
    </w:lvl>
    <w:lvl w:ilvl="5">
      <w:start w:val="1"/>
      <w:numFmt w:val="bullet"/>
      <w:lvlText w:val="▪"/>
      <w:lvlJc w:val="left"/>
      <w:pPr>
        <w:ind w:left="4690" w:hanging="360"/>
      </w:pPr>
      <w:rPr>
        <w:rFonts w:ascii="Noto Sans Symbols" w:eastAsia="Noto Sans Symbols" w:hAnsi="Noto Sans Symbols" w:cs="Noto Sans Symbols"/>
      </w:rPr>
    </w:lvl>
    <w:lvl w:ilvl="6">
      <w:start w:val="1"/>
      <w:numFmt w:val="bullet"/>
      <w:lvlText w:val="●"/>
      <w:lvlJc w:val="left"/>
      <w:pPr>
        <w:ind w:left="5410" w:hanging="360"/>
      </w:pPr>
      <w:rPr>
        <w:rFonts w:ascii="Noto Sans Symbols" w:eastAsia="Noto Sans Symbols" w:hAnsi="Noto Sans Symbols" w:cs="Noto Sans Symbols"/>
      </w:rPr>
    </w:lvl>
    <w:lvl w:ilvl="7">
      <w:start w:val="1"/>
      <w:numFmt w:val="bullet"/>
      <w:lvlText w:val="o"/>
      <w:lvlJc w:val="left"/>
      <w:pPr>
        <w:ind w:left="6130" w:hanging="360"/>
      </w:pPr>
      <w:rPr>
        <w:rFonts w:ascii="Courier New" w:eastAsia="Courier New" w:hAnsi="Courier New" w:cs="Courier New"/>
      </w:rPr>
    </w:lvl>
    <w:lvl w:ilvl="8">
      <w:start w:val="1"/>
      <w:numFmt w:val="bullet"/>
      <w:lvlText w:val="▪"/>
      <w:lvlJc w:val="left"/>
      <w:pPr>
        <w:ind w:left="6850" w:hanging="360"/>
      </w:pPr>
      <w:rPr>
        <w:rFonts w:ascii="Noto Sans Symbols" w:eastAsia="Noto Sans Symbols" w:hAnsi="Noto Sans Symbols" w:cs="Noto Sans Symbols"/>
      </w:rPr>
    </w:lvl>
  </w:abstractNum>
  <w:abstractNum w:abstractNumId="15" w15:restartNumberingAfterBreak="0">
    <w:nsid w:val="27B8086B"/>
    <w:multiLevelType w:val="multilevel"/>
    <w:tmpl w:val="4726068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28E6283C"/>
    <w:multiLevelType w:val="multilevel"/>
    <w:tmpl w:val="71403DBA"/>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2A5D702F"/>
    <w:multiLevelType w:val="multilevel"/>
    <w:tmpl w:val="323460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1A7229D"/>
    <w:multiLevelType w:val="multilevel"/>
    <w:tmpl w:val="46520B34"/>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19" w15:restartNumberingAfterBreak="0">
    <w:nsid w:val="31EE2D33"/>
    <w:multiLevelType w:val="multilevel"/>
    <w:tmpl w:val="5AB8C21E"/>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20" w15:restartNumberingAfterBreak="0">
    <w:nsid w:val="320C2877"/>
    <w:multiLevelType w:val="multilevel"/>
    <w:tmpl w:val="0EE83EDC"/>
    <w:lvl w:ilvl="0">
      <w:start w:val="2"/>
      <w:numFmt w:val="bullet"/>
      <w:lvlText w:val="-"/>
      <w:lvlJc w:val="left"/>
      <w:pPr>
        <w:ind w:left="720" w:hanging="360"/>
      </w:pPr>
      <w:rPr>
        <w:rFonts w:ascii="Avenir" w:eastAsia="Avenir" w:hAnsi="Avenir" w:cs="Aveni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2423914"/>
    <w:multiLevelType w:val="hybridMultilevel"/>
    <w:tmpl w:val="DE88A2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6479B"/>
    <w:multiLevelType w:val="multilevel"/>
    <w:tmpl w:val="55C4BC96"/>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38F4471"/>
    <w:multiLevelType w:val="hybridMultilevel"/>
    <w:tmpl w:val="FDF07738"/>
    <w:lvl w:ilvl="0" w:tplc="67F47D9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2970B7"/>
    <w:multiLevelType w:val="hybridMultilevel"/>
    <w:tmpl w:val="D13EE8DC"/>
    <w:lvl w:ilvl="0" w:tplc="EA660CB8">
      <w:start w:val="9"/>
      <w:numFmt w:val="bullet"/>
      <w:lvlText w:val="-"/>
      <w:lvlJc w:val="left"/>
      <w:pPr>
        <w:ind w:left="502"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FE328FA"/>
    <w:multiLevelType w:val="multilevel"/>
    <w:tmpl w:val="5678AD94"/>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26" w15:restartNumberingAfterBreak="0">
    <w:nsid w:val="42AD19C9"/>
    <w:multiLevelType w:val="hybridMultilevel"/>
    <w:tmpl w:val="719286A6"/>
    <w:lvl w:ilvl="0" w:tplc="9698D64E">
      <w:start w:val="2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5D7971"/>
    <w:multiLevelType w:val="hybridMultilevel"/>
    <w:tmpl w:val="CBB8DB80"/>
    <w:lvl w:ilvl="0" w:tplc="E10AC1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9C0B5D"/>
    <w:multiLevelType w:val="hybridMultilevel"/>
    <w:tmpl w:val="35A08AFA"/>
    <w:lvl w:ilvl="0" w:tplc="4C328B7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B654CA"/>
    <w:multiLevelType w:val="hybridMultilevel"/>
    <w:tmpl w:val="97201968"/>
    <w:lvl w:ilvl="0" w:tplc="33A80B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C7D6F"/>
    <w:multiLevelType w:val="multilevel"/>
    <w:tmpl w:val="D9A4FF8C"/>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31" w15:restartNumberingAfterBreak="0">
    <w:nsid w:val="534C58CF"/>
    <w:multiLevelType w:val="hybridMultilevel"/>
    <w:tmpl w:val="13DA018A"/>
    <w:lvl w:ilvl="0" w:tplc="32BCBB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362F51"/>
    <w:multiLevelType w:val="hybridMultilevel"/>
    <w:tmpl w:val="8C8AF9F2"/>
    <w:lvl w:ilvl="0" w:tplc="EA660CB8">
      <w:start w:val="9"/>
      <w:numFmt w:val="bullet"/>
      <w:lvlText w:val="-"/>
      <w:lvlJc w:val="left"/>
      <w:pPr>
        <w:ind w:left="502" w:hanging="360"/>
      </w:pPr>
      <w:rPr>
        <w:rFonts w:ascii="Times New Roman" w:eastAsia="Times New Roman" w:hAnsi="Times New Roman" w:hint="default"/>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33" w15:restartNumberingAfterBreak="0">
    <w:nsid w:val="654A1177"/>
    <w:multiLevelType w:val="hybridMultilevel"/>
    <w:tmpl w:val="D6F0549C"/>
    <w:lvl w:ilvl="0" w:tplc="DFAA08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6504B1"/>
    <w:multiLevelType w:val="multilevel"/>
    <w:tmpl w:val="47D8B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b/>
      </w:rPr>
    </w:lvl>
    <w:lvl w:ilvl="3">
      <w:start w:val="1"/>
      <w:numFmt w:val="lowerRoman"/>
      <w:lvlText w:val="%4)"/>
      <w:lvlJc w:val="left"/>
      <w:pPr>
        <w:ind w:left="3240" w:hanging="72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6A2A1609"/>
    <w:multiLevelType w:val="hybridMultilevel"/>
    <w:tmpl w:val="B2001698"/>
    <w:lvl w:ilvl="0" w:tplc="8E887C8E">
      <w:start w:val="8"/>
      <w:numFmt w:val="bullet"/>
      <w:lvlText w:val="-"/>
      <w:lvlJc w:val="left"/>
      <w:pPr>
        <w:ind w:left="720" w:hanging="360"/>
      </w:pPr>
      <w:rPr>
        <w:rFonts w:ascii="Avenir" w:eastAsia="Avenir" w:hAnsi="Avenir" w:cs="Aveni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C40D00"/>
    <w:multiLevelType w:val="hybridMultilevel"/>
    <w:tmpl w:val="C6F8B462"/>
    <w:lvl w:ilvl="0" w:tplc="598CB8BE">
      <w:start w:val="6"/>
      <w:numFmt w:val="bullet"/>
      <w:lvlText w:val="-"/>
      <w:lvlJc w:val="left"/>
      <w:pPr>
        <w:ind w:left="720" w:hanging="360"/>
      </w:pPr>
      <w:rPr>
        <w:rFonts w:ascii="Avenir" w:eastAsia="Avenir" w:hAnsi="Avenir" w:cs="Aveni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5162F3"/>
    <w:multiLevelType w:val="multilevel"/>
    <w:tmpl w:val="C55E1C1A"/>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38" w15:restartNumberingAfterBreak="0">
    <w:nsid w:val="757131A4"/>
    <w:multiLevelType w:val="multilevel"/>
    <w:tmpl w:val="45B0D184"/>
    <w:lvl w:ilvl="0">
      <w:start w:val="1"/>
      <w:numFmt w:val="decimal"/>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921259180">
    <w:abstractNumId w:val="11"/>
  </w:num>
  <w:num w:numId="2" w16cid:durableId="1988390225">
    <w:abstractNumId w:val="34"/>
  </w:num>
  <w:num w:numId="3" w16cid:durableId="2060665642">
    <w:abstractNumId w:val="25"/>
  </w:num>
  <w:num w:numId="4" w16cid:durableId="1621110568">
    <w:abstractNumId w:val="18"/>
  </w:num>
  <w:num w:numId="5" w16cid:durableId="622807330">
    <w:abstractNumId w:val="30"/>
  </w:num>
  <w:num w:numId="6" w16cid:durableId="724643909">
    <w:abstractNumId w:val="15"/>
  </w:num>
  <w:num w:numId="7" w16cid:durableId="760564403">
    <w:abstractNumId w:val="38"/>
  </w:num>
  <w:num w:numId="8" w16cid:durableId="1727529968">
    <w:abstractNumId w:val="14"/>
  </w:num>
  <w:num w:numId="9" w16cid:durableId="90273630">
    <w:abstractNumId w:val="6"/>
  </w:num>
  <w:num w:numId="10" w16cid:durableId="1060177700">
    <w:abstractNumId w:val="37"/>
  </w:num>
  <w:num w:numId="11" w16cid:durableId="1474983922">
    <w:abstractNumId w:val="17"/>
  </w:num>
  <w:num w:numId="12" w16cid:durableId="1669400370">
    <w:abstractNumId w:val="2"/>
  </w:num>
  <w:num w:numId="13" w16cid:durableId="1021667681">
    <w:abstractNumId w:val="19"/>
  </w:num>
  <w:num w:numId="14" w16cid:durableId="721490248">
    <w:abstractNumId w:val="20"/>
  </w:num>
  <w:num w:numId="15" w16cid:durableId="350375022">
    <w:abstractNumId w:val="32"/>
  </w:num>
  <w:num w:numId="16" w16cid:durableId="166555594">
    <w:abstractNumId w:val="13"/>
  </w:num>
  <w:num w:numId="17" w16cid:durableId="132186">
    <w:abstractNumId w:val="28"/>
  </w:num>
  <w:num w:numId="18" w16cid:durableId="1595093162">
    <w:abstractNumId w:val="29"/>
  </w:num>
  <w:num w:numId="19" w16cid:durableId="846138798">
    <w:abstractNumId w:val="33"/>
  </w:num>
  <w:num w:numId="20" w16cid:durableId="1909419299">
    <w:abstractNumId w:val="0"/>
  </w:num>
  <w:num w:numId="21" w16cid:durableId="1818837096">
    <w:abstractNumId w:val="31"/>
  </w:num>
  <w:num w:numId="22" w16cid:durableId="947202464">
    <w:abstractNumId w:val="8"/>
  </w:num>
  <w:num w:numId="23" w16cid:durableId="1561558417">
    <w:abstractNumId w:val="3"/>
  </w:num>
  <w:num w:numId="24" w16cid:durableId="203297088">
    <w:abstractNumId w:val="1"/>
  </w:num>
  <w:num w:numId="25" w16cid:durableId="1315986976">
    <w:abstractNumId w:val="24"/>
  </w:num>
  <w:num w:numId="26" w16cid:durableId="1605266727">
    <w:abstractNumId w:val="23"/>
  </w:num>
  <w:num w:numId="27" w16cid:durableId="500193515">
    <w:abstractNumId w:val="27"/>
  </w:num>
  <w:num w:numId="28" w16cid:durableId="1585917828">
    <w:abstractNumId w:val="7"/>
  </w:num>
  <w:num w:numId="29" w16cid:durableId="1929465036">
    <w:abstractNumId w:val="5"/>
  </w:num>
  <w:num w:numId="30" w16cid:durableId="103236830">
    <w:abstractNumId w:val="21"/>
  </w:num>
  <w:num w:numId="31" w16cid:durableId="910382278">
    <w:abstractNumId w:val="22"/>
  </w:num>
  <w:num w:numId="32" w16cid:durableId="2020041532">
    <w:abstractNumId w:val="26"/>
  </w:num>
  <w:num w:numId="33" w16cid:durableId="240914669">
    <w:abstractNumId w:val="10"/>
  </w:num>
  <w:num w:numId="34" w16cid:durableId="945499843">
    <w:abstractNumId w:val="36"/>
  </w:num>
  <w:num w:numId="35" w16cid:durableId="1886599440">
    <w:abstractNumId w:val="35"/>
  </w:num>
  <w:num w:numId="36" w16cid:durableId="123083155">
    <w:abstractNumId w:val="16"/>
  </w:num>
  <w:num w:numId="37" w16cid:durableId="238953151">
    <w:abstractNumId w:val="12"/>
  </w:num>
  <w:num w:numId="38" w16cid:durableId="415903921">
    <w:abstractNumId w:val="4"/>
  </w:num>
  <w:num w:numId="39" w16cid:durableId="1037688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17D"/>
    <w:rsid w:val="0000149F"/>
    <w:rsid w:val="0000443E"/>
    <w:rsid w:val="00004D7D"/>
    <w:rsid w:val="00005937"/>
    <w:rsid w:val="00011120"/>
    <w:rsid w:val="00012CB4"/>
    <w:rsid w:val="00022FCC"/>
    <w:rsid w:val="00023541"/>
    <w:rsid w:val="00024C96"/>
    <w:rsid w:val="00031A75"/>
    <w:rsid w:val="00033B19"/>
    <w:rsid w:val="00034431"/>
    <w:rsid w:val="0003488D"/>
    <w:rsid w:val="000354DA"/>
    <w:rsid w:val="000356A7"/>
    <w:rsid w:val="00035B5D"/>
    <w:rsid w:val="000365F4"/>
    <w:rsid w:val="00036825"/>
    <w:rsid w:val="00037CB3"/>
    <w:rsid w:val="00042D19"/>
    <w:rsid w:val="00042E43"/>
    <w:rsid w:val="0004433F"/>
    <w:rsid w:val="00044680"/>
    <w:rsid w:val="000447D1"/>
    <w:rsid w:val="0005077D"/>
    <w:rsid w:val="00051F6A"/>
    <w:rsid w:val="000526E0"/>
    <w:rsid w:val="00054B36"/>
    <w:rsid w:val="00055745"/>
    <w:rsid w:val="00056DA6"/>
    <w:rsid w:val="00056EDB"/>
    <w:rsid w:val="00066432"/>
    <w:rsid w:val="000722E0"/>
    <w:rsid w:val="00074F18"/>
    <w:rsid w:val="00076564"/>
    <w:rsid w:val="00076D16"/>
    <w:rsid w:val="00082A9B"/>
    <w:rsid w:val="000853CF"/>
    <w:rsid w:val="00086405"/>
    <w:rsid w:val="000874AD"/>
    <w:rsid w:val="00087C39"/>
    <w:rsid w:val="00087FE7"/>
    <w:rsid w:val="0009261C"/>
    <w:rsid w:val="00094A5C"/>
    <w:rsid w:val="000A0D42"/>
    <w:rsid w:val="000A3DA0"/>
    <w:rsid w:val="000A4308"/>
    <w:rsid w:val="000A7148"/>
    <w:rsid w:val="000B2C6B"/>
    <w:rsid w:val="000B458E"/>
    <w:rsid w:val="000B4804"/>
    <w:rsid w:val="000B5F0D"/>
    <w:rsid w:val="000C02E6"/>
    <w:rsid w:val="000C0351"/>
    <w:rsid w:val="000C657E"/>
    <w:rsid w:val="000C6BFD"/>
    <w:rsid w:val="000C6D7A"/>
    <w:rsid w:val="000D4A1B"/>
    <w:rsid w:val="000D6512"/>
    <w:rsid w:val="000D66EA"/>
    <w:rsid w:val="000E0335"/>
    <w:rsid w:val="000F0E04"/>
    <w:rsid w:val="000F2645"/>
    <w:rsid w:val="0010093F"/>
    <w:rsid w:val="001012DD"/>
    <w:rsid w:val="00103B6C"/>
    <w:rsid w:val="00106223"/>
    <w:rsid w:val="00107E6A"/>
    <w:rsid w:val="00110B23"/>
    <w:rsid w:val="00111A58"/>
    <w:rsid w:val="00112E39"/>
    <w:rsid w:val="00113681"/>
    <w:rsid w:val="00113999"/>
    <w:rsid w:val="001146CB"/>
    <w:rsid w:val="00114CF8"/>
    <w:rsid w:val="00116C91"/>
    <w:rsid w:val="00116CA1"/>
    <w:rsid w:val="0011795C"/>
    <w:rsid w:val="00117CE9"/>
    <w:rsid w:val="001201DC"/>
    <w:rsid w:val="0012157E"/>
    <w:rsid w:val="001225E9"/>
    <w:rsid w:val="00127110"/>
    <w:rsid w:val="00132D5C"/>
    <w:rsid w:val="00135D39"/>
    <w:rsid w:val="001416D8"/>
    <w:rsid w:val="00147033"/>
    <w:rsid w:val="00150C1B"/>
    <w:rsid w:val="00150DB2"/>
    <w:rsid w:val="001533FE"/>
    <w:rsid w:val="001536EB"/>
    <w:rsid w:val="00163C2C"/>
    <w:rsid w:val="00166C22"/>
    <w:rsid w:val="00166CE3"/>
    <w:rsid w:val="0017055E"/>
    <w:rsid w:val="00171557"/>
    <w:rsid w:val="001716D9"/>
    <w:rsid w:val="00174FA1"/>
    <w:rsid w:val="00175F7F"/>
    <w:rsid w:val="00177367"/>
    <w:rsid w:val="00181D8A"/>
    <w:rsid w:val="001852FD"/>
    <w:rsid w:val="00195513"/>
    <w:rsid w:val="00195B52"/>
    <w:rsid w:val="001971A3"/>
    <w:rsid w:val="001A0E1A"/>
    <w:rsid w:val="001A103E"/>
    <w:rsid w:val="001A2132"/>
    <w:rsid w:val="001A231F"/>
    <w:rsid w:val="001A55CF"/>
    <w:rsid w:val="001A56F4"/>
    <w:rsid w:val="001B5976"/>
    <w:rsid w:val="001C3893"/>
    <w:rsid w:val="001C3FE4"/>
    <w:rsid w:val="001C4524"/>
    <w:rsid w:val="001C51A9"/>
    <w:rsid w:val="001C7CEF"/>
    <w:rsid w:val="001C7F3C"/>
    <w:rsid w:val="001D0A1E"/>
    <w:rsid w:val="001D4A91"/>
    <w:rsid w:val="001E2708"/>
    <w:rsid w:val="001E3864"/>
    <w:rsid w:val="001E4937"/>
    <w:rsid w:val="001E4A54"/>
    <w:rsid w:val="001E4BE5"/>
    <w:rsid w:val="001E4ECC"/>
    <w:rsid w:val="001F1F2E"/>
    <w:rsid w:val="001F31DA"/>
    <w:rsid w:val="001F4C45"/>
    <w:rsid w:val="001F587D"/>
    <w:rsid w:val="001F7AA4"/>
    <w:rsid w:val="002038C3"/>
    <w:rsid w:val="002039FF"/>
    <w:rsid w:val="00203C56"/>
    <w:rsid w:val="00203DF8"/>
    <w:rsid w:val="00205E3C"/>
    <w:rsid w:val="002062EE"/>
    <w:rsid w:val="0020736F"/>
    <w:rsid w:val="0021022F"/>
    <w:rsid w:val="002115B9"/>
    <w:rsid w:val="00211A8A"/>
    <w:rsid w:val="002142A2"/>
    <w:rsid w:val="00214E51"/>
    <w:rsid w:val="002151F9"/>
    <w:rsid w:val="00220094"/>
    <w:rsid w:val="00221D1D"/>
    <w:rsid w:val="00222B2F"/>
    <w:rsid w:val="00223EFD"/>
    <w:rsid w:val="0022573F"/>
    <w:rsid w:val="00225DAB"/>
    <w:rsid w:val="00226464"/>
    <w:rsid w:val="00226B1D"/>
    <w:rsid w:val="00226D20"/>
    <w:rsid w:val="0023284C"/>
    <w:rsid w:val="0023601C"/>
    <w:rsid w:val="00236E26"/>
    <w:rsid w:val="0023754E"/>
    <w:rsid w:val="00240183"/>
    <w:rsid w:val="002412F0"/>
    <w:rsid w:val="002416A5"/>
    <w:rsid w:val="0024175C"/>
    <w:rsid w:val="0024617D"/>
    <w:rsid w:val="00250386"/>
    <w:rsid w:val="00257B24"/>
    <w:rsid w:val="00263A22"/>
    <w:rsid w:val="00264C59"/>
    <w:rsid w:val="00265C1D"/>
    <w:rsid w:val="00266E1B"/>
    <w:rsid w:val="002726C6"/>
    <w:rsid w:val="00272D5F"/>
    <w:rsid w:val="00274503"/>
    <w:rsid w:val="00276FEB"/>
    <w:rsid w:val="00281867"/>
    <w:rsid w:val="00284522"/>
    <w:rsid w:val="00286205"/>
    <w:rsid w:val="00291813"/>
    <w:rsid w:val="00291F47"/>
    <w:rsid w:val="00292700"/>
    <w:rsid w:val="00292B2C"/>
    <w:rsid w:val="00293D41"/>
    <w:rsid w:val="00295040"/>
    <w:rsid w:val="00296641"/>
    <w:rsid w:val="002977FA"/>
    <w:rsid w:val="002A0A8A"/>
    <w:rsid w:val="002A0E14"/>
    <w:rsid w:val="002A43B2"/>
    <w:rsid w:val="002A5224"/>
    <w:rsid w:val="002A55BD"/>
    <w:rsid w:val="002B07B5"/>
    <w:rsid w:val="002B1286"/>
    <w:rsid w:val="002B201C"/>
    <w:rsid w:val="002B22EB"/>
    <w:rsid w:val="002C0394"/>
    <w:rsid w:val="002C0F48"/>
    <w:rsid w:val="002C23EA"/>
    <w:rsid w:val="002C2A89"/>
    <w:rsid w:val="002C2D01"/>
    <w:rsid w:val="002C5686"/>
    <w:rsid w:val="002D2458"/>
    <w:rsid w:val="002D733C"/>
    <w:rsid w:val="002D7D95"/>
    <w:rsid w:val="002E511A"/>
    <w:rsid w:val="002F1617"/>
    <w:rsid w:val="002F5EBB"/>
    <w:rsid w:val="003043E5"/>
    <w:rsid w:val="003048A3"/>
    <w:rsid w:val="00305599"/>
    <w:rsid w:val="00307BD7"/>
    <w:rsid w:val="00310889"/>
    <w:rsid w:val="00311177"/>
    <w:rsid w:val="00312E31"/>
    <w:rsid w:val="00313973"/>
    <w:rsid w:val="00313A78"/>
    <w:rsid w:val="00314270"/>
    <w:rsid w:val="0031594A"/>
    <w:rsid w:val="00320928"/>
    <w:rsid w:val="00320DC6"/>
    <w:rsid w:val="003221F8"/>
    <w:rsid w:val="003229C1"/>
    <w:rsid w:val="00323734"/>
    <w:rsid w:val="00323B61"/>
    <w:rsid w:val="00327E1E"/>
    <w:rsid w:val="00335781"/>
    <w:rsid w:val="00337EB3"/>
    <w:rsid w:val="00342FA0"/>
    <w:rsid w:val="00350A07"/>
    <w:rsid w:val="00357443"/>
    <w:rsid w:val="003609EC"/>
    <w:rsid w:val="00361CFF"/>
    <w:rsid w:val="003637BA"/>
    <w:rsid w:val="00370CFF"/>
    <w:rsid w:val="00371BC0"/>
    <w:rsid w:val="003736C9"/>
    <w:rsid w:val="0037415C"/>
    <w:rsid w:val="00375C54"/>
    <w:rsid w:val="0037609F"/>
    <w:rsid w:val="00376493"/>
    <w:rsid w:val="00377915"/>
    <w:rsid w:val="00380258"/>
    <w:rsid w:val="00386103"/>
    <w:rsid w:val="003933CE"/>
    <w:rsid w:val="00393CE4"/>
    <w:rsid w:val="0039528A"/>
    <w:rsid w:val="003966A1"/>
    <w:rsid w:val="0039789E"/>
    <w:rsid w:val="003978E2"/>
    <w:rsid w:val="003A1162"/>
    <w:rsid w:val="003A4316"/>
    <w:rsid w:val="003A6DE1"/>
    <w:rsid w:val="003B58DC"/>
    <w:rsid w:val="003B61DB"/>
    <w:rsid w:val="003B7D88"/>
    <w:rsid w:val="003C270A"/>
    <w:rsid w:val="003C3A56"/>
    <w:rsid w:val="003C5F45"/>
    <w:rsid w:val="003D30B1"/>
    <w:rsid w:val="003D5A73"/>
    <w:rsid w:val="003D6B20"/>
    <w:rsid w:val="003D6C76"/>
    <w:rsid w:val="003D7094"/>
    <w:rsid w:val="003E3C65"/>
    <w:rsid w:val="003E434D"/>
    <w:rsid w:val="003E6111"/>
    <w:rsid w:val="003F07D8"/>
    <w:rsid w:val="003F60E5"/>
    <w:rsid w:val="003F771A"/>
    <w:rsid w:val="00401A79"/>
    <w:rsid w:val="00405BD9"/>
    <w:rsid w:val="0041002F"/>
    <w:rsid w:val="00412998"/>
    <w:rsid w:val="00414C9F"/>
    <w:rsid w:val="0041599C"/>
    <w:rsid w:val="0042598F"/>
    <w:rsid w:val="00425D31"/>
    <w:rsid w:val="00430AEF"/>
    <w:rsid w:val="00431C8A"/>
    <w:rsid w:val="00440D08"/>
    <w:rsid w:val="004424EA"/>
    <w:rsid w:val="004449BF"/>
    <w:rsid w:val="00447104"/>
    <w:rsid w:val="004502F7"/>
    <w:rsid w:val="00451365"/>
    <w:rsid w:val="0045268D"/>
    <w:rsid w:val="0046325C"/>
    <w:rsid w:val="004635EF"/>
    <w:rsid w:val="004661CF"/>
    <w:rsid w:val="00466A9E"/>
    <w:rsid w:val="00467625"/>
    <w:rsid w:val="00471442"/>
    <w:rsid w:val="00471C70"/>
    <w:rsid w:val="00472E65"/>
    <w:rsid w:val="004748CF"/>
    <w:rsid w:val="00474D74"/>
    <w:rsid w:val="0048260B"/>
    <w:rsid w:val="004834A1"/>
    <w:rsid w:val="00483990"/>
    <w:rsid w:val="004862AF"/>
    <w:rsid w:val="00487AFB"/>
    <w:rsid w:val="00493996"/>
    <w:rsid w:val="00495D48"/>
    <w:rsid w:val="00495F9C"/>
    <w:rsid w:val="00496A32"/>
    <w:rsid w:val="00497AFB"/>
    <w:rsid w:val="00497F85"/>
    <w:rsid w:val="004A117B"/>
    <w:rsid w:val="004A1F74"/>
    <w:rsid w:val="004A43DE"/>
    <w:rsid w:val="004A6132"/>
    <w:rsid w:val="004A6EBB"/>
    <w:rsid w:val="004A78F6"/>
    <w:rsid w:val="004A795E"/>
    <w:rsid w:val="004B0271"/>
    <w:rsid w:val="004B06D8"/>
    <w:rsid w:val="004B43F6"/>
    <w:rsid w:val="004B47D1"/>
    <w:rsid w:val="004B5B55"/>
    <w:rsid w:val="004C06AB"/>
    <w:rsid w:val="004C7D63"/>
    <w:rsid w:val="004C7F2C"/>
    <w:rsid w:val="004D15A3"/>
    <w:rsid w:val="004D3A00"/>
    <w:rsid w:val="004D7C5E"/>
    <w:rsid w:val="004E0C88"/>
    <w:rsid w:val="004E0E9E"/>
    <w:rsid w:val="004E1D2E"/>
    <w:rsid w:val="004E3CAA"/>
    <w:rsid w:val="004E53D6"/>
    <w:rsid w:val="004E5F35"/>
    <w:rsid w:val="004E6791"/>
    <w:rsid w:val="004F0815"/>
    <w:rsid w:val="004F158D"/>
    <w:rsid w:val="004F2023"/>
    <w:rsid w:val="004F3468"/>
    <w:rsid w:val="004F57BE"/>
    <w:rsid w:val="004F6898"/>
    <w:rsid w:val="004F7A8F"/>
    <w:rsid w:val="0050050F"/>
    <w:rsid w:val="00501361"/>
    <w:rsid w:val="0050321E"/>
    <w:rsid w:val="0050758C"/>
    <w:rsid w:val="005113FD"/>
    <w:rsid w:val="00511C46"/>
    <w:rsid w:val="00511E03"/>
    <w:rsid w:val="00512631"/>
    <w:rsid w:val="00515205"/>
    <w:rsid w:val="00516829"/>
    <w:rsid w:val="0051736C"/>
    <w:rsid w:val="00522072"/>
    <w:rsid w:val="005225EF"/>
    <w:rsid w:val="0052306C"/>
    <w:rsid w:val="005234F7"/>
    <w:rsid w:val="00526F86"/>
    <w:rsid w:val="0053037F"/>
    <w:rsid w:val="00533345"/>
    <w:rsid w:val="005348AB"/>
    <w:rsid w:val="00535C65"/>
    <w:rsid w:val="00541AD3"/>
    <w:rsid w:val="00543993"/>
    <w:rsid w:val="005452C6"/>
    <w:rsid w:val="005468FC"/>
    <w:rsid w:val="00546C05"/>
    <w:rsid w:val="0055070E"/>
    <w:rsid w:val="005531A6"/>
    <w:rsid w:val="005624CA"/>
    <w:rsid w:val="00563571"/>
    <w:rsid w:val="00570061"/>
    <w:rsid w:val="00570CBC"/>
    <w:rsid w:val="00571C58"/>
    <w:rsid w:val="00572CC7"/>
    <w:rsid w:val="00573095"/>
    <w:rsid w:val="00574A5E"/>
    <w:rsid w:val="00574E8E"/>
    <w:rsid w:val="00576746"/>
    <w:rsid w:val="00583571"/>
    <w:rsid w:val="00584318"/>
    <w:rsid w:val="00584C27"/>
    <w:rsid w:val="005859E4"/>
    <w:rsid w:val="00586289"/>
    <w:rsid w:val="005A2897"/>
    <w:rsid w:val="005A64F4"/>
    <w:rsid w:val="005A7E66"/>
    <w:rsid w:val="005B3B85"/>
    <w:rsid w:val="005B7D8B"/>
    <w:rsid w:val="005C2203"/>
    <w:rsid w:val="005C4163"/>
    <w:rsid w:val="005C4A00"/>
    <w:rsid w:val="005C5C6A"/>
    <w:rsid w:val="005C6993"/>
    <w:rsid w:val="005D0092"/>
    <w:rsid w:val="005D0C55"/>
    <w:rsid w:val="005D4DF2"/>
    <w:rsid w:val="005D5311"/>
    <w:rsid w:val="005D5E52"/>
    <w:rsid w:val="005D726C"/>
    <w:rsid w:val="005D7D7C"/>
    <w:rsid w:val="005F614F"/>
    <w:rsid w:val="005F7641"/>
    <w:rsid w:val="005F7F77"/>
    <w:rsid w:val="0060098E"/>
    <w:rsid w:val="00602364"/>
    <w:rsid w:val="0060386E"/>
    <w:rsid w:val="0060750B"/>
    <w:rsid w:val="00614EE6"/>
    <w:rsid w:val="00616382"/>
    <w:rsid w:val="0061742D"/>
    <w:rsid w:val="00617731"/>
    <w:rsid w:val="00617880"/>
    <w:rsid w:val="00622088"/>
    <w:rsid w:val="00623CAE"/>
    <w:rsid w:val="00625258"/>
    <w:rsid w:val="0062695E"/>
    <w:rsid w:val="006270E2"/>
    <w:rsid w:val="00633571"/>
    <w:rsid w:val="00636764"/>
    <w:rsid w:val="00637F7F"/>
    <w:rsid w:val="00640272"/>
    <w:rsid w:val="00640C01"/>
    <w:rsid w:val="006507C0"/>
    <w:rsid w:val="006518B9"/>
    <w:rsid w:val="00651F6E"/>
    <w:rsid w:val="006536C4"/>
    <w:rsid w:val="006546DB"/>
    <w:rsid w:val="006567F0"/>
    <w:rsid w:val="006574A7"/>
    <w:rsid w:val="00660D10"/>
    <w:rsid w:val="00662AA7"/>
    <w:rsid w:val="0066406B"/>
    <w:rsid w:val="0066488A"/>
    <w:rsid w:val="0066556A"/>
    <w:rsid w:val="006657F7"/>
    <w:rsid w:val="00665BAE"/>
    <w:rsid w:val="00665EF2"/>
    <w:rsid w:val="00670AB7"/>
    <w:rsid w:val="006746B0"/>
    <w:rsid w:val="006760D3"/>
    <w:rsid w:val="00680085"/>
    <w:rsid w:val="0068019B"/>
    <w:rsid w:val="00681061"/>
    <w:rsid w:val="0068150E"/>
    <w:rsid w:val="006863B6"/>
    <w:rsid w:val="00687906"/>
    <w:rsid w:val="00691CDE"/>
    <w:rsid w:val="006977A4"/>
    <w:rsid w:val="006A0496"/>
    <w:rsid w:val="006A24DD"/>
    <w:rsid w:val="006A2690"/>
    <w:rsid w:val="006A4BCD"/>
    <w:rsid w:val="006A687D"/>
    <w:rsid w:val="006B140A"/>
    <w:rsid w:val="006B1761"/>
    <w:rsid w:val="006B24AA"/>
    <w:rsid w:val="006B3342"/>
    <w:rsid w:val="006B476D"/>
    <w:rsid w:val="006B56BD"/>
    <w:rsid w:val="006B62AB"/>
    <w:rsid w:val="006C0409"/>
    <w:rsid w:val="006C3A6C"/>
    <w:rsid w:val="006C4A8F"/>
    <w:rsid w:val="006C551A"/>
    <w:rsid w:val="006C5592"/>
    <w:rsid w:val="006C7E46"/>
    <w:rsid w:val="006D3FBB"/>
    <w:rsid w:val="006D5371"/>
    <w:rsid w:val="006D53C3"/>
    <w:rsid w:val="006D79E9"/>
    <w:rsid w:val="006E18D7"/>
    <w:rsid w:val="006E39B7"/>
    <w:rsid w:val="006E51E9"/>
    <w:rsid w:val="006E7128"/>
    <w:rsid w:val="006F7629"/>
    <w:rsid w:val="00700FBD"/>
    <w:rsid w:val="00703DE4"/>
    <w:rsid w:val="00707DD1"/>
    <w:rsid w:val="00710B90"/>
    <w:rsid w:val="00714B2D"/>
    <w:rsid w:val="0071536B"/>
    <w:rsid w:val="00717CE2"/>
    <w:rsid w:val="00720FEF"/>
    <w:rsid w:val="00726A78"/>
    <w:rsid w:val="00727654"/>
    <w:rsid w:val="0072796D"/>
    <w:rsid w:val="00730C74"/>
    <w:rsid w:val="007326D8"/>
    <w:rsid w:val="00734514"/>
    <w:rsid w:val="00734E42"/>
    <w:rsid w:val="00735C4A"/>
    <w:rsid w:val="00740A11"/>
    <w:rsid w:val="00741612"/>
    <w:rsid w:val="00741BF0"/>
    <w:rsid w:val="00741C46"/>
    <w:rsid w:val="00746852"/>
    <w:rsid w:val="007540E2"/>
    <w:rsid w:val="007574B3"/>
    <w:rsid w:val="007635FD"/>
    <w:rsid w:val="00765C25"/>
    <w:rsid w:val="00766D79"/>
    <w:rsid w:val="007703C1"/>
    <w:rsid w:val="00777940"/>
    <w:rsid w:val="00783DEC"/>
    <w:rsid w:val="007878C8"/>
    <w:rsid w:val="00790AB0"/>
    <w:rsid w:val="00796288"/>
    <w:rsid w:val="007A6A56"/>
    <w:rsid w:val="007A6E31"/>
    <w:rsid w:val="007A7546"/>
    <w:rsid w:val="007B16C2"/>
    <w:rsid w:val="007B4CDA"/>
    <w:rsid w:val="007C112F"/>
    <w:rsid w:val="007C2141"/>
    <w:rsid w:val="007C24BE"/>
    <w:rsid w:val="007C6CF9"/>
    <w:rsid w:val="007C6ED2"/>
    <w:rsid w:val="007C7524"/>
    <w:rsid w:val="007C7A03"/>
    <w:rsid w:val="007D1A24"/>
    <w:rsid w:val="007D1D65"/>
    <w:rsid w:val="007D2A1C"/>
    <w:rsid w:val="007D3AD5"/>
    <w:rsid w:val="007D3C99"/>
    <w:rsid w:val="007D749E"/>
    <w:rsid w:val="007E0A67"/>
    <w:rsid w:val="007E1774"/>
    <w:rsid w:val="007E368C"/>
    <w:rsid w:val="007E56B8"/>
    <w:rsid w:val="007E782F"/>
    <w:rsid w:val="007F2498"/>
    <w:rsid w:val="007F4489"/>
    <w:rsid w:val="007F6A44"/>
    <w:rsid w:val="00800B38"/>
    <w:rsid w:val="00802208"/>
    <w:rsid w:val="00802768"/>
    <w:rsid w:val="00802A68"/>
    <w:rsid w:val="00803830"/>
    <w:rsid w:val="00807442"/>
    <w:rsid w:val="00813AD0"/>
    <w:rsid w:val="008167D7"/>
    <w:rsid w:val="008206B4"/>
    <w:rsid w:val="008210AE"/>
    <w:rsid w:val="00821DB8"/>
    <w:rsid w:val="00822EFB"/>
    <w:rsid w:val="008246EB"/>
    <w:rsid w:val="00830BC1"/>
    <w:rsid w:val="00834D16"/>
    <w:rsid w:val="008373D6"/>
    <w:rsid w:val="00837BBC"/>
    <w:rsid w:val="00840717"/>
    <w:rsid w:val="00840CA4"/>
    <w:rsid w:val="0084180C"/>
    <w:rsid w:val="008439BE"/>
    <w:rsid w:val="00844036"/>
    <w:rsid w:val="00845176"/>
    <w:rsid w:val="008554B6"/>
    <w:rsid w:val="00860106"/>
    <w:rsid w:val="00862F3C"/>
    <w:rsid w:val="0086338E"/>
    <w:rsid w:val="00863ED8"/>
    <w:rsid w:val="0086763B"/>
    <w:rsid w:val="00874B4D"/>
    <w:rsid w:val="00877523"/>
    <w:rsid w:val="00881CD0"/>
    <w:rsid w:val="008868FC"/>
    <w:rsid w:val="00886DC4"/>
    <w:rsid w:val="008924B3"/>
    <w:rsid w:val="00892BA2"/>
    <w:rsid w:val="00893488"/>
    <w:rsid w:val="00897E09"/>
    <w:rsid w:val="008A013F"/>
    <w:rsid w:val="008A140C"/>
    <w:rsid w:val="008A247F"/>
    <w:rsid w:val="008A41AB"/>
    <w:rsid w:val="008A6F74"/>
    <w:rsid w:val="008B0B48"/>
    <w:rsid w:val="008B57D4"/>
    <w:rsid w:val="008B7A64"/>
    <w:rsid w:val="008C0546"/>
    <w:rsid w:val="008C0BA8"/>
    <w:rsid w:val="008C673A"/>
    <w:rsid w:val="008C7197"/>
    <w:rsid w:val="008D112D"/>
    <w:rsid w:val="008D2FF7"/>
    <w:rsid w:val="008E3140"/>
    <w:rsid w:val="008E4F29"/>
    <w:rsid w:val="008E5E29"/>
    <w:rsid w:val="008E7F71"/>
    <w:rsid w:val="008F2702"/>
    <w:rsid w:val="008F7ED4"/>
    <w:rsid w:val="009054B9"/>
    <w:rsid w:val="00905A9F"/>
    <w:rsid w:val="00905EBA"/>
    <w:rsid w:val="00906950"/>
    <w:rsid w:val="0091157C"/>
    <w:rsid w:val="00911D5E"/>
    <w:rsid w:val="00914195"/>
    <w:rsid w:val="00915C02"/>
    <w:rsid w:val="00915C63"/>
    <w:rsid w:val="00917FFB"/>
    <w:rsid w:val="0092217E"/>
    <w:rsid w:val="00922C73"/>
    <w:rsid w:val="009235DA"/>
    <w:rsid w:val="0092513D"/>
    <w:rsid w:val="009264F8"/>
    <w:rsid w:val="0092759E"/>
    <w:rsid w:val="009320F1"/>
    <w:rsid w:val="00932BF5"/>
    <w:rsid w:val="009336B8"/>
    <w:rsid w:val="00935B1F"/>
    <w:rsid w:val="0093696B"/>
    <w:rsid w:val="0093735D"/>
    <w:rsid w:val="00941794"/>
    <w:rsid w:val="0094526F"/>
    <w:rsid w:val="009456A3"/>
    <w:rsid w:val="009536B5"/>
    <w:rsid w:val="00956C4B"/>
    <w:rsid w:val="00960A1A"/>
    <w:rsid w:val="00961800"/>
    <w:rsid w:val="00963B7B"/>
    <w:rsid w:val="00965B89"/>
    <w:rsid w:val="00966AF7"/>
    <w:rsid w:val="00970BB2"/>
    <w:rsid w:val="00972DED"/>
    <w:rsid w:val="00973118"/>
    <w:rsid w:val="009731F5"/>
    <w:rsid w:val="00975025"/>
    <w:rsid w:val="009800B6"/>
    <w:rsid w:val="009819E9"/>
    <w:rsid w:val="00983010"/>
    <w:rsid w:val="0098551E"/>
    <w:rsid w:val="00985B18"/>
    <w:rsid w:val="00987BAD"/>
    <w:rsid w:val="00990F8F"/>
    <w:rsid w:val="009946E5"/>
    <w:rsid w:val="00994EFC"/>
    <w:rsid w:val="009954DF"/>
    <w:rsid w:val="009B0075"/>
    <w:rsid w:val="009B280E"/>
    <w:rsid w:val="009B5B9D"/>
    <w:rsid w:val="009B66E0"/>
    <w:rsid w:val="009B7C7A"/>
    <w:rsid w:val="009C3859"/>
    <w:rsid w:val="009D1BEA"/>
    <w:rsid w:val="009E123D"/>
    <w:rsid w:val="009E1DFC"/>
    <w:rsid w:val="009E4F66"/>
    <w:rsid w:val="009E5396"/>
    <w:rsid w:val="009E60F9"/>
    <w:rsid w:val="009E6EC6"/>
    <w:rsid w:val="009F3C3D"/>
    <w:rsid w:val="009F4BB3"/>
    <w:rsid w:val="009F7525"/>
    <w:rsid w:val="00A011DF"/>
    <w:rsid w:val="00A102C0"/>
    <w:rsid w:val="00A1032D"/>
    <w:rsid w:val="00A11251"/>
    <w:rsid w:val="00A11261"/>
    <w:rsid w:val="00A117CC"/>
    <w:rsid w:val="00A14B86"/>
    <w:rsid w:val="00A1521D"/>
    <w:rsid w:val="00A15A53"/>
    <w:rsid w:val="00A16DCA"/>
    <w:rsid w:val="00A22302"/>
    <w:rsid w:val="00A22CF7"/>
    <w:rsid w:val="00A23369"/>
    <w:rsid w:val="00A23749"/>
    <w:rsid w:val="00A242A7"/>
    <w:rsid w:val="00A24B84"/>
    <w:rsid w:val="00A323E7"/>
    <w:rsid w:val="00A34D1C"/>
    <w:rsid w:val="00A34FFC"/>
    <w:rsid w:val="00A36EEE"/>
    <w:rsid w:val="00A3750A"/>
    <w:rsid w:val="00A37D97"/>
    <w:rsid w:val="00A41790"/>
    <w:rsid w:val="00A427B7"/>
    <w:rsid w:val="00A42E35"/>
    <w:rsid w:val="00A44047"/>
    <w:rsid w:val="00A45B35"/>
    <w:rsid w:val="00A45FB9"/>
    <w:rsid w:val="00A47EE9"/>
    <w:rsid w:val="00A5052F"/>
    <w:rsid w:val="00A50F1A"/>
    <w:rsid w:val="00A53AF9"/>
    <w:rsid w:val="00A5406A"/>
    <w:rsid w:val="00A55495"/>
    <w:rsid w:val="00A615D4"/>
    <w:rsid w:val="00A61877"/>
    <w:rsid w:val="00A6240B"/>
    <w:rsid w:val="00A6465F"/>
    <w:rsid w:val="00A65688"/>
    <w:rsid w:val="00A76E3C"/>
    <w:rsid w:val="00A77F4E"/>
    <w:rsid w:val="00A81415"/>
    <w:rsid w:val="00A84692"/>
    <w:rsid w:val="00A84B6D"/>
    <w:rsid w:val="00A85717"/>
    <w:rsid w:val="00A94CC4"/>
    <w:rsid w:val="00A9582B"/>
    <w:rsid w:val="00A965B3"/>
    <w:rsid w:val="00AA06D4"/>
    <w:rsid w:val="00AA2BC6"/>
    <w:rsid w:val="00AA32DC"/>
    <w:rsid w:val="00AA3AC2"/>
    <w:rsid w:val="00AA4C55"/>
    <w:rsid w:val="00AA70EB"/>
    <w:rsid w:val="00AB0409"/>
    <w:rsid w:val="00AD09D7"/>
    <w:rsid w:val="00AD1694"/>
    <w:rsid w:val="00AD2EC8"/>
    <w:rsid w:val="00AD5C94"/>
    <w:rsid w:val="00AD77D1"/>
    <w:rsid w:val="00AE110B"/>
    <w:rsid w:val="00AE6AED"/>
    <w:rsid w:val="00AE6BA6"/>
    <w:rsid w:val="00AE6C5D"/>
    <w:rsid w:val="00AE78F2"/>
    <w:rsid w:val="00AF02B0"/>
    <w:rsid w:val="00AF047F"/>
    <w:rsid w:val="00AF252F"/>
    <w:rsid w:val="00AF6EB0"/>
    <w:rsid w:val="00B0581B"/>
    <w:rsid w:val="00B05DD9"/>
    <w:rsid w:val="00B06064"/>
    <w:rsid w:val="00B1006A"/>
    <w:rsid w:val="00B11CD7"/>
    <w:rsid w:val="00B14909"/>
    <w:rsid w:val="00B23420"/>
    <w:rsid w:val="00B36E5D"/>
    <w:rsid w:val="00B37261"/>
    <w:rsid w:val="00B37297"/>
    <w:rsid w:val="00B37BDB"/>
    <w:rsid w:val="00B37D7E"/>
    <w:rsid w:val="00B40120"/>
    <w:rsid w:val="00B4107A"/>
    <w:rsid w:val="00B418E9"/>
    <w:rsid w:val="00B41FB2"/>
    <w:rsid w:val="00B421C1"/>
    <w:rsid w:val="00B45CF0"/>
    <w:rsid w:val="00B46239"/>
    <w:rsid w:val="00B4682A"/>
    <w:rsid w:val="00B502B5"/>
    <w:rsid w:val="00B50781"/>
    <w:rsid w:val="00B51D02"/>
    <w:rsid w:val="00B52C23"/>
    <w:rsid w:val="00B5452C"/>
    <w:rsid w:val="00B556DE"/>
    <w:rsid w:val="00B57FCE"/>
    <w:rsid w:val="00B669B6"/>
    <w:rsid w:val="00B704F6"/>
    <w:rsid w:val="00B73113"/>
    <w:rsid w:val="00B7598F"/>
    <w:rsid w:val="00B759F2"/>
    <w:rsid w:val="00B75A9E"/>
    <w:rsid w:val="00B75B2A"/>
    <w:rsid w:val="00B75C1C"/>
    <w:rsid w:val="00B75DD0"/>
    <w:rsid w:val="00B76D23"/>
    <w:rsid w:val="00B778DD"/>
    <w:rsid w:val="00B817F2"/>
    <w:rsid w:val="00B87042"/>
    <w:rsid w:val="00B9191F"/>
    <w:rsid w:val="00B932DB"/>
    <w:rsid w:val="00B939AB"/>
    <w:rsid w:val="00B93ECA"/>
    <w:rsid w:val="00BA1DF1"/>
    <w:rsid w:val="00BA5A2A"/>
    <w:rsid w:val="00BB0FBC"/>
    <w:rsid w:val="00BB69D4"/>
    <w:rsid w:val="00BB739D"/>
    <w:rsid w:val="00BC00E0"/>
    <w:rsid w:val="00BC1D0B"/>
    <w:rsid w:val="00BC4309"/>
    <w:rsid w:val="00BC4384"/>
    <w:rsid w:val="00BC4BBC"/>
    <w:rsid w:val="00BC5C78"/>
    <w:rsid w:val="00BC62EA"/>
    <w:rsid w:val="00BC68E9"/>
    <w:rsid w:val="00BD0E0F"/>
    <w:rsid w:val="00BD15C1"/>
    <w:rsid w:val="00BE5822"/>
    <w:rsid w:val="00BF0DB4"/>
    <w:rsid w:val="00BF3097"/>
    <w:rsid w:val="00BF79F4"/>
    <w:rsid w:val="00C0081B"/>
    <w:rsid w:val="00C10E01"/>
    <w:rsid w:val="00C14ECD"/>
    <w:rsid w:val="00C216FA"/>
    <w:rsid w:val="00C21E04"/>
    <w:rsid w:val="00C244ED"/>
    <w:rsid w:val="00C251C0"/>
    <w:rsid w:val="00C27797"/>
    <w:rsid w:val="00C27BA7"/>
    <w:rsid w:val="00C311C6"/>
    <w:rsid w:val="00C35FCE"/>
    <w:rsid w:val="00C407AF"/>
    <w:rsid w:val="00C40CE4"/>
    <w:rsid w:val="00C42046"/>
    <w:rsid w:val="00C45983"/>
    <w:rsid w:val="00C460FF"/>
    <w:rsid w:val="00C467FA"/>
    <w:rsid w:val="00C50A28"/>
    <w:rsid w:val="00C6000C"/>
    <w:rsid w:val="00C631D2"/>
    <w:rsid w:val="00C63F59"/>
    <w:rsid w:val="00C65DC4"/>
    <w:rsid w:val="00C7066A"/>
    <w:rsid w:val="00C71998"/>
    <w:rsid w:val="00C7313D"/>
    <w:rsid w:val="00C73773"/>
    <w:rsid w:val="00C761BE"/>
    <w:rsid w:val="00C765EE"/>
    <w:rsid w:val="00C77014"/>
    <w:rsid w:val="00C8028D"/>
    <w:rsid w:val="00C80665"/>
    <w:rsid w:val="00C81BFE"/>
    <w:rsid w:val="00C82067"/>
    <w:rsid w:val="00C83F85"/>
    <w:rsid w:val="00C91F3C"/>
    <w:rsid w:val="00C92DD2"/>
    <w:rsid w:val="00C95026"/>
    <w:rsid w:val="00C95250"/>
    <w:rsid w:val="00C95278"/>
    <w:rsid w:val="00C95580"/>
    <w:rsid w:val="00C95678"/>
    <w:rsid w:val="00C96745"/>
    <w:rsid w:val="00C97D18"/>
    <w:rsid w:val="00CA2E53"/>
    <w:rsid w:val="00CA510E"/>
    <w:rsid w:val="00CA523D"/>
    <w:rsid w:val="00CA56B4"/>
    <w:rsid w:val="00CA5E85"/>
    <w:rsid w:val="00CA7A6E"/>
    <w:rsid w:val="00CB2F73"/>
    <w:rsid w:val="00CB360A"/>
    <w:rsid w:val="00CB5BE7"/>
    <w:rsid w:val="00CB76B4"/>
    <w:rsid w:val="00CB7C3F"/>
    <w:rsid w:val="00CC5C4F"/>
    <w:rsid w:val="00CC759B"/>
    <w:rsid w:val="00CD179D"/>
    <w:rsid w:val="00CD2DFB"/>
    <w:rsid w:val="00CD612D"/>
    <w:rsid w:val="00CD7573"/>
    <w:rsid w:val="00CE2172"/>
    <w:rsid w:val="00CE3380"/>
    <w:rsid w:val="00CF0879"/>
    <w:rsid w:val="00CF14E7"/>
    <w:rsid w:val="00CF191A"/>
    <w:rsid w:val="00CF68F8"/>
    <w:rsid w:val="00CF7557"/>
    <w:rsid w:val="00D00A84"/>
    <w:rsid w:val="00D0390B"/>
    <w:rsid w:val="00D0581C"/>
    <w:rsid w:val="00D06416"/>
    <w:rsid w:val="00D07ADD"/>
    <w:rsid w:val="00D16B68"/>
    <w:rsid w:val="00D23E85"/>
    <w:rsid w:val="00D24883"/>
    <w:rsid w:val="00D3045A"/>
    <w:rsid w:val="00D32D31"/>
    <w:rsid w:val="00D36372"/>
    <w:rsid w:val="00D40E1D"/>
    <w:rsid w:val="00D411C1"/>
    <w:rsid w:val="00D4130F"/>
    <w:rsid w:val="00D43B10"/>
    <w:rsid w:val="00D4453D"/>
    <w:rsid w:val="00D44A41"/>
    <w:rsid w:val="00D46FEF"/>
    <w:rsid w:val="00D52D94"/>
    <w:rsid w:val="00D53541"/>
    <w:rsid w:val="00D547FD"/>
    <w:rsid w:val="00D62684"/>
    <w:rsid w:val="00D66600"/>
    <w:rsid w:val="00D7059E"/>
    <w:rsid w:val="00D70EA9"/>
    <w:rsid w:val="00D744E4"/>
    <w:rsid w:val="00D84A1C"/>
    <w:rsid w:val="00D87BD2"/>
    <w:rsid w:val="00D87D10"/>
    <w:rsid w:val="00D97209"/>
    <w:rsid w:val="00DB0400"/>
    <w:rsid w:val="00DB56CA"/>
    <w:rsid w:val="00DB6635"/>
    <w:rsid w:val="00DB6F3B"/>
    <w:rsid w:val="00DB735D"/>
    <w:rsid w:val="00DC3614"/>
    <w:rsid w:val="00DC36D1"/>
    <w:rsid w:val="00DC42D1"/>
    <w:rsid w:val="00DC4AFB"/>
    <w:rsid w:val="00DD20F3"/>
    <w:rsid w:val="00DD435B"/>
    <w:rsid w:val="00DE0BE1"/>
    <w:rsid w:val="00DE1285"/>
    <w:rsid w:val="00DE4813"/>
    <w:rsid w:val="00DE66F0"/>
    <w:rsid w:val="00DF0C89"/>
    <w:rsid w:val="00DF11EC"/>
    <w:rsid w:val="00DF7856"/>
    <w:rsid w:val="00E00FDC"/>
    <w:rsid w:val="00E0118C"/>
    <w:rsid w:val="00E015D9"/>
    <w:rsid w:val="00E020EC"/>
    <w:rsid w:val="00E11FFB"/>
    <w:rsid w:val="00E16214"/>
    <w:rsid w:val="00E16449"/>
    <w:rsid w:val="00E16691"/>
    <w:rsid w:val="00E218E3"/>
    <w:rsid w:val="00E27069"/>
    <w:rsid w:val="00E302C4"/>
    <w:rsid w:val="00E30E5A"/>
    <w:rsid w:val="00E32112"/>
    <w:rsid w:val="00E32835"/>
    <w:rsid w:val="00E332C2"/>
    <w:rsid w:val="00E3461B"/>
    <w:rsid w:val="00E3582B"/>
    <w:rsid w:val="00E35D0C"/>
    <w:rsid w:val="00E36D0C"/>
    <w:rsid w:val="00E36EA7"/>
    <w:rsid w:val="00E37699"/>
    <w:rsid w:val="00E411DB"/>
    <w:rsid w:val="00E41F34"/>
    <w:rsid w:val="00E44F3F"/>
    <w:rsid w:val="00E4509C"/>
    <w:rsid w:val="00E468AE"/>
    <w:rsid w:val="00E47673"/>
    <w:rsid w:val="00E5065A"/>
    <w:rsid w:val="00E55817"/>
    <w:rsid w:val="00E56F33"/>
    <w:rsid w:val="00E611DF"/>
    <w:rsid w:val="00E61F4C"/>
    <w:rsid w:val="00E62614"/>
    <w:rsid w:val="00E631F2"/>
    <w:rsid w:val="00E633BD"/>
    <w:rsid w:val="00E63D23"/>
    <w:rsid w:val="00E648D8"/>
    <w:rsid w:val="00E65187"/>
    <w:rsid w:val="00E65F02"/>
    <w:rsid w:val="00E6772F"/>
    <w:rsid w:val="00E67D7A"/>
    <w:rsid w:val="00E752B6"/>
    <w:rsid w:val="00E7609D"/>
    <w:rsid w:val="00E76A1C"/>
    <w:rsid w:val="00E82414"/>
    <w:rsid w:val="00E84CD0"/>
    <w:rsid w:val="00E86E53"/>
    <w:rsid w:val="00E90018"/>
    <w:rsid w:val="00E91644"/>
    <w:rsid w:val="00E95A9F"/>
    <w:rsid w:val="00E96619"/>
    <w:rsid w:val="00EA169C"/>
    <w:rsid w:val="00EA2E88"/>
    <w:rsid w:val="00EB1CFB"/>
    <w:rsid w:val="00EB79FB"/>
    <w:rsid w:val="00EC0077"/>
    <w:rsid w:val="00EC38B1"/>
    <w:rsid w:val="00ED088D"/>
    <w:rsid w:val="00ED1408"/>
    <w:rsid w:val="00ED2793"/>
    <w:rsid w:val="00ED4F2D"/>
    <w:rsid w:val="00ED6A5E"/>
    <w:rsid w:val="00EE2860"/>
    <w:rsid w:val="00EE71E1"/>
    <w:rsid w:val="00EE7B48"/>
    <w:rsid w:val="00EF13B5"/>
    <w:rsid w:val="00EF4A08"/>
    <w:rsid w:val="00EF4D4E"/>
    <w:rsid w:val="00EF533E"/>
    <w:rsid w:val="00F01A38"/>
    <w:rsid w:val="00F04561"/>
    <w:rsid w:val="00F04B96"/>
    <w:rsid w:val="00F068E1"/>
    <w:rsid w:val="00F10ACA"/>
    <w:rsid w:val="00F11511"/>
    <w:rsid w:val="00F15EB7"/>
    <w:rsid w:val="00F16E8C"/>
    <w:rsid w:val="00F20DC3"/>
    <w:rsid w:val="00F26341"/>
    <w:rsid w:val="00F269FA"/>
    <w:rsid w:val="00F33F9F"/>
    <w:rsid w:val="00F36FA3"/>
    <w:rsid w:val="00F403BE"/>
    <w:rsid w:val="00F405D4"/>
    <w:rsid w:val="00F42201"/>
    <w:rsid w:val="00F43132"/>
    <w:rsid w:val="00F43B01"/>
    <w:rsid w:val="00F50522"/>
    <w:rsid w:val="00F50BF6"/>
    <w:rsid w:val="00F57C6B"/>
    <w:rsid w:val="00F63B08"/>
    <w:rsid w:val="00F64811"/>
    <w:rsid w:val="00F70CA8"/>
    <w:rsid w:val="00F71E1B"/>
    <w:rsid w:val="00F7221C"/>
    <w:rsid w:val="00F72319"/>
    <w:rsid w:val="00F74540"/>
    <w:rsid w:val="00F75A06"/>
    <w:rsid w:val="00F77CC0"/>
    <w:rsid w:val="00F9244D"/>
    <w:rsid w:val="00F9384C"/>
    <w:rsid w:val="00F95F45"/>
    <w:rsid w:val="00FA223D"/>
    <w:rsid w:val="00FA2BCF"/>
    <w:rsid w:val="00FA3E48"/>
    <w:rsid w:val="00FA6A94"/>
    <w:rsid w:val="00FB01A0"/>
    <w:rsid w:val="00FB3D6B"/>
    <w:rsid w:val="00FB48EB"/>
    <w:rsid w:val="00FC0BC7"/>
    <w:rsid w:val="00FC0E78"/>
    <w:rsid w:val="00FC2A97"/>
    <w:rsid w:val="00FC2DE4"/>
    <w:rsid w:val="00FC448F"/>
    <w:rsid w:val="00FD25D6"/>
    <w:rsid w:val="00FD27F3"/>
    <w:rsid w:val="00FD472B"/>
    <w:rsid w:val="00FD4B57"/>
    <w:rsid w:val="00FD5540"/>
    <w:rsid w:val="00FD576C"/>
    <w:rsid w:val="00FD5BCB"/>
    <w:rsid w:val="00FE1765"/>
    <w:rsid w:val="00FE2FDA"/>
    <w:rsid w:val="00FE3684"/>
    <w:rsid w:val="00FE40BD"/>
    <w:rsid w:val="00FE4B48"/>
    <w:rsid w:val="00FE738C"/>
    <w:rsid w:val="00FF0D96"/>
    <w:rsid w:val="00FF2233"/>
    <w:rsid w:val="00FF3949"/>
    <w:rsid w:val="00FF58EF"/>
    <w:rsid w:val="7AAA00ED"/>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BEEE3"/>
  <w15:docId w15:val="{6547A034-B838-48A2-A964-5BE709634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D" w:eastAsia="fr-C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A24"/>
    <w:pPr>
      <w:spacing w:after="0" w:line="240" w:lineRule="auto"/>
    </w:pPr>
    <w:rPr>
      <w:rFonts w:ascii="Times New Roman" w:eastAsia="Times New Roman" w:hAnsi="Times New Roman" w:cs="Times New Roman"/>
      <w:sz w:val="24"/>
      <w:szCs w:val="24"/>
      <w:lang w:eastAsia="en-US"/>
    </w:rPr>
  </w:style>
  <w:style w:type="paragraph" w:styleId="Titre1">
    <w:name w:val="heading 1"/>
    <w:basedOn w:val="Normal"/>
    <w:next w:val="Normal"/>
    <w:link w:val="Titre1Car"/>
    <w:uiPriority w:val="9"/>
    <w:qFormat/>
    <w:pPr>
      <w:keepNext/>
      <w:keepLines/>
      <w:pBdr>
        <w:top w:val="nil"/>
        <w:left w:val="nil"/>
        <w:bottom w:val="nil"/>
        <w:right w:val="nil"/>
        <w:between w:val="nil"/>
      </w:pBdr>
      <w:spacing w:before="120" w:after="125" w:line="268" w:lineRule="auto"/>
      <w:ind w:left="720" w:right="28" w:hanging="720"/>
      <w:jc w:val="both"/>
      <w:outlineLvl w:val="0"/>
    </w:pPr>
    <w:rPr>
      <w:b/>
      <w:color w:val="0070C0"/>
    </w:rPr>
  </w:style>
  <w:style w:type="paragraph" w:styleId="Titre2">
    <w:name w:val="heading 2"/>
    <w:basedOn w:val="Normal"/>
    <w:next w:val="Normal"/>
    <w:link w:val="Titre2Car"/>
    <w:uiPriority w:val="9"/>
    <w:unhideWhenUsed/>
    <w:qFormat/>
    <w:pPr>
      <w:keepNext/>
      <w:keepLines/>
      <w:spacing w:before="40"/>
      <w:outlineLvl w:val="1"/>
    </w:pPr>
    <w:rPr>
      <w:color w:val="2F5496"/>
    </w:rPr>
  </w:style>
  <w:style w:type="paragraph" w:styleId="Titre3">
    <w:name w:val="heading 3"/>
    <w:basedOn w:val="Normal"/>
    <w:next w:val="Normal"/>
    <w:link w:val="Titre3Car"/>
    <w:uiPriority w:val="9"/>
    <w:semiHidden/>
    <w:unhideWhenUsed/>
    <w:qFormat/>
    <w:pPr>
      <w:keepNext/>
      <w:keepLines/>
      <w:spacing w:before="40"/>
      <w:outlineLvl w:val="2"/>
    </w:pPr>
    <w:rPr>
      <w:color w:val="1F3763"/>
    </w:rPr>
  </w:style>
  <w:style w:type="paragraph" w:styleId="Titre4">
    <w:name w:val="heading 4"/>
    <w:basedOn w:val="Normal"/>
    <w:next w:val="Normal"/>
    <w:link w:val="Titre4Car"/>
    <w:uiPriority w:val="9"/>
    <w:semiHidden/>
    <w:unhideWhenUsed/>
    <w:qFormat/>
    <w:pPr>
      <w:keepNext/>
      <w:keepLines/>
      <w:pBdr>
        <w:top w:val="nil"/>
        <w:left w:val="nil"/>
        <w:bottom w:val="nil"/>
        <w:right w:val="nil"/>
        <w:between w:val="nil"/>
      </w:pBdr>
      <w:spacing w:after="10" w:line="268" w:lineRule="auto"/>
      <w:ind w:left="10" w:right="28" w:hanging="10"/>
      <w:jc w:val="both"/>
      <w:outlineLvl w:val="3"/>
    </w:pPr>
    <w:rPr>
      <w:b/>
      <w:color w:val="000000"/>
      <w:sz w:val="21"/>
      <w:szCs w:val="21"/>
    </w:rPr>
  </w:style>
  <w:style w:type="paragraph" w:styleId="Titre5">
    <w:name w:val="heading 5"/>
    <w:basedOn w:val="Normal"/>
    <w:next w:val="Normal"/>
    <w:link w:val="Titre5Car"/>
    <w:uiPriority w:val="9"/>
    <w:semiHidden/>
    <w:unhideWhenUsed/>
    <w:qFormat/>
    <w:pPr>
      <w:keepNext/>
      <w:keepLines/>
      <w:pBdr>
        <w:top w:val="nil"/>
        <w:left w:val="nil"/>
        <w:bottom w:val="nil"/>
        <w:right w:val="nil"/>
        <w:between w:val="nil"/>
      </w:pBdr>
      <w:spacing w:after="10" w:line="268" w:lineRule="auto"/>
      <w:ind w:left="10" w:right="28" w:hanging="10"/>
      <w:jc w:val="both"/>
      <w:outlineLvl w:val="4"/>
    </w:pPr>
    <w:rPr>
      <w:b/>
      <w:color w:val="000000"/>
      <w:sz w:val="21"/>
      <w:szCs w:val="21"/>
    </w:rPr>
  </w:style>
  <w:style w:type="paragraph" w:styleId="Titre6">
    <w:name w:val="heading 6"/>
    <w:basedOn w:val="Normal"/>
    <w:next w:val="Normal"/>
    <w:link w:val="Titre6Car"/>
    <w:uiPriority w:val="9"/>
    <w:semiHidden/>
    <w:unhideWhenUsed/>
    <w:qFormat/>
    <w:pPr>
      <w:keepNext/>
      <w:keepLines/>
      <w:spacing w:before="40"/>
      <w:outlineLvl w:val="5"/>
    </w:pPr>
    <w:rPr>
      <w:color w:val="1F3763"/>
      <w:sz w:val="21"/>
      <w:szCs w:val="21"/>
    </w:rPr>
  </w:style>
  <w:style w:type="paragraph" w:styleId="Titre7">
    <w:name w:val="heading 7"/>
    <w:basedOn w:val="Normal"/>
    <w:next w:val="Normal"/>
    <w:link w:val="Titre7Car"/>
    <w:uiPriority w:val="9"/>
    <w:semiHidden/>
    <w:unhideWhenUsed/>
    <w:qFormat/>
    <w:rsid w:val="00A6240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A6240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A6240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link w:val="TitreCar"/>
    <w:uiPriority w:val="10"/>
    <w:qFormat/>
    <w:pPr>
      <w:keepNext/>
      <w:keepLines/>
      <w:spacing w:before="480" w:after="120" w:line="271" w:lineRule="auto"/>
      <w:ind w:left="20" w:right="28" w:hanging="10"/>
      <w:jc w:val="both"/>
    </w:pPr>
    <w:rPr>
      <w:b/>
      <w:color w:val="000000"/>
      <w:sz w:val="72"/>
      <w:szCs w:val="72"/>
    </w:rPr>
  </w:style>
  <w:style w:type="paragraph" w:styleId="Sous-titre">
    <w:name w:val="Subtitle"/>
    <w:basedOn w:val="Normal"/>
    <w:next w:val="Normal"/>
    <w:link w:val="Sous-titreCar"/>
    <w:uiPriority w:val="11"/>
    <w:qFormat/>
    <w:pPr>
      <w:keepNext/>
      <w:keepLines/>
      <w:spacing w:before="360" w:after="80" w:line="271" w:lineRule="auto"/>
      <w:ind w:left="20" w:right="28" w:hanging="10"/>
      <w:jc w:val="both"/>
    </w:pPr>
    <w:rPr>
      <w:rFonts w:ascii="Georgia" w:eastAsia="Georgia" w:hAnsi="Georgia" w:cs="Georgia"/>
      <w:i/>
      <w:color w:val="666666"/>
      <w:sz w:val="48"/>
      <w:szCs w:val="48"/>
    </w:rPr>
  </w:style>
  <w:style w:type="table" w:customStyle="1" w:styleId="89">
    <w:name w:val="89"/>
    <w:basedOn w:val="TableauNormal"/>
    <w:tblPr>
      <w:tblStyleRowBandSize w:val="1"/>
      <w:tblStyleColBandSize w:val="1"/>
      <w:tblCellMar>
        <w:left w:w="115" w:type="dxa"/>
        <w:right w:w="115" w:type="dxa"/>
      </w:tblCellMar>
    </w:tblPr>
  </w:style>
  <w:style w:type="table" w:customStyle="1" w:styleId="88">
    <w:name w:val="88"/>
    <w:basedOn w:val="TableauNormal"/>
    <w:tblPr>
      <w:tblStyleRowBandSize w:val="1"/>
      <w:tblStyleColBandSize w:val="1"/>
      <w:tblCellMar>
        <w:left w:w="115" w:type="dxa"/>
        <w:right w:w="115" w:type="dxa"/>
      </w:tblCellMar>
    </w:tblPr>
  </w:style>
  <w:style w:type="table" w:customStyle="1" w:styleId="87">
    <w:name w:val="87"/>
    <w:basedOn w:val="TableauNormal"/>
    <w:tblPr>
      <w:tblStyleRowBandSize w:val="1"/>
      <w:tblStyleColBandSize w:val="1"/>
      <w:tblCellMar>
        <w:left w:w="115" w:type="dxa"/>
        <w:right w:w="115" w:type="dxa"/>
      </w:tblCellMar>
    </w:tblPr>
  </w:style>
  <w:style w:type="table" w:customStyle="1" w:styleId="86">
    <w:name w:val="86"/>
    <w:basedOn w:val="TableauNormal"/>
    <w:tblPr>
      <w:tblStyleRowBandSize w:val="1"/>
      <w:tblStyleColBandSize w:val="1"/>
      <w:tblCellMar>
        <w:left w:w="115" w:type="dxa"/>
        <w:right w:w="115" w:type="dxa"/>
      </w:tblCellMar>
    </w:tblPr>
  </w:style>
  <w:style w:type="table" w:customStyle="1" w:styleId="85">
    <w:name w:val="85"/>
    <w:basedOn w:val="TableauNormal"/>
    <w:tblPr>
      <w:tblStyleRowBandSize w:val="1"/>
      <w:tblStyleColBandSize w:val="1"/>
      <w:tblCellMar>
        <w:left w:w="115" w:type="dxa"/>
        <w:right w:w="115" w:type="dxa"/>
      </w:tblCellMar>
    </w:tblPr>
  </w:style>
  <w:style w:type="table" w:customStyle="1" w:styleId="84">
    <w:name w:val="84"/>
    <w:basedOn w:val="TableauNormal"/>
    <w:tblPr>
      <w:tblStyleRowBandSize w:val="1"/>
      <w:tblStyleColBandSize w:val="1"/>
      <w:tblCellMar>
        <w:left w:w="115" w:type="dxa"/>
        <w:right w:w="115" w:type="dxa"/>
      </w:tblCellMar>
    </w:tblPr>
  </w:style>
  <w:style w:type="table" w:customStyle="1" w:styleId="83">
    <w:name w:val="83"/>
    <w:basedOn w:val="TableauNormal"/>
    <w:tblPr>
      <w:tblStyleRowBandSize w:val="1"/>
      <w:tblStyleColBandSize w:val="1"/>
      <w:tblCellMar>
        <w:left w:w="115" w:type="dxa"/>
        <w:right w:w="115" w:type="dxa"/>
      </w:tblCellMar>
    </w:tblPr>
  </w:style>
  <w:style w:type="table" w:customStyle="1" w:styleId="82">
    <w:name w:val="82"/>
    <w:basedOn w:val="TableauNormal"/>
    <w:tblPr>
      <w:tblStyleRowBandSize w:val="1"/>
      <w:tblStyleColBandSize w:val="1"/>
      <w:tblCellMar>
        <w:left w:w="115" w:type="dxa"/>
        <w:right w:w="115" w:type="dxa"/>
      </w:tblCellMar>
    </w:tblPr>
  </w:style>
  <w:style w:type="table" w:customStyle="1" w:styleId="81">
    <w:name w:val="81"/>
    <w:basedOn w:val="TableauNormal"/>
    <w:tblPr>
      <w:tblStyleRowBandSize w:val="1"/>
      <w:tblStyleColBandSize w:val="1"/>
      <w:tblCellMar>
        <w:left w:w="115" w:type="dxa"/>
        <w:right w:w="115" w:type="dxa"/>
      </w:tblCellMar>
    </w:tblPr>
  </w:style>
  <w:style w:type="table" w:customStyle="1" w:styleId="80">
    <w:name w:val="80"/>
    <w:basedOn w:val="TableauNormal"/>
    <w:tblPr>
      <w:tblStyleRowBandSize w:val="1"/>
      <w:tblStyleColBandSize w:val="1"/>
      <w:tblCellMar>
        <w:left w:w="115" w:type="dxa"/>
        <w:right w:w="115" w:type="dxa"/>
      </w:tblCellMar>
    </w:tblPr>
  </w:style>
  <w:style w:type="table" w:customStyle="1" w:styleId="79">
    <w:name w:val="79"/>
    <w:basedOn w:val="TableauNormal"/>
    <w:tblPr>
      <w:tblStyleRowBandSize w:val="1"/>
      <w:tblStyleColBandSize w:val="1"/>
      <w:tblCellMar>
        <w:left w:w="115" w:type="dxa"/>
        <w:right w:w="115" w:type="dxa"/>
      </w:tblCellMar>
    </w:tblPr>
  </w:style>
  <w:style w:type="table" w:customStyle="1" w:styleId="78">
    <w:name w:val="7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77">
    <w:name w:val="77"/>
    <w:basedOn w:val="TableauNormal"/>
    <w:tblPr>
      <w:tblStyleRowBandSize w:val="1"/>
      <w:tblStyleColBandSize w:val="1"/>
      <w:tblCellMar>
        <w:left w:w="115" w:type="dxa"/>
        <w:right w:w="115" w:type="dxa"/>
      </w:tblCellMar>
    </w:tblPr>
  </w:style>
  <w:style w:type="table" w:customStyle="1" w:styleId="76">
    <w:name w:val="76"/>
    <w:basedOn w:val="TableauNormal"/>
    <w:tblPr>
      <w:tblStyleRowBandSize w:val="1"/>
      <w:tblStyleColBandSize w:val="1"/>
      <w:tblCellMar>
        <w:left w:w="115" w:type="dxa"/>
        <w:right w:w="115" w:type="dxa"/>
      </w:tblCellMar>
    </w:tblPr>
  </w:style>
  <w:style w:type="table" w:customStyle="1" w:styleId="75">
    <w:name w:val="75"/>
    <w:basedOn w:val="TableauNormal"/>
    <w:tblPr>
      <w:tblStyleRowBandSize w:val="1"/>
      <w:tblStyleColBandSize w:val="1"/>
      <w:tblCellMar>
        <w:left w:w="115" w:type="dxa"/>
        <w:right w:w="115" w:type="dxa"/>
      </w:tblCellMar>
    </w:tblPr>
  </w:style>
  <w:style w:type="table" w:customStyle="1" w:styleId="74">
    <w:name w:val="74"/>
    <w:basedOn w:val="TableauNormal"/>
    <w:tblPr>
      <w:tblStyleRowBandSize w:val="1"/>
      <w:tblStyleColBandSize w:val="1"/>
      <w:tblCellMar>
        <w:left w:w="115" w:type="dxa"/>
        <w:right w:w="115" w:type="dxa"/>
      </w:tblCellMar>
    </w:tblPr>
  </w:style>
  <w:style w:type="table" w:customStyle="1" w:styleId="73">
    <w:name w:val="73"/>
    <w:basedOn w:val="TableauNormal"/>
    <w:tblPr>
      <w:tblStyleRowBandSize w:val="1"/>
      <w:tblStyleColBandSize w:val="1"/>
      <w:tblCellMar>
        <w:left w:w="115" w:type="dxa"/>
        <w:right w:w="115" w:type="dxa"/>
      </w:tblCellMar>
    </w:tblPr>
  </w:style>
  <w:style w:type="table" w:customStyle="1" w:styleId="72">
    <w:name w:val="72"/>
    <w:basedOn w:val="TableauNormal"/>
    <w:tblPr>
      <w:tblStyleRowBandSize w:val="1"/>
      <w:tblStyleColBandSize w:val="1"/>
      <w:tblCellMar>
        <w:left w:w="115" w:type="dxa"/>
        <w:right w:w="115" w:type="dxa"/>
      </w:tblCellMar>
    </w:tblPr>
  </w:style>
  <w:style w:type="table" w:customStyle="1" w:styleId="71">
    <w:name w:val="71"/>
    <w:basedOn w:val="TableauNormal"/>
    <w:tblPr>
      <w:tblStyleRowBandSize w:val="1"/>
      <w:tblStyleColBandSize w:val="1"/>
      <w:tblCellMar>
        <w:left w:w="115" w:type="dxa"/>
        <w:right w:w="115" w:type="dxa"/>
      </w:tblCellMar>
    </w:tblPr>
  </w:style>
  <w:style w:type="table" w:customStyle="1" w:styleId="70">
    <w:name w:val="70"/>
    <w:basedOn w:val="TableauNormal"/>
    <w:tblPr>
      <w:tblStyleRowBandSize w:val="1"/>
      <w:tblStyleColBandSize w:val="1"/>
      <w:tblCellMar>
        <w:left w:w="115" w:type="dxa"/>
        <w:right w:w="115" w:type="dxa"/>
      </w:tblCellMar>
    </w:tblPr>
  </w:style>
  <w:style w:type="table" w:customStyle="1" w:styleId="69">
    <w:name w:val="69"/>
    <w:basedOn w:val="TableauNormal"/>
    <w:tblPr>
      <w:tblStyleRowBandSize w:val="1"/>
      <w:tblStyleColBandSize w:val="1"/>
      <w:tblCellMar>
        <w:left w:w="115" w:type="dxa"/>
        <w:right w:w="115" w:type="dxa"/>
      </w:tblCellMar>
    </w:tblPr>
  </w:style>
  <w:style w:type="table" w:customStyle="1" w:styleId="68">
    <w:name w:val="68"/>
    <w:basedOn w:val="TableauNormal"/>
    <w:tblPr>
      <w:tblStyleRowBandSize w:val="1"/>
      <w:tblStyleColBandSize w:val="1"/>
      <w:tblCellMar>
        <w:left w:w="115" w:type="dxa"/>
        <w:right w:w="115" w:type="dxa"/>
      </w:tblCellMar>
    </w:tblPr>
  </w:style>
  <w:style w:type="character" w:styleId="Textedelespacerserv">
    <w:name w:val="Placeholder Text"/>
    <w:basedOn w:val="Policepardfaut"/>
    <w:uiPriority w:val="99"/>
    <w:semiHidden/>
    <w:rsid w:val="00FC76C9"/>
    <w:rPr>
      <w:color w:val="808080"/>
    </w:rPr>
  </w:style>
  <w:style w:type="paragraph" w:styleId="En-tte">
    <w:name w:val="header"/>
    <w:basedOn w:val="Normal"/>
    <w:link w:val="En-tteCar"/>
    <w:uiPriority w:val="99"/>
    <w:unhideWhenUsed/>
    <w:rsid w:val="004C1579"/>
    <w:pPr>
      <w:tabs>
        <w:tab w:val="center" w:pos="4680"/>
        <w:tab w:val="right" w:pos="9360"/>
      </w:tabs>
    </w:pPr>
  </w:style>
  <w:style w:type="character" w:customStyle="1" w:styleId="En-tteCar">
    <w:name w:val="En-tête Car"/>
    <w:basedOn w:val="Policepardfaut"/>
    <w:link w:val="En-tte"/>
    <w:uiPriority w:val="99"/>
    <w:rsid w:val="004C1579"/>
  </w:style>
  <w:style w:type="paragraph" w:styleId="Pieddepage">
    <w:name w:val="footer"/>
    <w:basedOn w:val="Normal"/>
    <w:link w:val="PieddepageCar"/>
    <w:uiPriority w:val="99"/>
    <w:unhideWhenUsed/>
    <w:rsid w:val="004C1579"/>
    <w:pPr>
      <w:tabs>
        <w:tab w:val="center" w:pos="4680"/>
        <w:tab w:val="right" w:pos="9360"/>
      </w:tabs>
    </w:pPr>
  </w:style>
  <w:style w:type="character" w:customStyle="1" w:styleId="PieddepageCar">
    <w:name w:val="Pied de page Car"/>
    <w:basedOn w:val="Policepardfaut"/>
    <w:link w:val="Pieddepage"/>
    <w:uiPriority w:val="99"/>
    <w:rsid w:val="004C1579"/>
  </w:style>
  <w:style w:type="character" w:styleId="Mention">
    <w:name w:val="Mention"/>
    <w:basedOn w:val="Policepardfaut"/>
    <w:uiPriority w:val="99"/>
    <w:unhideWhenUsed/>
    <w:rPr>
      <w:color w:val="2B579A"/>
      <w:shd w:val="clear" w:color="auto" w:fill="E6E6E6"/>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character" w:styleId="Lienhypertexte">
    <w:name w:val="Hyperlink"/>
    <w:basedOn w:val="Policepardfaut"/>
    <w:uiPriority w:val="99"/>
    <w:unhideWhenUsed/>
    <w:rsid w:val="00376010"/>
    <w:rPr>
      <w:color w:val="0000FF" w:themeColor="hyperlink"/>
      <w:u w:val="single"/>
    </w:rPr>
  </w:style>
  <w:style w:type="character" w:styleId="Mentionnonrsolue">
    <w:name w:val="Unresolved Mention"/>
    <w:basedOn w:val="Policepardfaut"/>
    <w:uiPriority w:val="99"/>
    <w:semiHidden/>
    <w:unhideWhenUsed/>
    <w:rsid w:val="00376010"/>
    <w:rPr>
      <w:color w:val="605E5C"/>
      <w:shd w:val="clear" w:color="auto" w:fill="E1DFDD"/>
    </w:rPr>
  </w:style>
  <w:style w:type="character" w:styleId="Lienhypertextesuivivisit">
    <w:name w:val="FollowedHyperlink"/>
    <w:basedOn w:val="Policepardfaut"/>
    <w:uiPriority w:val="99"/>
    <w:semiHidden/>
    <w:unhideWhenUsed/>
    <w:rsid w:val="00376010"/>
    <w:rPr>
      <w:color w:val="800080" w:themeColor="followedHyperlink"/>
      <w:u w:val="single"/>
    </w:rPr>
  </w:style>
  <w:style w:type="paragraph" w:styleId="Paragraphedeliste">
    <w:name w:val="List Paragraph"/>
    <w:aliases w:val="References,List Paragraph1,Bullets,Liste couleur - Accent 11,Liste couleur - Accent 111,Paragraphe  revu,List Paragraph (numbered (a)),Numbered List Paragraph,Liste 1,List Bullet Mary,Dot pt,Bullet Points,No Spacing1,Indicator Text,1"/>
    <w:basedOn w:val="Normal"/>
    <w:link w:val="ParagraphedelisteCar"/>
    <w:uiPriority w:val="34"/>
    <w:qFormat/>
    <w:rsid w:val="003577A1"/>
    <w:pPr>
      <w:ind w:left="720"/>
      <w:contextualSpacing/>
    </w:pPr>
  </w:style>
  <w:style w:type="paragraph" w:styleId="Objetducommentaire">
    <w:name w:val="annotation subject"/>
    <w:basedOn w:val="Commentaire"/>
    <w:next w:val="Commentaire"/>
    <w:link w:val="ObjetducommentaireCar"/>
    <w:uiPriority w:val="99"/>
    <w:semiHidden/>
    <w:unhideWhenUsed/>
    <w:rsid w:val="003577A1"/>
    <w:rPr>
      <w:b/>
      <w:bCs/>
    </w:rPr>
  </w:style>
  <w:style w:type="character" w:customStyle="1" w:styleId="ObjetducommentaireCar">
    <w:name w:val="Objet du commentaire Car"/>
    <w:basedOn w:val="CommentaireCar"/>
    <w:link w:val="Objetducommentaire"/>
    <w:uiPriority w:val="99"/>
    <w:semiHidden/>
    <w:rsid w:val="003577A1"/>
    <w:rPr>
      <w:b/>
      <w:bCs/>
      <w:sz w:val="20"/>
      <w:szCs w:val="20"/>
    </w:rPr>
  </w:style>
  <w:style w:type="paragraph" w:styleId="Rvision">
    <w:name w:val="Revision"/>
    <w:hidden/>
    <w:uiPriority w:val="99"/>
    <w:semiHidden/>
    <w:rsid w:val="003B0139"/>
    <w:pPr>
      <w:spacing w:after="0" w:line="240" w:lineRule="auto"/>
    </w:pPr>
  </w:style>
  <w:style w:type="paragraph" w:styleId="Notedebasdepage">
    <w:name w:val="footnote text"/>
    <w:basedOn w:val="Normal"/>
    <w:link w:val="NotedebasdepageCar"/>
    <w:uiPriority w:val="99"/>
    <w:semiHidden/>
    <w:unhideWhenUsed/>
    <w:rsid w:val="004D76E5"/>
    <w:rPr>
      <w:sz w:val="20"/>
      <w:szCs w:val="20"/>
    </w:rPr>
  </w:style>
  <w:style w:type="character" w:customStyle="1" w:styleId="NotedebasdepageCar">
    <w:name w:val="Note de bas de page Car"/>
    <w:basedOn w:val="Policepardfaut"/>
    <w:link w:val="Notedebasdepage"/>
    <w:uiPriority w:val="99"/>
    <w:semiHidden/>
    <w:rsid w:val="004D76E5"/>
    <w:rPr>
      <w:sz w:val="20"/>
      <w:szCs w:val="20"/>
    </w:rPr>
  </w:style>
  <w:style w:type="character" w:styleId="Appelnotedebasdep">
    <w:name w:val="footnote reference"/>
    <w:basedOn w:val="Policepardfaut"/>
    <w:uiPriority w:val="99"/>
    <w:semiHidden/>
    <w:unhideWhenUsed/>
    <w:rsid w:val="004D76E5"/>
    <w:rPr>
      <w:vertAlign w:val="superscript"/>
    </w:rPr>
  </w:style>
  <w:style w:type="table" w:customStyle="1" w:styleId="67">
    <w:name w:val="67"/>
    <w:basedOn w:val="TableauNormal"/>
    <w:tblPr>
      <w:tblStyleRowBandSize w:val="1"/>
      <w:tblStyleColBandSize w:val="1"/>
      <w:tblCellMar>
        <w:left w:w="115" w:type="dxa"/>
        <w:right w:w="115" w:type="dxa"/>
      </w:tblCellMar>
    </w:tblPr>
  </w:style>
  <w:style w:type="table" w:customStyle="1" w:styleId="66">
    <w:name w:val="66"/>
    <w:basedOn w:val="TableauNormal"/>
    <w:tblPr>
      <w:tblStyleRowBandSize w:val="1"/>
      <w:tblStyleColBandSize w:val="1"/>
      <w:tblCellMar>
        <w:left w:w="115" w:type="dxa"/>
        <w:right w:w="115" w:type="dxa"/>
      </w:tblCellMar>
    </w:tblPr>
  </w:style>
  <w:style w:type="table" w:customStyle="1" w:styleId="65">
    <w:name w:val="65"/>
    <w:basedOn w:val="TableauNormal"/>
    <w:tblPr>
      <w:tblStyleRowBandSize w:val="1"/>
      <w:tblStyleColBandSize w:val="1"/>
      <w:tblCellMar>
        <w:left w:w="115" w:type="dxa"/>
        <w:right w:w="115" w:type="dxa"/>
      </w:tblCellMar>
    </w:tblPr>
  </w:style>
  <w:style w:type="table" w:customStyle="1" w:styleId="64">
    <w:name w:val="64"/>
    <w:basedOn w:val="TableauNormal"/>
    <w:tblPr>
      <w:tblStyleRowBandSize w:val="1"/>
      <w:tblStyleColBandSize w:val="1"/>
      <w:tblCellMar>
        <w:left w:w="115" w:type="dxa"/>
        <w:right w:w="115" w:type="dxa"/>
      </w:tblCellMar>
    </w:tblPr>
  </w:style>
  <w:style w:type="table" w:customStyle="1" w:styleId="63">
    <w:name w:val="63"/>
    <w:basedOn w:val="TableauNormal"/>
    <w:tblPr>
      <w:tblStyleRowBandSize w:val="1"/>
      <w:tblStyleColBandSize w:val="1"/>
      <w:tblCellMar>
        <w:left w:w="115" w:type="dxa"/>
        <w:right w:w="115" w:type="dxa"/>
      </w:tblCellMar>
    </w:tblPr>
  </w:style>
  <w:style w:type="table" w:customStyle="1" w:styleId="62">
    <w:name w:val="62"/>
    <w:basedOn w:val="TableauNormal"/>
    <w:tblPr>
      <w:tblStyleRowBandSize w:val="1"/>
      <w:tblStyleColBandSize w:val="1"/>
      <w:tblCellMar>
        <w:left w:w="115" w:type="dxa"/>
        <w:right w:w="115" w:type="dxa"/>
      </w:tblCellMar>
    </w:tblPr>
  </w:style>
  <w:style w:type="table" w:customStyle="1" w:styleId="61">
    <w:name w:val="61"/>
    <w:basedOn w:val="TableauNormal"/>
    <w:tblPr>
      <w:tblStyleRowBandSize w:val="1"/>
      <w:tblStyleColBandSize w:val="1"/>
      <w:tblCellMar>
        <w:left w:w="115" w:type="dxa"/>
        <w:right w:w="115" w:type="dxa"/>
      </w:tblCellMar>
    </w:tblPr>
  </w:style>
  <w:style w:type="table" w:customStyle="1" w:styleId="60">
    <w:name w:val="60"/>
    <w:basedOn w:val="TableauNormal"/>
    <w:tblPr>
      <w:tblStyleRowBandSize w:val="1"/>
      <w:tblStyleColBandSize w:val="1"/>
      <w:tblCellMar>
        <w:left w:w="115" w:type="dxa"/>
        <w:right w:w="115" w:type="dxa"/>
      </w:tblCellMar>
    </w:tblPr>
  </w:style>
  <w:style w:type="table" w:customStyle="1" w:styleId="59">
    <w:name w:val="59"/>
    <w:basedOn w:val="TableauNormal"/>
    <w:tblPr>
      <w:tblStyleRowBandSize w:val="1"/>
      <w:tblStyleColBandSize w:val="1"/>
      <w:tblCellMar>
        <w:left w:w="115" w:type="dxa"/>
        <w:right w:w="115" w:type="dxa"/>
      </w:tblCellMar>
    </w:tblPr>
  </w:style>
  <w:style w:type="table" w:customStyle="1" w:styleId="58">
    <w:name w:val="58"/>
    <w:basedOn w:val="TableauNormal"/>
    <w:tblPr>
      <w:tblStyleRowBandSize w:val="1"/>
      <w:tblStyleColBandSize w:val="1"/>
      <w:tblCellMar>
        <w:left w:w="115" w:type="dxa"/>
        <w:right w:w="115" w:type="dxa"/>
      </w:tblCellMar>
    </w:tblPr>
  </w:style>
  <w:style w:type="table" w:customStyle="1" w:styleId="57">
    <w:name w:val="57"/>
    <w:basedOn w:val="TableauNormal"/>
    <w:tblPr>
      <w:tblStyleRowBandSize w:val="1"/>
      <w:tblStyleColBandSize w:val="1"/>
      <w:tblCellMar>
        <w:left w:w="115" w:type="dxa"/>
        <w:right w:w="115" w:type="dxa"/>
      </w:tblCellMar>
    </w:tblPr>
  </w:style>
  <w:style w:type="table" w:customStyle="1" w:styleId="56">
    <w:name w:val="56"/>
    <w:basedOn w:val="TableauNormal"/>
    <w:tblPr>
      <w:tblStyleRowBandSize w:val="1"/>
      <w:tblStyleColBandSize w:val="1"/>
      <w:tblCellMar>
        <w:top w:w="15" w:type="dxa"/>
        <w:left w:w="115" w:type="dxa"/>
        <w:bottom w:w="15" w:type="dxa"/>
        <w:right w:w="115" w:type="dxa"/>
      </w:tblCellMar>
    </w:tblPr>
  </w:style>
  <w:style w:type="table" w:customStyle="1" w:styleId="55">
    <w:name w:val="55"/>
    <w:basedOn w:val="TableauNormal"/>
    <w:tblPr>
      <w:tblStyleRowBandSize w:val="1"/>
      <w:tblStyleColBandSize w:val="1"/>
      <w:tblCellMar>
        <w:left w:w="115" w:type="dxa"/>
        <w:right w:w="115" w:type="dxa"/>
      </w:tblCellMar>
    </w:tblPr>
  </w:style>
  <w:style w:type="table" w:customStyle="1" w:styleId="54">
    <w:name w:val="54"/>
    <w:basedOn w:val="TableauNormal"/>
    <w:tblPr>
      <w:tblStyleRowBandSize w:val="1"/>
      <w:tblStyleColBandSize w:val="1"/>
      <w:tblCellMar>
        <w:left w:w="115" w:type="dxa"/>
        <w:right w:w="115" w:type="dxa"/>
      </w:tblCellMar>
    </w:tblPr>
  </w:style>
  <w:style w:type="table" w:customStyle="1" w:styleId="53">
    <w:name w:val="53"/>
    <w:basedOn w:val="TableauNormal"/>
    <w:tblPr>
      <w:tblStyleRowBandSize w:val="1"/>
      <w:tblStyleColBandSize w:val="1"/>
      <w:tblCellMar>
        <w:left w:w="115" w:type="dxa"/>
        <w:right w:w="115" w:type="dxa"/>
      </w:tblCellMar>
    </w:tblPr>
  </w:style>
  <w:style w:type="table" w:customStyle="1" w:styleId="52">
    <w:name w:val="52"/>
    <w:basedOn w:val="TableauNormal"/>
    <w:tblPr>
      <w:tblStyleRowBandSize w:val="1"/>
      <w:tblStyleColBandSize w:val="1"/>
      <w:tblCellMar>
        <w:left w:w="115" w:type="dxa"/>
        <w:right w:w="115" w:type="dxa"/>
      </w:tblCellMar>
    </w:tblPr>
  </w:style>
  <w:style w:type="table" w:customStyle="1" w:styleId="51">
    <w:name w:val="51"/>
    <w:basedOn w:val="TableauNormal"/>
    <w:tblPr>
      <w:tblStyleRowBandSize w:val="1"/>
      <w:tblStyleColBandSize w:val="1"/>
      <w:tblCellMar>
        <w:left w:w="115" w:type="dxa"/>
        <w:right w:w="115" w:type="dxa"/>
      </w:tblCellMar>
    </w:tblPr>
  </w:style>
  <w:style w:type="table" w:customStyle="1" w:styleId="50">
    <w:name w:val="50"/>
    <w:basedOn w:val="TableauNormal"/>
    <w:tblPr>
      <w:tblStyleRowBandSize w:val="1"/>
      <w:tblStyleColBandSize w:val="1"/>
      <w:tblCellMar>
        <w:left w:w="115" w:type="dxa"/>
        <w:right w:w="115" w:type="dxa"/>
      </w:tblCellMar>
    </w:tblPr>
  </w:style>
  <w:style w:type="table" w:customStyle="1" w:styleId="49">
    <w:name w:val="49"/>
    <w:basedOn w:val="TableauNormal"/>
    <w:tblPr>
      <w:tblStyleRowBandSize w:val="1"/>
      <w:tblStyleColBandSize w:val="1"/>
      <w:tblCellMar>
        <w:left w:w="115" w:type="dxa"/>
        <w:right w:w="115" w:type="dxa"/>
      </w:tblCellMar>
    </w:tblPr>
  </w:style>
  <w:style w:type="table" w:customStyle="1" w:styleId="48">
    <w:name w:val="48"/>
    <w:basedOn w:val="TableauNormal"/>
    <w:tblPr>
      <w:tblStyleRowBandSize w:val="1"/>
      <w:tblStyleColBandSize w:val="1"/>
      <w:tblCellMar>
        <w:left w:w="115" w:type="dxa"/>
        <w:right w:w="115" w:type="dxa"/>
      </w:tblCellMar>
    </w:tblPr>
  </w:style>
  <w:style w:type="table" w:customStyle="1" w:styleId="47">
    <w:name w:val="47"/>
    <w:basedOn w:val="TableauNormal"/>
    <w:tblPr>
      <w:tblStyleRowBandSize w:val="1"/>
      <w:tblStyleColBandSize w:val="1"/>
      <w:tblCellMar>
        <w:left w:w="115" w:type="dxa"/>
        <w:right w:w="115" w:type="dxa"/>
      </w:tblCellMar>
    </w:tblPr>
  </w:style>
  <w:style w:type="table" w:customStyle="1" w:styleId="46">
    <w:name w:val="46"/>
    <w:basedOn w:val="TableauNormal"/>
    <w:tblPr>
      <w:tblStyleRowBandSize w:val="1"/>
      <w:tblStyleColBandSize w:val="1"/>
      <w:tblCellMar>
        <w:left w:w="115" w:type="dxa"/>
        <w:right w:w="115" w:type="dxa"/>
      </w:tblCellMar>
    </w:tblPr>
  </w:style>
  <w:style w:type="table" w:customStyle="1" w:styleId="45">
    <w:name w:val="4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44">
    <w:name w:val="4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43">
    <w:name w:val="4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42">
    <w:name w:val="4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41">
    <w:name w:val="4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40">
    <w:name w:val="4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9">
    <w:name w:val="3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8">
    <w:name w:val="3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7">
    <w:name w:val="37"/>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6">
    <w:name w:val="3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5">
    <w:name w:val="3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4">
    <w:name w:val="3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3">
    <w:name w:val="3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2">
    <w:name w:val="3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1">
    <w:name w:val="3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0">
    <w:name w:val="3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9">
    <w:name w:val="2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8">
    <w:name w:val="2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7">
    <w:name w:val="27"/>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6">
    <w:name w:val="2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5">
    <w:name w:val="2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4">
    <w:name w:val="2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character" w:customStyle="1" w:styleId="wacimagecontainer">
    <w:name w:val="wacimagecontainer"/>
    <w:basedOn w:val="Policepardfaut"/>
    <w:rsid w:val="00FE7DDE"/>
  </w:style>
  <w:style w:type="paragraph" w:styleId="NormalWeb">
    <w:name w:val="Normal (Web)"/>
    <w:basedOn w:val="Normal"/>
    <w:uiPriority w:val="99"/>
    <w:semiHidden/>
    <w:unhideWhenUsed/>
    <w:rsid w:val="00062FC2"/>
    <w:pPr>
      <w:spacing w:before="100" w:beforeAutospacing="1" w:after="100" w:afterAutospacing="1"/>
    </w:pPr>
    <w:rPr>
      <w:lang w:val="en-GB"/>
    </w:rPr>
  </w:style>
  <w:style w:type="table" w:customStyle="1" w:styleId="23">
    <w:name w:val="2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2">
    <w:name w:val="2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1">
    <w:name w:val="2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0">
    <w:name w:val="2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9">
    <w:name w:val="1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8">
    <w:name w:val="1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7">
    <w:name w:val="17"/>
    <w:basedOn w:val="TableauNormal"/>
    <w:tblPr>
      <w:tblStyleRowBandSize w:val="1"/>
      <w:tblStyleColBandSize w:val="1"/>
      <w:tblCellMar>
        <w:left w:w="115" w:type="dxa"/>
        <w:right w:w="115" w:type="dxa"/>
      </w:tblCellMar>
    </w:tblPr>
  </w:style>
  <w:style w:type="table" w:customStyle="1" w:styleId="16">
    <w:name w:val="1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5">
    <w:name w:val="1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4">
    <w:name w:val="1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3">
    <w:name w:val="1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2">
    <w:name w:val="12"/>
    <w:basedOn w:val="TableauNormal"/>
    <w:tblPr>
      <w:tblStyleRowBandSize w:val="1"/>
      <w:tblStyleColBandSize w:val="1"/>
      <w:tblCellMar>
        <w:left w:w="115" w:type="dxa"/>
        <w:right w:w="115" w:type="dxa"/>
      </w:tblCellMar>
    </w:tblPr>
  </w:style>
  <w:style w:type="table" w:customStyle="1" w:styleId="11">
    <w:name w:val="1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10">
    <w:name w:val="1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9">
    <w:name w:val="9"/>
    <w:basedOn w:val="TableauNormal"/>
    <w:tblPr>
      <w:tblStyleRowBandSize w:val="1"/>
      <w:tblStyleColBandSize w:val="1"/>
      <w:tblCellMar>
        <w:left w:w="115" w:type="dxa"/>
        <w:right w:w="115" w:type="dxa"/>
      </w:tblCellMar>
    </w:tblPr>
  </w:style>
  <w:style w:type="table" w:customStyle="1" w:styleId="8">
    <w:name w:val="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7">
    <w:name w:val="7"/>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6">
    <w:name w:val="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5">
    <w:name w:val="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4">
    <w:name w:val="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3">
    <w:name w:val="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2">
    <w:name w:val="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paragraph" w:customStyle="1" w:styleId="Default">
    <w:name w:val="Default"/>
    <w:rsid w:val="009B5B9D"/>
    <w:pPr>
      <w:autoSpaceDE w:val="0"/>
      <w:autoSpaceDN w:val="0"/>
      <w:adjustRightInd w:val="0"/>
      <w:spacing w:after="0" w:line="240" w:lineRule="auto"/>
    </w:pPr>
    <w:rPr>
      <w:color w:val="000000"/>
      <w:sz w:val="24"/>
      <w:szCs w:val="24"/>
      <w:lang w:val="en-US"/>
    </w:rPr>
  </w:style>
  <w:style w:type="paragraph" w:styleId="Lgende">
    <w:name w:val="caption"/>
    <w:basedOn w:val="Normal"/>
    <w:next w:val="Normal"/>
    <w:uiPriority w:val="35"/>
    <w:unhideWhenUsed/>
    <w:qFormat/>
    <w:rsid w:val="00B669B6"/>
    <w:pPr>
      <w:spacing w:after="200"/>
    </w:pPr>
    <w:rPr>
      <w:rFonts w:ascii="Calibri" w:eastAsia="Calibri" w:hAnsi="Calibri" w:cs="Calibri"/>
      <w:i/>
      <w:iCs/>
      <w:color w:val="1F497D" w:themeColor="text2"/>
      <w:sz w:val="18"/>
      <w:szCs w:val="18"/>
      <w:lang w:eastAsia="fr-CD"/>
    </w:rPr>
  </w:style>
  <w:style w:type="character" w:customStyle="1" w:styleId="ParagraphedelisteCar">
    <w:name w:val="Paragraphe de liste Car"/>
    <w:aliases w:val="References Car,List Paragraph1 Car,Bullets Car,Liste couleur - Accent 11 Car,Liste couleur - Accent 111 Car,Paragraphe  revu Car,List Paragraph (numbered (a)) Car,Numbered List Paragraph Car,Liste 1 Car,List Bullet Mary Car,1 Car"/>
    <w:link w:val="Paragraphedeliste"/>
    <w:uiPriority w:val="34"/>
    <w:qFormat/>
    <w:locked/>
    <w:rsid w:val="001A0E1A"/>
    <w:rPr>
      <w:rFonts w:ascii="Times New Roman" w:eastAsia="Times New Roman" w:hAnsi="Times New Roman" w:cs="Times New Roman"/>
      <w:sz w:val="24"/>
      <w:szCs w:val="24"/>
      <w:lang w:eastAsia="en-US"/>
    </w:rPr>
  </w:style>
  <w:style w:type="character" w:customStyle="1" w:styleId="normaltextrun">
    <w:name w:val="normaltextrun"/>
    <w:basedOn w:val="Policepardfaut"/>
    <w:rsid w:val="001A0E1A"/>
  </w:style>
  <w:style w:type="character" w:customStyle="1" w:styleId="Titre7Car">
    <w:name w:val="Titre 7 Car"/>
    <w:basedOn w:val="Policepardfaut"/>
    <w:link w:val="Titre7"/>
    <w:uiPriority w:val="9"/>
    <w:semiHidden/>
    <w:rsid w:val="00A6240B"/>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Titre8Car">
    <w:name w:val="Titre 8 Car"/>
    <w:basedOn w:val="Policepardfaut"/>
    <w:link w:val="Titre8"/>
    <w:uiPriority w:val="9"/>
    <w:semiHidden/>
    <w:rsid w:val="00A6240B"/>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Titre9Car">
    <w:name w:val="Titre 9 Car"/>
    <w:basedOn w:val="Policepardfaut"/>
    <w:link w:val="Titre9"/>
    <w:uiPriority w:val="9"/>
    <w:semiHidden/>
    <w:rsid w:val="00A6240B"/>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customStyle="1" w:styleId="Titre1Car">
    <w:name w:val="Titre 1 Car"/>
    <w:basedOn w:val="Policepardfaut"/>
    <w:link w:val="Titre1"/>
    <w:uiPriority w:val="9"/>
    <w:rsid w:val="00A6240B"/>
    <w:rPr>
      <w:rFonts w:ascii="Times New Roman" w:eastAsia="Times New Roman" w:hAnsi="Times New Roman" w:cs="Times New Roman"/>
      <w:b/>
      <w:color w:val="0070C0"/>
      <w:sz w:val="24"/>
      <w:szCs w:val="24"/>
      <w:lang w:eastAsia="en-US"/>
    </w:rPr>
  </w:style>
  <w:style w:type="character" w:customStyle="1" w:styleId="Titre2Car">
    <w:name w:val="Titre 2 Car"/>
    <w:basedOn w:val="Policepardfaut"/>
    <w:link w:val="Titre2"/>
    <w:uiPriority w:val="9"/>
    <w:rsid w:val="00A6240B"/>
    <w:rPr>
      <w:rFonts w:ascii="Times New Roman" w:eastAsia="Times New Roman" w:hAnsi="Times New Roman" w:cs="Times New Roman"/>
      <w:color w:val="2F5496"/>
      <w:sz w:val="24"/>
      <w:szCs w:val="24"/>
      <w:lang w:eastAsia="en-US"/>
    </w:rPr>
  </w:style>
  <w:style w:type="character" w:customStyle="1" w:styleId="Titre3Car">
    <w:name w:val="Titre 3 Car"/>
    <w:basedOn w:val="Policepardfaut"/>
    <w:link w:val="Titre3"/>
    <w:uiPriority w:val="9"/>
    <w:semiHidden/>
    <w:rsid w:val="00A6240B"/>
    <w:rPr>
      <w:rFonts w:ascii="Times New Roman" w:eastAsia="Times New Roman" w:hAnsi="Times New Roman" w:cs="Times New Roman"/>
      <w:color w:val="1F3763"/>
      <w:sz w:val="24"/>
      <w:szCs w:val="24"/>
      <w:lang w:eastAsia="en-US"/>
    </w:rPr>
  </w:style>
  <w:style w:type="character" w:customStyle="1" w:styleId="Titre4Car">
    <w:name w:val="Titre 4 Car"/>
    <w:basedOn w:val="Policepardfaut"/>
    <w:link w:val="Titre4"/>
    <w:uiPriority w:val="9"/>
    <w:semiHidden/>
    <w:rsid w:val="00A6240B"/>
    <w:rPr>
      <w:rFonts w:ascii="Times New Roman" w:eastAsia="Times New Roman" w:hAnsi="Times New Roman" w:cs="Times New Roman"/>
      <w:b/>
      <w:color w:val="000000"/>
      <w:sz w:val="21"/>
      <w:szCs w:val="21"/>
      <w:lang w:eastAsia="en-US"/>
    </w:rPr>
  </w:style>
  <w:style w:type="character" w:customStyle="1" w:styleId="Titre5Car">
    <w:name w:val="Titre 5 Car"/>
    <w:basedOn w:val="Policepardfaut"/>
    <w:link w:val="Titre5"/>
    <w:uiPriority w:val="9"/>
    <w:semiHidden/>
    <w:rsid w:val="00A6240B"/>
    <w:rPr>
      <w:rFonts w:ascii="Times New Roman" w:eastAsia="Times New Roman" w:hAnsi="Times New Roman" w:cs="Times New Roman"/>
      <w:b/>
      <w:color w:val="000000"/>
      <w:sz w:val="21"/>
      <w:szCs w:val="21"/>
      <w:lang w:eastAsia="en-US"/>
    </w:rPr>
  </w:style>
  <w:style w:type="character" w:customStyle="1" w:styleId="Titre6Car">
    <w:name w:val="Titre 6 Car"/>
    <w:basedOn w:val="Policepardfaut"/>
    <w:link w:val="Titre6"/>
    <w:uiPriority w:val="9"/>
    <w:semiHidden/>
    <w:rsid w:val="00A6240B"/>
    <w:rPr>
      <w:rFonts w:ascii="Times New Roman" w:eastAsia="Times New Roman" w:hAnsi="Times New Roman" w:cs="Times New Roman"/>
      <w:color w:val="1F3763"/>
      <w:sz w:val="21"/>
      <w:szCs w:val="21"/>
      <w:lang w:eastAsia="en-US"/>
    </w:rPr>
  </w:style>
  <w:style w:type="character" w:customStyle="1" w:styleId="TitreCar">
    <w:name w:val="Titre Car"/>
    <w:basedOn w:val="Policepardfaut"/>
    <w:link w:val="Titre"/>
    <w:uiPriority w:val="10"/>
    <w:rsid w:val="00A6240B"/>
    <w:rPr>
      <w:rFonts w:ascii="Times New Roman" w:eastAsia="Times New Roman" w:hAnsi="Times New Roman" w:cs="Times New Roman"/>
      <w:b/>
      <w:color w:val="000000"/>
      <w:sz w:val="72"/>
      <w:szCs w:val="72"/>
      <w:lang w:eastAsia="en-US"/>
    </w:rPr>
  </w:style>
  <w:style w:type="character" w:customStyle="1" w:styleId="Sous-titreCar">
    <w:name w:val="Sous-titre Car"/>
    <w:basedOn w:val="Policepardfaut"/>
    <w:link w:val="Sous-titre"/>
    <w:uiPriority w:val="11"/>
    <w:rsid w:val="00A6240B"/>
    <w:rPr>
      <w:rFonts w:ascii="Georgia" w:eastAsia="Georgia" w:hAnsi="Georgia" w:cs="Georgia"/>
      <w:i/>
      <w:color w:val="666666"/>
      <w:sz w:val="48"/>
      <w:szCs w:val="48"/>
      <w:lang w:eastAsia="en-US"/>
    </w:rPr>
  </w:style>
  <w:style w:type="paragraph" w:styleId="Citation">
    <w:name w:val="Quote"/>
    <w:basedOn w:val="Normal"/>
    <w:next w:val="Normal"/>
    <w:link w:val="CitationCar"/>
    <w:uiPriority w:val="29"/>
    <w:qFormat/>
    <w:rsid w:val="00A6240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A6240B"/>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Accentuationintense">
    <w:name w:val="Intense Emphasis"/>
    <w:basedOn w:val="Policepardfaut"/>
    <w:uiPriority w:val="21"/>
    <w:qFormat/>
    <w:rsid w:val="00A6240B"/>
    <w:rPr>
      <w:i/>
      <w:iCs/>
      <w:color w:val="365F91" w:themeColor="accent1" w:themeShade="BF"/>
    </w:rPr>
  </w:style>
  <w:style w:type="paragraph" w:styleId="Citationintense">
    <w:name w:val="Intense Quote"/>
    <w:basedOn w:val="Normal"/>
    <w:next w:val="Normal"/>
    <w:link w:val="CitationintenseCar"/>
    <w:uiPriority w:val="30"/>
    <w:qFormat/>
    <w:rsid w:val="00A6240B"/>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CitationintenseCar">
    <w:name w:val="Citation intense Car"/>
    <w:basedOn w:val="Policepardfaut"/>
    <w:link w:val="Citationintense"/>
    <w:uiPriority w:val="30"/>
    <w:rsid w:val="00A6240B"/>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Rfrenceintense">
    <w:name w:val="Intense Reference"/>
    <w:basedOn w:val="Policepardfaut"/>
    <w:uiPriority w:val="32"/>
    <w:qFormat/>
    <w:rsid w:val="00A6240B"/>
    <w:rPr>
      <w:b/>
      <w:bCs/>
      <w:smallCaps/>
      <w:color w:val="365F91" w:themeColor="accent1" w:themeShade="BF"/>
      <w:spacing w:val="5"/>
    </w:rPr>
  </w:style>
  <w:style w:type="table" w:styleId="Grilledutableau">
    <w:name w:val="Table Grid"/>
    <w:basedOn w:val="TableauNormal"/>
    <w:uiPriority w:val="39"/>
    <w:rsid w:val="00A6240B"/>
    <w:pPr>
      <w:spacing w:after="0" w:line="240" w:lineRule="auto"/>
    </w:pPr>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111A58"/>
    <w:pPr>
      <w:spacing w:before="100" w:beforeAutospacing="1" w:after="100" w:afterAutospacing="1"/>
    </w:pPr>
  </w:style>
  <w:style w:type="paragraph" w:customStyle="1" w:styleId="xl65">
    <w:name w:val="xl65"/>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rPr>
  </w:style>
  <w:style w:type="paragraph" w:customStyle="1" w:styleId="xl66">
    <w:name w:val="xl66"/>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rPr>
  </w:style>
  <w:style w:type="paragraph" w:customStyle="1" w:styleId="xl67">
    <w:name w:val="xl67"/>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rPr>
  </w:style>
  <w:style w:type="paragraph" w:customStyle="1" w:styleId="xl68">
    <w:name w:val="xl68"/>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rPr>
  </w:style>
  <w:style w:type="paragraph" w:customStyle="1" w:styleId="xl69">
    <w:name w:val="xl69"/>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rPr>
  </w:style>
  <w:style w:type="paragraph" w:customStyle="1" w:styleId="xl70">
    <w:name w:val="xl70"/>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rPr>
  </w:style>
  <w:style w:type="paragraph" w:customStyle="1" w:styleId="xl71">
    <w:name w:val="xl71"/>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8"/>
      <w:szCs w:val="18"/>
    </w:rPr>
  </w:style>
  <w:style w:type="paragraph" w:customStyle="1" w:styleId="xl72">
    <w:name w:val="xl72"/>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8"/>
      <w:szCs w:val="18"/>
    </w:rPr>
  </w:style>
  <w:style w:type="paragraph" w:customStyle="1" w:styleId="xl73">
    <w:name w:val="xl73"/>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8"/>
      <w:szCs w:val="18"/>
    </w:rPr>
  </w:style>
  <w:style w:type="paragraph" w:customStyle="1" w:styleId="xl74">
    <w:name w:val="xl74"/>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8"/>
      <w:szCs w:val="18"/>
    </w:rPr>
  </w:style>
  <w:style w:type="paragraph" w:customStyle="1" w:styleId="xl75">
    <w:name w:val="xl75"/>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textAlignment w:val="center"/>
    </w:pPr>
    <w:rPr>
      <w:rFonts w:ascii="Calibri" w:hAnsi="Calibri" w:cs="Calibri"/>
      <w:sz w:val="18"/>
      <w:szCs w:val="18"/>
    </w:rPr>
  </w:style>
  <w:style w:type="paragraph" w:customStyle="1" w:styleId="xl76">
    <w:name w:val="xl76"/>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Calibri" w:hAnsi="Calibri" w:cs="Calibri"/>
      <w:sz w:val="18"/>
      <w:szCs w:val="18"/>
    </w:rPr>
  </w:style>
  <w:style w:type="paragraph" w:customStyle="1" w:styleId="xl77">
    <w:name w:val="xl77"/>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Calibri" w:hAnsi="Calibri" w:cs="Calibri"/>
      <w:sz w:val="18"/>
      <w:szCs w:val="18"/>
    </w:rPr>
  </w:style>
  <w:style w:type="paragraph" w:customStyle="1" w:styleId="xl78">
    <w:name w:val="xl78"/>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ascii="Calibri" w:hAnsi="Calibri" w:cs="Calibri"/>
      <w:sz w:val="18"/>
      <w:szCs w:val="18"/>
    </w:rPr>
  </w:style>
  <w:style w:type="paragraph" w:customStyle="1" w:styleId="xl79">
    <w:name w:val="xl79"/>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textAlignment w:val="center"/>
    </w:pPr>
    <w:rPr>
      <w:rFonts w:ascii="Calibri" w:hAnsi="Calibri" w:cs="Calibri"/>
      <w:sz w:val="18"/>
      <w:szCs w:val="18"/>
    </w:rPr>
  </w:style>
  <w:style w:type="paragraph" w:customStyle="1" w:styleId="xl80">
    <w:name w:val="xl80"/>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ascii="Calibri" w:hAnsi="Calibri" w:cs="Calibri"/>
      <w:sz w:val="18"/>
      <w:szCs w:val="18"/>
    </w:rPr>
  </w:style>
  <w:style w:type="paragraph" w:customStyle="1" w:styleId="xl81">
    <w:name w:val="xl81"/>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ascii="Calibri" w:hAnsi="Calibri" w:cs="Calibri"/>
      <w:sz w:val="18"/>
      <w:szCs w:val="18"/>
    </w:rPr>
  </w:style>
  <w:style w:type="paragraph" w:customStyle="1" w:styleId="xl82">
    <w:name w:val="xl82"/>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ascii="Calibri" w:hAnsi="Calibri" w:cs="Calibri"/>
      <w:sz w:val="18"/>
      <w:szCs w:val="18"/>
    </w:rPr>
  </w:style>
  <w:style w:type="paragraph" w:customStyle="1" w:styleId="xl83">
    <w:name w:val="xl83"/>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ascii="Calibri" w:hAnsi="Calibri" w:cs="Calibri"/>
      <w:sz w:val="18"/>
      <w:szCs w:val="18"/>
    </w:rPr>
  </w:style>
  <w:style w:type="paragraph" w:customStyle="1" w:styleId="xl84">
    <w:name w:val="xl84"/>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jc w:val="center"/>
      <w:textAlignment w:val="center"/>
    </w:pPr>
    <w:rPr>
      <w:rFonts w:ascii="Calibri" w:hAnsi="Calibri" w:cs="Calibri"/>
      <w:sz w:val="18"/>
      <w:szCs w:val="18"/>
    </w:rPr>
  </w:style>
  <w:style w:type="paragraph" w:customStyle="1" w:styleId="xl85">
    <w:name w:val="xl85"/>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Calibri" w:hAnsi="Calibri" w:cs="Calibri"/>
      <w:sz w:val="18"/>
      <w:szCs w:val="18"/>
    </w:rPr>
  </w:style>
  <w:style w:type="paragraph" w:customStyle="1" w:styleId="xl86">
    <w:name w:val="xl86"/>
    <w:basedOn w:val="Normal"/>
    <w:rsid w:val="00111A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87">
    <w:name w:val="xl87"/>
    <w:basedOn w:val="Normal"/>
    <w:rsid w:val="00111A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88">
    <w:name w:val="xl88"/>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textAlignment w:val="center"/>
    </w:pPr>
    <w:rPr>
      <w:rFonts w:ascii="Calibri" w:hAnsi="Calibri" w:cs="Calibri"/>
      <w:sz w:val="18"/>
      <w:szCs w:val="18"/>
    </w:rPr>
  </w:style>
  <w:style w:type="paragraph" w:customStyle="1" w:styleId="xl89">
    <w:name w:val="xl89"/>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textAlignment w:val="center"/>
    </w:pPr>
    <w:rPr>
      <w:rFonts w:ascii="Calibri" w:hAnsi="Calibri" w:cs="Calibri"/>
      <w:sz w:val="18"/>
      <w:szCs w:val="18"/>
    </w:rPr>
  </w:style>
  <w:style w:type="paragraph" w:customStyle="1" w:styleId="xl90">
    <w:name w:val="xl90"/>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textAlignment w:val="center"/>
    </w:pPr>
    <w:rPr>
      <w:rFonts w:ascii="Calibri" w:hAnsi="Calibri" w:cs="Calibri"/>
      <w:sz w:val="18"/>
      <w:szCs w:val="18"/>
    </w:rPr>
  </w:style>
  <w:style w:type="paragraph" w:customStyle="1" w:styleId="xl91">
    <w:name w:val="xl91"/>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rPr>
  </w:style>
  <w:style w:type="paragraph" w:customStyle="1" w:styleId="xl92">
    <w:name w:val="xl92"/>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8"/>
      <w:szCs w:val="18"/>
    </w:rPr>
  </w:style>
  <w:style w:type="paragraph" w:customStyle="1" w:styleId="xl93">
    <w:name w:val="xl93"/>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textAlignment w:val="center"/>
    </w:pPr>
    <w:rPr>
      <w:rFonts w:ascii="Calibri" w:hAnsi="Calibri" w:cs="Calibri"/>
      <w:sz w:val="18"/>
      <w:szCs w:val="18"/>
    </w:rPr>
  </w:style>
  <w:style w:type="paragraph" w:customStyle="1" w:styleId="xl94">
    <w:name w:val="xl94"/>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textAlignment w:val="center"/>
    </w:pPr>
    <w:rPr>
      <w:rFonts w:ascii="Calibri" w:hAnsi="Calibri" w:cs="Calibri"/>
      <w:sz w:val="18"/>
      <w:szCs w:val="18"/>
    </w:rPr>
  </w:style>
  <w:style w:type="paragraph" w:customStyle="1" w:styleId="xl95">
    <w:name w:val="xl95"/>
    <w:basedOn w:val="Normal"/>
    <w:rsid w:val="00111A58"/>
    <w:pPr>
      <w:pBdr>
        <w:top w:val="single" w:sz="4" w:space="0" w:color="auto"/>
        <w:left w:val="single" w:sz="4" w:space="0" w:color="auto"/>
        <w:bottom w:val="single" w:sz="4" w:space="0" w:color="auto"/>
        <w:right w:val="single" w:sz="4" w:space="0" w:color="auto"/>
      </w:pBdr>
      <w:shd w:val="clear" w:color="000000" w:fill="D9E2F3"/>
      <w:spacing w:before="100" w:beforeAutospacing="1" w:after="100" w:afterAutospacing="1"/>
      <w:textAlignment w:val="center"/>
    </w:pPr>
    <w:rPr>
      <w:rFonts w:ascii="Calibri" w:hAnsi="Calibri" w:cs="Calibri"/>
      <w:sz w:val="18"/>
      <w:szCs w:val="18"/>
    </w:rPr>
  </w:style>
  <w:style w:type="paragraph" w:customStyle="1" w:styleId="xl96">
    <w:name w:val="xl96"/>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textAlignment w:val="center"/>
    </w:pPr>
    <w:rPr>
      <w:rFonts w:ascii="Calibri" w:hAnsi="Calibri" w:cs="Calibri"/>
      <w:sz w:val="18"/>
      <w:szCs w:val="18"/>
    </w:rPr>
  </w:style>
  <w:style w:type="paragraph" w:customStyle="1" w:styleId="xl97">
    <w:name w:val="xl97"/>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rPr>
  </w:style>
  <w:style w:type="paragraph" w:customStyle="1" w:styleId="xl98">
    <w:name w:val="xl98"/>
    <w:basedOn w:val="Normal"/>
    <w:rsid w:val="00111A58"/>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6"/>
      <w:szCs w:val="16"/>
    </w:rPr>
  </w:style>
  <w:style w:type="paragraph" w:customStyle="1" w:styleId="xl99">
    <w:name w:val="xl99"/>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textAlignment w:val="center"/>
    </w:pPr>
    <w:rPr>
      <w:rFonts w:ascii="Calibri" w:hAnsi="Calibri" w:cs="Calibri"/>
      <w:sz w:val="18"/>
      <w:szCs w:val="18"/>
    </w:rPr>
  </w:style>
  <w:style w:type="paragraph" w:customStyle="1" w:styleId="xl100">
    <w:name w:val="xl100"/>
    <w:basedOn w:val="Normal"/>
    <w:rsid w:val="00111A58"/>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jc w:val="center"/>
      <w:textAlignment w:val="center"/>
    </w:pPr>
    <w:rPr>
      <w:rFonts w:ascii="Calibri" w:hAnsi="Calibri" w:cs="Calibri"/>
      <w:sz w:val="18"/>
      <w:szCs w:val="18"/>
    </w:rPr>
  </w:style>
  <w:style w:type="paragraph" w:customStyle="1" w:styleId="xl101">
    <w:name w:val="xl101"/>
    <w:basedOn w:val="Normal"/>
    <w:rsid w:val="00111A5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16"/>
      <w:szCs w:val="16"/>
    </w:rPr>
  </w:style>
  <w:style w:type="paragraph" w:customStyle="1" w:styleId="xl102">
    <w:name w:val="xl102"/>
    <w:basedOn w:val="Normal"/>
    <w:rsid w:val="00111A58"/>
    <w:pPr>
      <w:spacing w:before="100" w:beforeAutospacing="1" w:after="100" w:afterAutospacing="1"/>
      <w:textAlignment w:val="center"/>
    </w:pPr>
  </w:style>
  <w:style w:type="paragraph" w:customStyle="1" w:styleId="xl103">
    <w:name w:val="xl103"/>
    <w:basedOn w:val="Normal"/>
    <w:rsid w:val="00111A58"/>
    <w:pPr>
      <w:spacing w:before="100" w:beforeAutospacing="1" w:after="100" w:afterAutospacing="1"/>
      <w:jc w:val="center"/>
      <w:textAlignment w:val="center"/>
    </w:pPr>
  </w:style>
  <w:style w:type="paragraph" w:customStyle="1" w:styleId="xl104">
    <w:name w:val="xl104"/>
    <w:basedOn w:val="Normal"/>
    <w:rsid w:val="00111A58"/>
    <w:pPr>
      <w:spacing w:before="100" w:beforeAutospacing="1" w:after="100" w:afterAutospacing="1"/>
      <w:textAlignment w:val="center"/>
    </w:pPr>
  </w:style>
  <w:style w:type="paragraph" w:customStyle="1" w:styleId="xl105">
    <w:name w:val="xl105"/>
    <w:basedOn w:val="Normal"/>
    <w:rsid w:val="00111A58"/>
    <w:pPr>
      <w:spacing w:before="100" w:beforeAutospacing="1" w:after="100" w:afterAutospacing="1"/>
      <w:jc w:val="center"/>
      <w:textAlignment w:val="center"/>
    </w:pPr>
  </w:style>
  <w:style w:type="paragraph" w:customStyle="1" w:styleId="xl106">
    <w:name w:val="xl106"/>
    <w:basedOn w:val="Normal"/>
    <w:rsid w:val="00111A58"/>
    <w:pPr>
      <w:spacing w:before="100" w:beforeAutospacing="1" w:after="100" w:afterAutospacing="1"/>
      <w:jc w:val="center"/>
      <w:textAlignment w:val="center"/>
    </w:pPr>
  </w:style>
  <w:style w:type="paragraph" w:customStyle="1" w:styleId="xl107">
    <w:name w:val="xl107"/>
    <w:basedOn w:val="Normal"/>
    <w:rsid w:val="00111A58"/>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jc w:val="center"/>
      <w:textAlignment w:val="center"/>
    </w:pPr>
    <w:rPr>
      <w:rFonts w:ascii="Calibri" w:hAnsi="Calibri" w:cs="Calibri"/>
      <w:sz w:val="18"/>
      <w:szCs w:val="18"/>
    </w:rPr>
  </w:style>
  <w:style w:type="paragraph" w:customStyle="1" w:styleId="xl108">
    <w:name w:val="xl108"/>
    <w:basedOn w:val="Normal"/>
    <w:rsid w:val="00111A58"/>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jc w:val="center"/>
      <w:textAlignment w:val="center"/>
    </w:pPr>
    <w:rPr>
      <w:rFonts w:ascii="Calibri" w:hAnsi="Calibri" w:cs="Calibri"/>
      <w:sz w:val="18"/>
      <w:szCs w:val="18"/>
    </w:rPr>
  </w:style>
  <w:style w:type="paragraph" w:customStyle="1" w:styleId="xl109">
    <w:name w:val="xl109"/>
    <w:basedOn w:val="Normal"/>
    <w:rsid w:val="00111A58"/>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jc w:val="center"/>
      <w:textAlignment w:val="center"/>
    </w:pPr>
    <w:rPr>
      <w:rFonts w:ascii="Calibri" w:hAnsi="Calibri" w:cs="Calibri"/>
      <w:sz w:val="18"/>
      <w:szCs w:val="18"/>
    </w:rPr>
  </w:style>
  <w:style w:type="paragraph" w:customStyle="1" w:styleId="xl110">
    <w:name w:val="xl110"/>
    <w:basedOn w:val="Normal"/>
    <w:rsid w:val="00111A58"/>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textAlignment w:val="center"/>
    </w:pPr>
    <w:rPr>
      <w:rFonts w:ascii="Calibri" w:hAnsi="Calibri" w:cs="Calibri"/>
      <w:sz w:val="18"/>
      <w:szCs w:val="18"/>
    </w:rPr>
  </w:style>
  <w:style w:type="paragraph" w:customStyle="1" w:styleId="xl111">
    <w:name w:val="xl111"/>
    <w:basedOn w:val="Normal"/>
    <w:rsid w:val="004C7D63"/>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6"/>
      <w:szCs w:val="16"/>
    </w:rPr>
  </w:style>
  <w:style w:type="paragraph" w:customStyle="1" w:styleId="xl112">
    <w:name w:val="xl112"/>
    <w:basedOn w:val="Normal"/>
    <w:rsid w:val="004C7D63"/>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jc w:val="center"/>
      <w:textAlignment w:val="center"/>
    </w:pPr>
    <w:rPr>
      <w:rFonts w:ascii="Calibri" w:hAnsi="Calibri" w:cs="Calibri"/>
      <w:sz w:val="16"/>
      <w:szCs w:val="16"/>
    </w:rPr>
  </w:style>
  <w:style w:type="paragraph" w:customStyle="1" w:styleId="xl113">
    <w:name w:val="xl113"/>
    <w:basedOn w:val="Normal"/>
    <w:rsid w:val="004C7D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14">
    <w:name w:val="xl114"/>
    <w:basedOn w:val="Normal"/>
    <w:rsid w:val="004C7D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115">
    <w:name w:val="xl115"/>
    <w:basedOn w:val="Normal"/>
    <w:rsid w:val="004C7D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16"/>
      <w:szCs w:val="16"/>
    </w:rPr>
  </w:style>
  <w:style w:type="paragraph" w:styleId="En-ttedetabledesmatires">
    <w:name w:val="TOC Heading"/>
    <w:basedOn w:val="Titre1"/>
    <w:next w:val="Normal"/>
    <w:uiPriority w:val="39"/>
    <w:unhideWhenUsed/>
    <w:qFormat/>
    <w:rsid w:val="00174FA1"/>
    <w:pPr>
      <w:pBdr>
        <w:top w:val="none" w:sz="0" w:space="0" w:color="auto"/>
        <w:left w:val="none" w:sz="0" w:space="0" w:color="auto"/>
        <w:bottom w:val="none" w:sz="0" w:space="0" w:color="auto"/>
        <w:right w:val="none" w:sz="0" w:space="0" w:color="auto"/>
        <w:between w:val="none" w:sz="0" w:space="0" w:color="auto"/>
      </w:pBdr>
      <w:spacing w:before="240" w:after="0" w:line="259" w:lineRule="auto"/>
      <w:ind w:left="0" w:right="0" w:firstLine="0"/>
      <w:jc w:val="left"/>
      <w:outlineLvl w:val="9"/>
    </w:pPr>
    <w:rPr>
      <w:rFonts w:asciiTheme="majorHAnsi" w:eastAsiaTheme="majorEastAsia" w:hAnsiTheme="majorHAnsi" w:cstheme="majorBidi"/>
      <w:b w:val="0"/>
      <w:color w:val="365F91" w:themeColor="accent1" w:themeShade="BF"/>
      <w:sz w:val="32"/>
      <w:szCs w:val="32"/>
      <w:lang w:eastAsia="fr-CD"/>
    </w:rPr>
  </w:style>
  <w:style w:type="paragraph" w:styleId="TM1">
    <w:name w:val="toc 1"/>
    <w:basedOn w:val="Normal"/>
    <w:next w:val="Normal"/>
    <w:autoRedefine/>
    <w:uiPriority w:val="39"/>
    <w:unhideWhenUsed/>
    <w:rsid w:val="00174FA1"/>
    <w:pPr>
      <w:spacing w:after="100"/>
    </w:pPr>
  </w:style>
  <w:style w:type="paragraph" w:styleId="TM2">
    <w:name w:val="toc 2"/>
    <w:basedOn w:val="Normal"/>
    <w:next w:val="Normal"/>
    <w:autoRedefine/>
    <w:uiPriority w:val="39"/>
    <w:unhideWhenUsed/>
    <w:rsid w:val="00174FA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277">
      <w:bodyDiv w:val="1"/>
      <w:marLeft w:val="0"/>
      <w:marRight w:val="0"/>
      <w:marTop w:val="0"/>
      <w:marBottom w:val="0"/>
      <w:divBdr>
        <w:top w:val="none" w:sz="0" w:space="0" w:color="auto"/>
        <w:left w:val="none" w:sz="0" w:space="0" w:color="auto"/>
        <w:bottom w:val="none" w:sz="0" w:space="0" w:color="auto"/>
        <w:right w:val="none" w:sz="0" w:space="0" w:color="auto"/>
      </w:divBdr>
    </w:div>
    <w:div w:id="42295717">
      <w:bodyDiv w:val="1"/>
      <w:marLeft w:val="0"/>
      <w:marRight w:val="0"/>
      <w:marTop w:val="0"/>
      <w:marBottom w:val="0"/>
      <w:divBdr>
        <w:top w:val="none" w:sz="0" w:space="0" w:color="auto"/>
        <w:left w:val="none" w:sz="0" w:space="0" w:color="auto"/>
        <w:bottom w:val="none" w:sz="0" w:space="0" w:color="auto"/>
        <w:right w:val="none" w:sz="0" w:space="0" w:color="auto"/>
      </w:divBdr>
    </w:div>
    <w:div w:id="47799547">
      <w:bodyDiv w:val="1"/>
      <w:marLeft w:val="0"/>
      <w:marRight w:val="0"/>
      <w:marTop w:val="0"/>
      <w:marBottom w:val="0"/>
      <w:divBdr>
        <w:top w:val="none" w:sz="0" w:space="0" w:color="auto"/>
        <w:left w:val="none" w:sz="0" w:space="0" w:color="auto"/>
        <w:bottom w:val="none" w:sz="0" w:space="0" w:color="auto"/>
        <w:right w:val="none" w:sz="0" w:space="0" w:color="auto"/>
      </w:divBdr>
    </w:div>
    <w:div w:id="149978831">
      <w:bodyDiv w:val="1"/>
      <w:marLeft w:val="0"/>
      <w:marRight w:val="0"/>
      <w:marTop w:val="0"/>
      <w:marBottom w:val="0"/>
      <w:divBdr>
        <w:top w:val="none" w:sz="0" w:space="0" w:color="auto"/>
        <w:left w:val="none" w:sz="0" w:space="0" w:color="auto"/>
        <w:bottom w:val="none" w:sz="0" w:space="0" w:color="auto"/>
        <w:right w:val="none" w:sz="0" w:space="0" w:color="auto"/>
      </w:divBdr>
    </w:div>
    <w:div w:id="183714268">
      <w:bodyDiv w:val="1"/>
      <w:marLeft w:val="0"/>
      <w:marRight w:val="0"/>
      <w:marTop w:val="0"/>
      <w:marBottom w:val="0"/>
      <w:divBdr>
        <w:top w:val="none" w:sz="0" w:space="0" w:color="auto"/>
        <w:left w:val="none" w:sz="0" w:space="0" w:color="auto"/>
        <w:bottom w:val="none" w:sz="0" w:space="0" w:color="auto"/>
        <w:right w:val="none" w:sz="0" w:space="0" w:color="auto"/>
      </w:divBdr>
    </w:div>
    <w:div w:id="282542407">
      <w:bodyDiv w:val="1"/>
      <w:marLeft w:val="0"/>
      <w:marRight w:val="0"/>
      <w:marTop w:val="0"/>
      <w:marBottom w:val="0"/>
      <w:divBdr>
        <w:top w:val="none" w:sz="0" w:space="0" w:color="auto"/>
        <w:left w:val="none" w:sz="0" w:space="0" w:color="auto"/>
        <w:bottom w:val="none" w:sz="0" w:space="0" w:color="auto"/>
        <w:right w:val="none" w:sz="0" w:space="0" w:color="auto"/>
      </w:divBdr>
    </w:div>
    <w:div w:id="296186748">
      <w:bodyDiv w:val="1"/>
      <w:marLeft w:val="0"/>
      <w:marRight w:val="0"/>
      <w:marTop w:val="0"/>
      <w:marBottom w:val="0"/>
      <w:divBdr>
        <w:top w:val="none" w:sz="0" w:space="0" w:color="auto"/>
        <w:left w:val="none" w:sz="0" w:space="0" w:color="auto"/>
        <w:bottom w:val="none" w:sz="0" w:space="0" w:color="auto"/>
        <w:right w:val="none" w:sz="0" w:space="0" w:color="auto"/>
      </w:divBdr>
    </w:div>
    <w:div w:id="300774769">
      <w:bodyDiv w:val="1"/>
      <w:marLeft w:val="0"/>
      <w:marRight w:val="0"/>
      <w:marTop w:val="0"/>
      <w:marBottom w:val="0"/>
      <w:divBdr>
        <w:top w:val="none" w:sz="0" w:space="0" w:color="auto"/>
        <w:left w:val="none" w:sz="0" w:space="0" w:color="auto"/>
        <w:bottom w:val="none" w:sz="0" w:space="0" w:color="auto"/>
        <w:right w:val="none" w:sz="0" w:space="0" w:color="auto"/>
      </w:divBdr>
    </w:div>
    <w:div w:id="438257624">
      <w:bodyDiv w:val="1"/>
      <w:marLeft w:val="0"/>
      <w:marRight w:val="0"/>
      <w:marTop w:val="0"/>
      <w:marBottom w:val="0"/>
      <w:divBdr>
        <w:top w:val="none" w:sz="0" w:space="0" w:color="auto"/>
        <w:left w:val="none" w:sz="0" w:space="0" w:color="auto"/>
        <w:bottom w:val="none" w:sz="0" w:space="0" w:color="auto"/>
        <w:right w:val="none" w:sz="0" w:space="0" w:color="auto"/>
      </w:divBdr>
    </w:div>
    <w:div w:id="453257002">
      <w:bodyDiv w:val="1"/>
      <w:marLeft w:val="0"/>
      <w:marRight w:val="0"/>
      <w:marTop w:val="0"/>
      <w:marBottom w:val="0"/>
      <w:divBdr>
        <w:top w:val="none" w:sz="0" w:space="0" w:color="auto"/>
        <w:left w:val="none" w:sz="0" w:space="0" w:color="auto"/>
        <w:bottom w:val="none" w:sz="0" w:space="0" w:color="auto"/>
        <w:right w:val="none" w:sz="0" w:space="0" w:color="auto"/>
      </w:divBdr>
    </w:div>
    <w:div w:id="562568745">
      <w:bodyDiv w:val="1"/>
      <w:marLeft w:val="0"/>
      <w:marRight w:val="0"/>
      <w:marTop w:val="0"/>
      <w:marBottom w:val="0"/>
      <w:divBdr>
        <w:top w:val="none" w:sz="0" w:space="0" w:color="auto"/>
        <w:left w:val="none" w:sz="0" w:space="0" w:color="auto"/>
        <w:bottom w:val="none" w:sz="0" w:space="0" w:color="auto"/>
        <w:right w:val="none" w:sz="0" w:space="0" w:color="auto"/>
      </w:divBdr>
    </w:div>
    <w:div w:id="616372956">
      <w:bodyDiv w:val="1"/>
      <w:marLeft w:val="0"/>
      <w:marRight w:val="0"/>
      <w:marTop w:val="0"/>
      <w:marBottom w:val="0"/>
      <w:divBdr>
        <w:top w:val="none" w:sz="0" w:space="0" w:color="auto"/>
        <w:left w:val="none" w:sz="0" w:space="0" w:color="auto"/>
        <w:bottom w:val="none" w:sz="0" w:space="0" w:color="auto"/>
        <w:right w:val="none" w:sz="0" w:space="0" w:color="auto"/>
      </w:divBdr>
    </w:div>
    <w:div w:id="796529159">
      <w:bodyDiv w:val="1"/>
      <w:marLeft w:val="0"/>
      <w:marRight w:val="0"/>
      <w:marTop w:val="0"/>
      <w:marBottom w:val="0"/>
      <w:divBdr>
        <w:top w:val="none" w:sz="0" w:space="0" w:color="auto"/>
        <w:left w:val="none" w:sz="0" w:space="0" w:color="auto"/>
        <w:bottom w:val="none" w:sz="0" w:space="0" w:color="auto"/>
        <w:right w:val="none" w:sz="0" w:space="0" w:color="auto"/>
      </w:divBdr>
    </w:div>
    <w:div w:id="918978502">
      <w:bodyDiv w:val="1"/>
      <w:marLeft w:val="0"/>
      <w:marRight w:val="0"/>
      <w:marTop w:val="0"/>
      <w:marBottom w:val="0"/>
      <w:divBdr>
        <w:top w:val="none" w:sz="0" w:space="0" w:color="auto"/>
        <w:left w:val="none" w:sz="0" w:space="0" w:color="auto"/>
        <w:bottom w:val="none" w:sz="0" w:space="0" w:color="auto"/>
        <w:right w:val="none" w:sz="0" w:space="0" w:color="auto"/>
      </w:divBdr>
    </w:div>
    <w:div w:id="983392046">
      <w:bodyDiv w:val="1"/>
      <w:marLeft w:val="0"/>
      <w:marRight w:val="0"/>
      <w:marTop w:val="0"/>
      <w:marBottom w:val="0"/>
      <w:divBdr>
        <w:top w:val="none" w:sz="0" w:space="0" w:color="auto"/>
        <w:left w:val="none" w:sz="0" w:space="0" w:color="auto"/>
        <w:bottom w:val="none" w:sz="0" w:space="0" w:color="auto"/>
        <w:right w:val="none" w:sz="0" w:space="0" w:color="auto"/>
      </w:divBdr>
    </w:div>
    <w:div w:id="1116756147">
      <w:bodyDiv w:val="1"/>
      <w:marLeft w:val="0"/>
      <w:marRight w:val="0"/>
      <w:marTop w:val="0"/>
      <w:marBottom w:val="0"/>
      <w:divBdr>
        <w:top w:val="none" w:sz="0" w:space="0" w:color="auto"/>
        <w:left w:val="none" w:sz="0" w:space="0" w:color="auto"/>
        <w:bottom w:val="none" w:sz="0" w:space="0" w:color="auto"/>
        <w:right w:val="none" w:sz="0" w:space="0" w:color="auto"/>
      </w:divBdr>
    </w:div>
    <w:div w:id="1262299919">
      <w:bodyDiv w:val="1"/>
      <w:marLeft w:val="0"/>
      <w:marRight w:val="0"/>
      <w:marTop w:val="0"/>
      <w:marBottom w:val="0"/>
      <w:divBdr>
        <w:top w:val="none" w:sz="0" w:space="0" w:color="auto"/>
        <w:left w:val="none" w:sz="0" w:space="0" w:color="auto"/>
        <w:bottom w:val="none" w:sz="0" w:space="0" w:color="auto"/>
        <w:right w:val="none" w:sz="0" w:space="0" w:color="auto"/>
      </w:divBdr>
    </w:div>
    <w:div w:id="1270354173">
      <w:bodyDiv w:val="1"/>
      <w:marLeft w:val="0"/>
      <w:marRight w:val="0"/>
      <w:marTop w:val="0"/>
      <w:marBottom w:val="0"/>
      <w:divBdr>
        <w:top w:val="none" w:sz="0" w:space="0" w:color="auto"/>
        <w:left w:val="none" w:sz="0" w:space="0" w:color="auto"/>
        <w:bottom w:val="none" w:sz="0" w:space="0" w:color="auto"/>
        <w:right w:val="none" w:sz="0" w:space="0" w:color="auto"/>
      </w:divBdr>
    </w:div>
    <w:div w:id="1522233035">
      <w:bodyDiv w:val="1"/>
      <w:marLeft w:val="0"/>
      <w:marRight w:val="0"/>
      <w:marTop w:val="0"/>
      <w:marBottom w:val="0"/>
      <w:divBdr>
        <w:top w:val="none" w:sz="0" w:space="0" w:color="auto"/>
        <w:left w:val="none" w:sz="0" w:space="0" w:color="auto"/>
        <w:bottom w:val="none" w:sz="0" w:space="0" w:color="auto"/>
        <w:right w:val="none" w:sz="0" w:space="0" w:color="auto"/>
      </w:divBdr>
    </w:div>
    <w:div w:id="1595242892">
      <w:bodyDiv w:val="1"/>
      <w:marLeft w:val="0"/>
      <w:marRight w:val="0"/>
      <w:marTop w:val="0"/>
      <w:marBottom w:val="0"/>
      <w:divBdr>
        <w:top w:val="none" w:sz="0" w:space="0" w:color="auto"/>
        <w:left w:val="none" w:sz="0" w:space="0" w:color="auto"/>
        <w:bottom w:val="none" w:sz="0" w:space="0" w:color="auto"/>
        <w:right w:val="none" w:sz="0" w:space="0" w:color="auto"/>
      </w:divBdr>
    </w:div>
    <w:div w:id="1595742200">
      <w:bodyDiv w:val="1"/>
      <w:marLeft w:val="0"/>
      <w:marRight w:val="0"/>
      <w:marTop w:val="0"/>
      <w:marBottom w:val="0"/>
      <w:divBdr>
        <w:top w:val="none" w:sz="0" w:space="0" w:color="auto"/>
        <w:left w:val="none" w:sz="0" w:space="0" w:color="auto"/>
        <w:bottom w:val="none" w:sz="0" w:space="0" w:color="auto"/>
        <w:right w:val="none" w:sz="0" w:space="0" w:color="auto"/>
      </w:divBdr>
    </w:div>
    <w:div w:id="1605066367">
      <w:bodyDiv w:val="1"/>
      <w:marLeft w:val="0"/>
      <w:marRight w:val="0"/>
      <w:marTop w:val="0"/>
      <w:marBottom w:val="0"/>
      <w:divBdr>
        <w:top w:val="none" w:sz="0" w:space="0" w:color="auto"/>
        <w:left w:val="none" w:sz="0" w:space="0" w:color="auto"/>
        <w:bottom w:val="none" w:sz="0" w:space="0" w:color="auto"/>
        <w:right w:val="none" w:sz="0" w:space="0" w:color="auto"/>
      </w:divBdr>
    </w:div>
    <w:div w:id="1674796536">
      <w:bodyDiv w:val="1"/>
      <w:marLeft w:val="0"/>
      <w:marRight w:val="0"/>
      <w:marTop w:val="0"/>
      <w:marBottom w:val="0"/>
      <w:divBdr>
        <w:top w:val="none" w:sz="0" w:space="0" w:color="auto"/>
        <w:left w:val="none" w:sz="0" w:space="0" w:color="auto"/>
        <w:bottom w:val="none" w:sz="0" w:space="0" w:color="auto"/>
        <w:right w:val="none" w:sz="0" w:space="0" w:color="auto"/>
      </w:divBdr>
    </w:div>
    <w:div w:id="1680541112">
      <w:bodyDiv w:val="1"/>
      <w:marLeft w:val="0"/>
      <w:marRight w:val="0"/>
      <w:marTop w:val="0"/>
      <w:marBottom w:val="0"/>
      <w:divBdr>
        <w:top w:val="none" w:sz="0" w:space="0" w:color="auto"/>
        <w:left w:val="none" w:sz="0" w:space="0" w:color="auto"/>
        <w:bottom w:val="none" w:sz="0" w:space="0" w:color="auto"/>
        <w:right w:val="none" w:sz="0" w:space="0" w:color="auto"/>
      </w:divBdr>
    </w:div>
    <w:div w:id="1682275782">
      <w:bodyDiv w:val="1"/>
      <w:marLeft w:val="0"/>
      <w:marRight w:val="0"/>
      <w:marTop w:val="0"/>
      <w:marBottom w:val="0"/>
      <w:divBdr>
        <w:top w:val="none" w:sz="0" w:space="0" w:color="auto"/>
        <w:left w:val="none" w:sz="0" w:space="0" w:color="auto"/>
        <w:bottom w:val="none" w:sz="0" w:space="0" w:color="auto"/>
        <w:right w:val="none" w:sz="0" w:space="0" w:color="auto"/>
      </w:divBdr>
    </w:div>
    <w:div w:id="1719862204">
      <w:bodyDiv w:val="1"/>
      <w:marLeft w:val="0"/>
      <w:marRight w:val="0"/>
      <w:marTop w:val="0"/>
      <w:marBottom w:val="0"/>
      <w:divBdr>
        <w:top w:val="none" w:sz="0" w:space="0" w:color="auto"/>
        <w:left w:val="none" w:sz="0" w:space="0" w:color="auto"/>
        <w:bottom w:val="none" w:sz="0" w:space="0" w:color="auto"/>
        <w:right w:val="none" w:sz="0" w:space="0" w:color="auto"/>
      </w:divBdr>
    </w:div>
    <w:div w:id="1803384072">
      <w:bodyDiv w:val="1"/>
      <w:marLeft w:val="0"/>
      <w:marRight w:val="0"/>
      <w:marTop w:val="0"/>
      <w:marBottom w:val="0"/>
      <w:divBdr>
        <w:top w:val="none" w:sz="0" w:space="0" w:color="auto"/>
        <w:left w:val="none" w:sz="0" w:space="0" w:color="auto"/>
        <w:bottom w:val="none" w:sz="0" w:space="0" w:color="auto"/>
        <w:right w:val="none" w:sz="0" w:space="0" w:color="auto"/>
      </w:divBdr>
    </w:div>
    <w:div w:id="1828477903">
      <w:bodyDiv w:val="1"/>
      <w:marLeft w:val="0"/>
      <w:marRight w:val="0"/>
      <w:marTop w:val="0"/>
      <w:marBottom w:val="0"/>
      <w:divBdr>
        <w:top w:val="none" w:sz="0" w:space="0" w:color="auto"/>
        <w:left w:val="none" w:sz="0" w:space="0" w:color="auto"/>
        <w:bottom w:val="none" w:sz="0" w:space="0" w:color="auto"/>
        <w:right w:val="none" w:sz="0" w:space="0" w:color="auto"/>
      </w:divBdr>
    </w:div>
    <w:div w:id="1951543458">
      <w:bodyDiv w:val="1"/>
      <w:marLeft w:val="0"/>
      <w:marRight w:val="0"/>
      <w:marTop w:val="0"/>
      <w:marBottom w:val="0"/>
      <w:divBdr>
        <w:top w:val="none" w:sz="0" w:space="0" w:color="auto"/>
        <w:left w:val="none" w:sz="0" w:space="0" w:color="auto"/>
        <w:bottom w:val="none" w:sz="0" w:space="0" w:color="auto"/>
        <w:right w:val="none" w:sz="0" w:space="0" w:color="auto"/>
      </w:divBdr>
    </w:div>
    <w:div w:id="2032493566">
      <w:bodyDiv w:val="1"/>
      <w:marLeft w:val="0"/>
      <w:marRight w:val="0"/>
      <w:marTop w:val="0"/>
      <w:marBottom w:val="0"/>
      <w:divBdr>
        <w:top w:val="none" w:sz="0" w:space="0" w:color="auto"/>
        <w:left w:val="none" w:sz="0" w:space="0" w:color="auto"/>
        <w:bottom w:val="none" w:sz="0" w:space="0" w:color="auto"/>
        <w:right w:val="none" w:sz="0" w:space="0" w:color="auto"/>
      </w:divBdr>
    </w:div>
    <w:div w:id="2106879003">
      <w:bodyDiv w:val="1"/>
      <w:marLeft w:val="0"/>
      <w:marRight w:val="0"/>
      <w:marTop w:val="0"/>
      <w:marBottom w:val="0"/>
      <w:divBdr>
        <w:top w:val="none" w:sz="0" w:space="0" w:color="auto"/>
        <w:left w:val="none" w:sz="0" w:space="0" w:color="auto"/>
        <w:bottom w:val="none" w:sz="0" w:space="0" w:color="auto"/>
        <w:right w:val="none" w:sz="0" w:space="0" w:color="auto"/>
      </w:divBdr>
    </w:div>
    <w:div w:id="2118255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drive/folders/1U88FbnK6LORYsDSIV_oz7dz-_UnNinaj?usp=drive_link" TargetMode="External"/><Relationship Id="rId21" Type="http://schemas.openxmlformats.org/officeDocument/2006/relationships/hyperlink" Target="https://presidence.cd/uploads/files/639489a685502dffb426bd837072605d.pdf" TargetMode="External"/><Relationship Id="rId63" Type="http://schemas.openxmlformats.org/officeDocument/2006/relationships/hyperlink" Target="https://laprosperite.top/index.php/categories/la-prosperite/nation/plan-et-cad-rdc-guylain-nyembo-enclenche-le-processus-delaboration-de-la-politique-nationale-de-population" TargetMode="External"/><Relationship Id="rId159" Type="http://schemas.openxmlformats.org/officeDocument/2006/relationships/hyperlink" Target="https://drive.google.com/file/d/1pudhKtTFc31CwgXkRRmW69aXPghDNHDn/view?usp=drive_link" TargetMode="External"/><Relationship Id="rId170" Type="http://schemas.openxmlformats.org/officeDocument/2006/relationships/hyperlink" Target="https://docs.google.com/document/d/1EGXVIc1C45rh_feDNdaPCyWsMbDfHHig/edit?usp=drive_link&amp;ouid=108778412236978298707&amp;rtpof=true&amp;sd=true" TargetMode="External"/><Relationship Id="rId191" Type="http://schemas.openxmlformats.org/officeDocument/2006/relationships/hyperlink" Target="https://drive.google.com/file/d/1LPrOeXfGqL-RfkS3yFMDwbtcwaMGUl-A/view?usp=drive_link" TargetMode="External"/><Relationship Id="rId205" Type="http://schemas.openxmlformats.org/officeDocument/2006/relationships/hyperlink" Target="https://drive.google.com/file/d/15Ovv1G1RGTuWaFuhDdKD9lZcGWp-Skh6/view?usp=drive_link" TargetMode="External"/><Relationship Id="rId226" Type="http://schemas.openxmlformats.org/officeDocument/2006/relationships/hyperlink" Target="https://drive.google.com/file/d/1hP-k7gqQcqiy3PXVYViJnRSPvUDIYcjx/view?usp=drive_link" TargetMode="External"/><Relationship Id="rId247" Type="http://schemas.openxmlformats.org/officeDocument/2006/relationships/hyperlink" Target="https://drive.google.com/file/d/16_Epbi3V1u-9yOOuEHLgw2R_aL_ejdFl/view?usp=drive_link" TargetMode="External"/><Relationship Id="rId107" Type="http://schemas.openxmlformats.org/officeDocument/2006/relationships/hyperlink" Target="https://docs.google.com/document/d/10cjky8sTYkBFf9AtiwbynmwxeU4c1XF_/edit?usp=drive_link&amp;ouid=108778412236978298707&amp;rtpof=true&amp;sd=true,%20https://docs.google.com/document/d/1qrNnglAQ-dPxqZCaLk5lgnpLgww_rFh4/edit?usp=drive_link&amp;ouid=108778412236978298707&amp;rtpof=true&amp;sd=true,%20https://docs.google.com/document/d/1jdOGz6VoQ2DAZisZ_nvuv4w69OK8jmn2/edit?usp=drive_link&amp;ouid=108778412236978298707&amp;rtpof=true&amp;sd=true,%20https://docs.google.com/document/d/1TCBrVa9sDBz5F9falnLVROvkl-oeiJMj/edit?usp=drive_link&amp;ouid=108778412236978298707&amp;rtpof=true&amp;sd=true,%20https://docs.google.com/document/d/1Vrg2hioPEaT85XU4YzUy3n11QU-8SZGp/edit?usp=drive_link&amp;ouid=108778412236978298707&amp;rtpof=true&amp;sd=true,%20https://docs.google.com/document/d/13IoOPi7Ph02cdZoq4piWLNETf53-6BN0/edit?usp=drive_link&amp;ouid=108778412236978298707&amp;rtpof=true&amp;sd=true,%20https://docs.google.com/document/d/1JDeMUTwxpBgPT212dkoMtZ0tHILGpbrE/edit?usp=drive_link&amp;ouid=108778412236978298707&amp;rtpof=true&amp;sd=true,%20https://drive.google.com/file/d/1bTwofPMWIjKjV70wsydBsByK-XHQ-q3U/view?usp=drive_link,%20https://drive.google.com/file/d/1vE9Y_4Fd8Jo5o89-EqsZTYwpZwoqLYMd/view?usp=drive_link,%20https://drive.google.com/file/d/19uENxR_v3GQT7rM_olEm0C0NWyAd6UvX/view?usp=drive_link,%20https://drive.google.com/file/d/1-G4VfKM34fGKvDawOMLF3ByGxHFy-V_o/view?usp=drive_link" TargetMode="External"/><Relationship Id="rId11" Type="http://schemas.openxmlformats.org/officeDocument/2006/relationships/hyperlink" Target="https://drive.google.com/drive/folders/1VklJbDlhN8eyJUNNlaOjpUm5IB2ayyTo" TargetMode="External"/><Relationship Id="rId32" Type="http://schemas.openxmlformats.org/officeDocument/2006/relationships/image" Target="media/image6.jpeg"/><Relationship Id="rId53" Type="http://schemas.openxmlformats.org/officeDocument/2006/relationships/hyperlink" Target="https://www.itierdc.net/commander/" TargetMode="External"/><Relationship Id="rId74" Type="http://schemas.openxmlformats.org/officeDocument/2006/relationships/hyperlink" Target="https://drive.google.com/drive/folders/1GYgxdGJZ43thvhpXoYDr7NeELxyrAhqi?usp=drive_link" TargetMode="External"/><Relationship Id="rId128" Type="http://schemas.openxmlformats.org/officeDocument/2006/relationships/hyperlink" Target="https://drive.google.com/file/d/1fqAH8TTnoC6LbupXj7TrkpdMDGx-QOcR/view?usp=drive_link" TargetMode="External"/><Relationship Id="rId149" Type="http://schemas.openxmlformats.org/officeDocument/2006/relationships/hyperlink" Target="https://drive.google.com/file/d/1VPDrQFaWa7Dw12QAJ-CrbHHklyO325rU/view?usp=drive_link" TargetMode="External"/><Relationship Id="rId5" Type="http://schemas.openxmlformats.org/officeDocument/2006/relationships/settings" Target="settings.xml"/><Relationship Id="rId95" Type="http://schemas.openxmlformats.org/officeDocument/2006/relationships/hyperlink" Target="https://drive.google.com/file/d/1XYOcbjbeRE9dX37PfjDavCtG3AuZwvgn/view?usp=drive_link" TargetMode="External"/><Relationship Id="rId160" Type="http://schemas.openxmlformats.org/officeDocument/2006/relationships/hyperlink" Target="https://drive.google.com/file/d/1PciSUkoq6vdx-ADr992xboPG2BHLSotD/view?usp=drive_link,%20https://drive.google.com/file/d/1ERCFIqtgB-_3oYoTwZ7nX_1dnMpCRJL6/view?usp=drive_link,%20https://drive.google.com/file/d/19m4slZNwtDe8wrEuwHyyMQfnD6uZDUyI/view?usp=drive_link,%20https://drive.google.com/file/d/1qYZvlJBWeeRihc3rNeBP0G3rfK4xOJdf/view?usp=drive_link" TargetMode="External"/><Relationship Id="rId181" Type="http://schemas.openxmlformats.org/officeDocument/2006/relationships/hyperlink" Target="https://drive.google.com/file/d/16EsF28pX21-TbBD7El-vjWzwhjt4apxy/view?usp=drive_link" TargetMode="External"/><Relationship Id="rId216" Type="http://schemas.openxmlformats.org/officeDocument/2006/relationships/hyperlink" Target="https://drive.google.com/file/d/12JOeNwNXInTkMmwv5hbT2C_L8MNkMsE6/view?usp=drive_link" TargetMode="External"/><Relationship Id="rId237" Type="http://schemas.openxmlformats.org/officeDocument/2006/relationships/hyperlink" Target="https://drive.google.com/file/d/1am22ZYkzXVg9dq9LorYbkr3hPQhjBDCG/view?usp=drive_link" TargetMode="External"/><Relationship Id="rId258" Type="http://schemas.openxmlformats.org/officeDocument/2006/relationships/glossaryDocument" Target="glossary/document.xml"/><Relationship Id="rId22" Type="http://schemas.openxmlformats.org/officeDocument/2006/relationships/hyperlink" Target="https://datawarehouse.ctcpm.cd/" TargetMode="External"/><Relationship Id="rId43" Type="http://schemas.openxmlformats.org/officeDocument/2006/relationships/image" Target="media/image13.jpeg"/><Relationship Id="rId64" Type="http://schemas.openxmlformats.org/officeDocument/2006/relationships/hyperlink" Target="https://coulisses.net/kasai-central-des-leaders-communautaires-renforcent-leurs-capacites-pour-lelaboration-de-la-politique-nationale-de-la-population/" TargetMode="External"/><Relationship Id="rId118" Type="http://schemas.openxmlformats.org/officeDocument/2006/relationships/hyperlink" Target="https://drive.google.com/file/d/1XDmAeQC142FGCt1GiURFJA9zqy-DtPKM/view?usp=drive_link" TargetMode="External"/><Relationship Id="rId139" Type="http://schemas.openxmlformats.org/officeDocument/2006/relationships/hyperlink" Target="https://docs.google.com/spreadsheets/d/1uk-YYNBZSY48K6xK_dTT7IBcoNoWzR4W/edit?usp=drive_link&amp;ouid=108778412236978298707&amp;rtpof=true&amp;sd=true" TargetMode="External"/><Relationship Id="rId85" Type="http://schemas.openxmlformats.org/officeDocument/2006/relationships/hyperlink" Target="https://drive.google.com/file/d/1v0_VRbRN6FvzaFckUbQ0-MTeywuc5CyA/view?usp=drive_link" TargetMode="External"/><Relationship Id="rId150" Type="http://schemas.openxmlformats.org/officeDocument/2006/relationships/hyperlink" Target="https://drive.google.com/file/d/1Hf1oFvzD122i-ydAppmBTNhTTGYhWwsk/view?usp=drive_link" TargetMode="External"/><Relationship Id="rId171" Type="http://schemas.openxmlformats.org/officeDocument/2006/relationships/hyperlink" Target="https://drive.google.com/file/d/18ABiXmbD8MW5D1JK3RKbn-6RviHydyx0/view?usp=drive_link" TargetMode="External"/><Relationship Id="rId192" Type="http://schemas.openxmlformats.org/officeDocument/2006/relationships/hyperlink" Target="https://drive.google.com/drive/folders/1F8DvClpNacfwbIqa-eAtfQTzzwFHGFiv?usp=drive_link" TargetMode="External"/><Relationship Id="rId206" Type="http://schemas.openxmlformats.org/officeDocument/2006/relationships/hyperlink" Target="https://drive.google.com/file/d/1XtxEhtItpCKGGhjmcZKnADe-eN_H4T3i/view?usp=drive_link" TargetMode="External"/><Relationship Id="rId227" Type="http://schemas.openxmlformats.org/officeDocument/2006/relationships/hyperlink" Target="https://drive.google.com/file/d/15W_bVpeRtabLzxDkfJMNxyGBquht5H1G/view?usp=drive_link,%20https://drive.google.com/file/d/1__Bajm_068MxDlyJ0m26aVyyOuIDWYa0/view?usp=drive_link" TargetMode="External"/><Relationship Id="rId248" Type="http://schemas.openxmlformats.org/officeDocument/2006/relationships/hyperlink" Target="https://drive.google.com/file/d/1gvqJHXiqvLJfk0rwDFyaJfDLF7k0yoKh/view?usp=drive_link" TargetMode="External"/><Relationship Id="rId12" Type="http://schemas.openxmlformats.org/officeDocument/2006/relationships/hyperlink" Target="https://docs.google.com/spreadsheets/d/1IwSKio9cn5oHL-7K66LmLzZy8_jKZTO0/edit?usp=drive_link&amp;ouid=108778412236978298707&amp;rtpof=true&amp;sd=true" TargetMode="External"/><Relationship Id="rId33" Type="http://schemas.openxmlformats.org/officeDocument/2006/relationships/image" Target="media/image7.jpeg"/><Relationship Id="rId108" Type="http://schemas.openxmlformats.org/officeDocument/2006/relationships/hyperlink" Target="https://drive.google.com/drive/folders/1kwSl8a8p0INu2BOpmbj3pIkblFuiG4Sq?usp=drive_link" TargetMode="External"/><Relationship Id="rId129" Type="http://schemas.openxmlformats.org/officeDocument/2006/relationships/hyperlink" Target="https://drive.google.com/file/d/1g49e0QjYhlXj_IU8leGkORiOfhvOV8MA/view?usp=drive_link" TargetMode="External"/><Relationship Id="rId54" Type="http://schemas.openxmlformats.org/officeDocument/2006/relationships/hyperlink" Target="https://acecd.cd/events/event/2/organisation-des-ateliers-au-sein-de-lace" TargetMode="External"/><Relationship Id="rId75" Type="http://schemas.openxmlformats.org/officeDocument/2006/relationships/hyperlink" Target="https://drive.google.com/drive/folders/1wcV4HHnZzxdthiI-qh0uTT_BbLPERM03?usp=drive_link" TargetMode="External"/><Relationship Id="rId96" Type="http://schemas.openxmlformats.org/officeDocument/2006/relationships/hyperlink" Target="https://drive.google.com/file/d/1bSwERf78oSZqsFWWdhgDW_uXS_zXDVIn/view?usp=drive_link" TargetMode="External"/><Relationship Id="rId140" Type="http://schemas.openxmlformats.org/officeDocument/2006/relationships/hyperlink" Target="https://docs.google.com/document/d/1A0QDnl0ODTTntdyHKXKGCyOglX3PlV2W/edit?usp=drive_link&amp;ouid=108778412236978298707&amp;rtpof=true&amp;sd=true" TargetMode="External"/><Relationship Id="rId161" Type="http://schemas.openxmlformats.org/officeDocument/2006/relationships/hyperlink" Target="https://drive.google.com/file/d/1U1ZuWzGi5U7d80ArIXXnOl6w7NGqac1U/view?usp=drive_link" TargetMode="External"/><Relationship Id="rId182" Type="http://schemas.openxmlformats.org/officeDocument/2006/relationships/hyperlink" Target="https://drive.google.com/file/d/1UbqJGNFnaSl-yKPUYY6w6AeDSrzSa0UU/view?usp=drive_link" TargetMode="External"/><Relationship Id="rId217" Type="http://schemas.openxmlformats.org/officeDocument/2006/relationships/hyperlink" Target="https://drive.google.com/drive/folders/1pi90aOTO3h2kHcpyyFqnearlPx6IlBuS?usp=drive_link" TargetMode="External"/><Relationship Id="rId6" Type="http://schemas.openxmlformats.org/officeDocument/2006/relationships/webSettings" Target="webSettings.xml"/><Relationship Id="rId238" Type="http://schemas.openxmlformats.org/officeDocument/2006/relationships/hyperlink" Target="https://drive.google.com/drive/folders/15r2EREyxd7NJlYD0n_FYCTSvToVzjBIa?usp=drive_link,%20https://drive.google.com/drive/folders/1lh9owHuy_BVfIVBMi6oVtl0uhCMGhzyX?usp=drive_link,%20https://drive.google.com/drive/folders/1GsLSw0shSWE03df5VAvE_z5-mC29k5a6?usp=drive_link,%20https://drive.google.com/drive/folders/1vOq5BYGIXa-KPgti_hwsWIzsuSNQqc6g?usp=drive_link,%20https://drive.google.com/drive/folders/1-_Fn7HiQLtb4HFiy63y4HC5ULVEsiyiQ?usp=drive_link,%20https://drive.google.com/drive/folders/11Gi1F7ht5n5VnhM-wi5viZOHXZA0u6fv?usp=drive_link,%20https://drive.google.com/drive/folders/12XUDf-8Yn5w_uFyiGPwe9hSiZxisiTbl?usp=drive_link,%20https://drive.google.com/drive/folders/1YPrBrynOd2zN0dNZ7nVA5xbF6hvLod9-?usp=drive_link" TargetMode="External"/><Relationship Id="rId259" Type="http://schemas.openxmlformats.org/officeDocument/2006/relationships/theme" Target="theme/theme1.xml"/><Relationship Id="rId23" Type="http://schemas.openxmlformats.org/officeDocument/2006/relationships/hyperlink" Target="https://datawarehouse.ctcpm.cd/emine/cadre/juridique/contrat/principal/statistique/statc" TargetMode="External"/><Relationship Id="rId119" Type="http://schemas.openxmlformats.org/officeDocument/2006/relationships/hyperlink" Target="https://docs.google.com/document/d/1v2smePQN2Qzhhml8BVVPrxaC8YdK02ui/edit?usp=drive_link&amp;ouid=108778412236978298707&amp;rtpof=true&amp;sd=true" TargetMode="External"/><Relationship Id="rId44" Type="http://schemas.openxmlformats.org/officeDocument/2006/relationships/image" Target="media/image14.jpeg"/><Relationship Id="rId65" Type="http://schemas.openxmlformats.org/officeDocument/2006/relationships/hyperlink" Target="https://drive.google.com/file/d/1Tu2lzMuTO93IirlgwpMTiKU-v-5g0NU9/view?usp=drive_link" TargetMode="External"/><Relationship Id="rId86" Type="http://schemas.openxmlformats.org/officeDocument/2006/relationships/hyperlink" Target="https://drive.google.com/file/d/1gtwLUOJEw5u936mNYHItmi2goXqrhbQt/view?usp=drive_link" TargetMode="External"/><Relationship Id="rId130" Type="http://schemas.openxmlformats.org/officeDocument/2006/relationships/hyperlink" Target="https://drive.google.com/drive/folders/1FtZabkA12REReQ-0cqbmswJ61rg6lzzK?usp=drive_link" TargetMode="External"/><Relationship Id="rId151" Type="http://schemas.openxmlformats.org/officeDocument/2006/relationships/hyperlink" Target="https://docs.google.com/document/d/1aAbIgba7IRQ6nx23j-0wsUrCqx6pmiqF/edit?usp=drive_link&amp;ouid=108778412236978298707&amp;rtpof=true&amp;sd=true" TargetMode="External"/><Relationship Id="rId172" Type="http://schemas.openxmlformats.org/officeDocument/2006/relationships/hyperlink" Target="https://drive.google.com/file/d/1jaBk_8sbyrvlHPyrBvsf2PaaGmAOPi0h/view?usp=drive_link" TargetMode="External"/><Relationship Id="rId193" Type="http://schemas.openxmlformats.org/officeDocument/2006/relationships/hyperlink" Target="https://drive.google.com/file/d/1kVx8GNYYj2qZssp_goFNtNzmrlF3RHVw/view?usp=drive_link" TargetMode="External"/><Relationship Id="rId207" Type="http://schemas.openxmlformats.org/officeDocument/2006/relationships/hyperlink" Target="https://drive.google.com/file/d/1jYos9QvNue2n7sotB6e8g1eev7Rj3vnB/view?usp=drive_link" TargetMode="External"/><Relationship Id="rId228" Type="http://schemas.openxmlformats.org/officeDocument/2006/relationships/hyperlink" Target="https://drive.google.com/file/d/1guNRyDr4asZgJyjLhp1NegCIcsZXOEBc/view?usp=drive_link,%20https://drive.google.com/file/d/1FziZipv-3kqOJcL2FNe1plUj4Fo6JjTU/view?usp=drive_link" TargetMode="External"/><Relationship Id="rId249" Type="http://schemas.openxmlformats.org/officeDocument/2006/relationships/hyperlink" Target="https://drive.google.com/file/d/19Ja-z2E-j7lwDASvPMtX68PrEauUD69L/view?usp=drive_link,%20https://docs.google.com/document/d/17TS4hyuqTc6m-XSHH1OQAmsTIXMc0c8f/edit?usp=drive_link&amp;ouid=108778412236978298707&amp;rtpof=true&amp;sd=true,%20https://docs.google.com/document/d/1GRWv8UDwqGXeAzmE1UCya86r5NfZ5RuC/edit?usp=drive_link&amp;ouid=108778412236978298707&amp;rtpof=true&amp;sd=true" TargetMode="External"/><Relationship Id="rId13" Type="http://schemas.openxmlformats.org/officeDocument/2006/relationships/hyperlink" Target="https://docs.google.com/spreadsheets/d/1IwSKio9cn5oHL-7K66LmLzZy8_jKZTO0/edit?usp=drive_link&amp;ouid=108778412236978298707&amp;rtpof=true&amp;sd=true" TargetMode="External"/><Relationship Id="rId109" Type="http://schemas.openxmlformats.org/officeDocument/2006/relationships/hyperlink" Target="https://drive.google.com/file/d/1zOlx8OPA1k-uEOOtNzoDoQe4-P4Wa1qT/view?usp=drive_link" TargetMode="External"/><Relationship Id="rId260" Type="http://schemas.openxmlformats.org/officeDocument/2006/relationships/customXml" Target="../customXml/item3.xml"/><Relationship Id="rId34" Type="http://schemas.openxmlformats.org/officeDocument/2006/relationships/image" Target="media/image8.jpeg"/><Relationship Id="rId55" Type="http://schemas.openxmlformats.org/officeDocument/2006/relationships/hyperlink" Target="https://drive.google.com/drive/folders/11Ysk-DuR1dE3TWZr17BhnpRg_yKrjLA3?usp=drive_link" TargetMode="External"/><Relationship Id="rId76" Type="http://schemas.openxmlformats.org/officeDocument/2006/relationships/hyperlink" Target="https://docs.google.com/document/d/1tRbl70LQpa62hriGtjb9vyJSUhiI5JHw/edit?usp=drive_link&amp;ouid=108778412236978298707&amp;rtpof=true&amp;sd=true" TargetMode="External"/><Relationship Id="rId97" Type="http://schemas.openxmlformats.org/officeDocument/2006/relationships/hyperlink" Target="https://drive.google.com/file/d/18LBt6ibe1UaNkzdUKkVarbc-XbzmprdU/view?usp=drive_link" TargetMode="External"/><Relationship Id="rId120" Type="http://schemas.openxmlformats.org/officeDocument/2006/relationships/hyperlink" Target="https://drive.google.com/file/d/1XxfTAD0XaJt5aPsGl5lZFCRsW7b_etJ2/view?usp=drive_link" TargetMode="External"/><Relationship Id="rId141" Type="http://schemas.openxmlformats.org/officeDocument/2006/relationships/hyperlink" Target="https://docs.google.com/spreadsheets/d/1IwSKio9cn5oHL-7K66LmLzZy8_jKZTO0/edit?usp=drive_link&amp;ouid=108778412236978298707&amp;rtpof=true&amp;sd=true" TargetMode="External"/><Relationship Id="rId7" Type="http://schemas.openxmlformats.org/officeDocument/2006/relationships/footnotes" Target="footnotes.xml"/><Relationship Id="rId162" Type="http://schemas.openxmlformats.org/officeDocument/2006/relationships/hyperlink" Target="https://drive.google.com/drive/folders/18bRMp2f_RhEpsYNYgAmoOAKYXMH9w-5n?usp=drive_link" TargetMode="External"/><Relationship Id="rId183" Type="http://schemas.openxmlformats.org/officeDocument/2006/relationships/hyperlink" Target="https://drive.google.com/file/d/1tznpGaItkeGS3cHdJTYc-4nDVHMyWrQw/view?usp=drive_link" TargetMode="External"/><Relationship Id="rId218" Type="http://schemas.openxmlformats.org/officeDocument/2006/relationships/hyperlink" Target="https://docs.google.com/spreadsheets/d/1UbwXjNDwsGhMdbANDtp-MZoHMJAjpYa4/edit?usp=drive_link&amp;ouid=108778412236978298707&amp;rtpof=true&amp;sd=true" TargetMode="External"/><Relationship Id="rId239" Type="http://schemas.openxmlformats.org/officeDocument/2006/relationships/hyperlink" Target="https://drive.google.com/file/d/1vLkHBwGOdo56Og_0KpD7sexWi8V560G-/view?usp=drive_link" TargetMode="External"/><Relationship Id="rId250" Type="http://schemas.openxmlformats.org/officeDocument/2006/relationships/hyperlink" Target="https://drive.google.com/drive/folders/1R3-afJ9wuYhVGOo0fryTnIplq_UCWyKT?usp=drive_link" TargetMode="External"/><Relationship Id="rId24" Type="http://schemas.openxmlformats.org/officeDocument/2006/relationships/hyperlink" Target="https://drive.google.com/file/d/1oe6hp8DF4J9Ae_HZU6cZFAvb90a8kSef/view?usp=sharing" TargetMode="External"/><Relationship Id="rId45" Type="http://schemas.openxmlformats.org/officeDocument/2006/relationships/image" Target="media/image15.jpeg"/><Relationship Id="rId66" Type="http://schemas.openxmlformats.org/officeDocument/2006/relationships/hyperlink" Target="https://ht2techinfo.cd/p/hydro/jalon-6c/" TargetMode="External"/><Relationship Id="rId87" Type="http://schemas.openxmlformats.org/officeDocument/2006/relationships/hyperlink" Target="https://drive.google.com/file/d/1MALOK033ew7dqPtnJ2wH7H2JLPfRCotL/view?usp=drive_link" TargetMode="External"/><Relationship Id="rId110" Type="http://schemas.openxmlformats.org/officeDocument/2006/relationships/hyperlink" Target="https://docs.google.com/document/d/1MgJBVRitWipLwioyocYVLm6DChhrvGy5/edit?usp=drive_link&amp;ouid=108778412236978298707&amp;rtpof=true&amp;sd=true" TargetMode="External"/><Relationship Id="rId131" Type="http://schemas.openxmlformats.org/officeDocument/2006/relationships/hyperlink" Target="https://drive.google.com/drive/folders/1-cowhdM441ZPD2B9vXOvifgPIt1q0j87?usp=drive_link" TargetMode="External"/><Relationship Id="rId152" Type="http://schemas.openxmlformats.org/officeDocument/2006/relationships/hyperlink" Target="https://drive.google.com/file/d/1h7GdHX8o6tzEGhoeqnqGGoqqn2culSRf/view?usp=drive_link" TargetMode="External"/><Relationship Id="rId173" Type="http://schemas.openxmlformats.org/officeDocument/2006/relationships/hyperlink" Target="https://drive.google.com/file/d/1DgvBdgxcgHjWErJrVMtNZysUZrTMkO8q/view?usp=drive_link" TargetMode="External"/><Relationship Id="rId194" Type="http://schemas.openxmlformats.org/officeDocument/2006/relationships/hyperlink" Target="https://drive.google.com/file/d/1fMJe05EKvWk2AoZh8Gc0CZ9MlVuddLMj/view?usp=drive_link" TargetMode="External"/><Relationship Id="rId208" Type="http://schemas.openxmlformats.org/officeDocument/2006/relationships/hyperlink" Target="https://drive.google.com/file/d/1KpXzVkd0bvzmOZeMhDcJ5GCugHrBuhlx/view?usp=drive_link" TargetMode="External"/><Relationship Id="rId229" Type="http://schemas.openxmlformats.org/officeDocument/2006/relationships/hyperlink" Target="https://drive.google.com/file/d/1gB_p0S68YM2d9E_udEEVaj3xRuwoY_dQ/view?usp=drive_link" TargetMode="External"/><Relationship Id="rId240" Type="http://schemas.openxmlformats.org/officeDocument/2006/relationships/hyperlink" Target="https://docs.google.com/document/d/1JoVV5JS3_6XQJOlyyHzurRogIBNc2d7g/edit?usp=drive_link&amp;ouid=108778412236978298707&amp;rtpof=true&amp;sd=true" TargetMode="External"/><Relationship Id="rId261" Type="http://schemas.openxmlformats.org/officeDocument/2006/relationships/customXml" Target="../customXml/item4.xml"/><Relationship Id="rId14" Type="http://schemas.openxmlformats.org/officeDocument/2006/relationships/hyperlink" Target="https://rdc.geocfcl.org/applications/" TargetMode="External"/><Relationship Id="rId35" Type="http://schemas.openxmlformats.org/officeDocument/2006/relationships/hyperlink" Target="https://medd.gouv.cd/draft-de-la-politique-forestiere-nationale/" TargetMode="External"/><Relationship Id="rId56" Type="http://schemas.openxmlformats.org/officeDocument/2006/relationships/image" Target="media/image16.jpeg"/><Relationship Id="rId77" Type="http://schemas.openxmlformats.org/officeDocument/2006/relationships/hyperlink" Target="https://docs.google.com/document/d/19i3bmMTNVRjQKRIjWVWrLNnDOlxI1MF_/edit?usp=drive_link&amp;ouid=108778412236978298707&amp;rtpof=true&amp;sd=true" TargetMode="External"/><Relationship Id="rId100" Type="http://schemas.openxmlformats.org/officeDocument/2006/relationships/hyperlink" Target="https://drive.google.com/file/d/1i1Ca28BZi3s_DaJNiIdJSm-ipFgq1pFc/view?usp=drive_link" TargetMode="External"/><Relationship Id="rId8" Type="http://schemas.openxmlformats.org/officeDocument/2006/relationships/endnotes" Target="endnotes.xml"/><Relationship Id="rId98" Type="http://schemas.openxmlformats.org/officeDocument/2006/relationships/hyperlink" Target="https://drive.google.com/file/d/10j67hs3eDgsNT0L7hCxrQy_PWKbrSqXO/view?usp=drive_link" TargetMode="External"/><Relationship Id="rId121" Type="http://schemas.openxmlformats.org/officeDocument/2006/relationships/hyperlink" Target="https://docs.google.com/document/d/1RPuGfz2rBI30HsVqmBvrhUhravsaQU8L/edit?usp=drive_link&amp;ouid=108778412236978298707&amp;rtpof=true&amp;sd=true" TargetMode="External"/><Relationship Id="rId142" Type="http://schemas.openxmlformats.org/officeDocument/2006/relationships/hyperlink" Target="https://docs.google.com/document/d/1P5VsEv-WOLAf12KB35lJmx2zJvRmcD-k/edit?usp=drive_link&amp;ouid=108778412236978298707&amp;rtpof=true&amp;sd=true" TargetMode="External"/><Relationship Id="rId163" Type="http://schemas.openxmlformats.org/officeDocument/2006/relationships/hyperlink" Target="https://docs.google.com/document/d/1F9ygn9vu6ASmyhpUxCfXEcARN9NDJqia/edit?usp=drive_link&amp;ouid=108778412236978298707&amp;rtpof=true&amp;sd=true" TargetMode="External"/><Relationship Id="rId184" Type="http://schemas.openxmlformats.org/officeDocument/2006/relationships/hyperlink" Target="https://drive.google.com/file/d/1QVCTegbMc-h3N4Fy7KANdmX9h77TFgw3/view?usp=drive_link" TargetMode="External"/><Relationship Id="rId219" Type="http://schemas.openxmlformats.org/officeDocument/2006/relationships/hyperlink" Target="https://docs.google.com/document/d/1DxNMiODe29DvGVItrtobs8o0lsNcsf2b/edit?usp=drive_link&amp;ouid=108778412236978298707&amp;rtpof=true&amp;sd=true" TargetMode="External"/><Relationship Id="rId230" Type="http://schemas.openxmlformats.org/officeDocument/2006/relationships/hyperlink" Target="https://drive.google.com/file/d/1JhBy5xEcRGoGk-AacEY1iVTjui7piWbO/view?usp=drive_link" TargetMode="External"/><Relationship Id="rId251" Type="http://schemas.openxmlformats.org/officeDocument/2006/relationships/hyperlink" Target="https://drive.google.com/drive/folders/1Cw62OkPy73hHFPnGN_VIv9EYlnHv_wkK?usp=drive_link" TargetMode="External"/><Relationship Id="rId25" Type="http://schemas.openxmlformats.org/officeDocument/2006/relationships/header" Target="header3.xml"/><Relationship Id="rId46" Type="http://schemas.openxmlformats.org/officeDocument/2006/relationships/hyperlink" Target="https://docs.google.com/presentation/d/1oh3dVhT2OLS4EOGPAWzC3pXaBepy8p-D/edit?usp=drive_link&amp;ouid=108778412236978298707&amp;rtpof=true&amp;sd=true" TargetMode="External"/><Relationship Id="rId67" Type="http://schemas.openxmlformats.org/officeDocument/2006/relationships/hyperlink" Target="https://drive.google.com/drive/folders/11Ysk-DuR1dE3TWZr17BhnpRg_yKrjLA3?usp=drive_link" TargetMode="External"/><Relationship Id="rId88" Type="http://schemas.openxmlformats.org/officeDocument/2006/relationships/hyperlink" Target="https://drive.google.com/drive/folders/1bAbvAl25MMjDFOmKdxqxUha9Yd6FPsLh?usp=drive_link" TargetMode="External"/><Relationship Id="rId111" Type="http://schemas.openxmlformats.org/officeDocument/2006/relationships/hyperlink" Target="https://drive.google.com/file/d/1AOTMt-K2TmLjVAeDccq3lToF_TZBMsLM/view?usp=drive_link" TargetMode="External"/><Relationship Id="rId132" Type="http://schemas.openxmlformats.org/officeDocument/2006/relationships/hyperlink" Target="https://drive.google.com/drive/folders/1PWqveqTEmvW6BzlxIdo56A5mQDqhooHg?usp=drive_link" TargetMode="External"/><Relationship Id="rId153" Type="http://schemas.openxmlformats.org/officeDocument/2006/relationships/hyperlink" Target="https://drive.google.com/file/d/1y-Ee90HQuju0XTfiZwK9_bbXoFSRK1YW/view?usp=drive_link" TargetMode="External"/><Relationship Id="rId174" Type="http://schemas.openxmlformats.org/officeDocument/2006/relationships/hyperlink" Target="https://docs.google.com/document/d/18cW8z5cw9Zjx95nfUanGaPmPbhHsT2QD/edit?usp=drive_link&amp;ouid=108778412236978298707&amp;rtpof=true&amp;sd=true" TargetMode="External"/><Relationship Id="rId195" Type="http://schemas.openxmlformats.org/officeDocument/2006/relationships/hyperlink" Target="https://drive.google.com/file/d/1p77-VP3srtBMUStTN788e89TH8UuJvm1/view?usp=drive_link" TargetMode="External"/><Relationship Id="rId209" Type="http://schemas.openxmlformats.org/officeDocument/2006/relationships/hyperlink" Target="https://drive.google.com/file/d/1Yajk7UegF0PHf8_EUOeZA-At2hTYCNdU/view?usp=drive_link" TargetMode="External"/><Relationship Id="rId220" Type="http://schemas.openxmlformats.org/officeDocument/2006/relationships/hyperlink" Target="https://drive.google.com/drive/folders/1mcTGBMzuSDKAJThNmG8CPDFeSGNYgjbl?usp=drive_link" TargetMode="External"/><Relationship Id="rId241" Type="http://schemas.openxmlformats.org/officeDocument/2006/relationships/hyperlink" Target="https://drive.google.com/file/d/17vEvEB_nlR0zettNf6S-5Ohm_i7yRjHF/view?usp=drive_link" TargetMode="External"/><Relationship Id="rId15" Type="http://schemas.openxmlformats.org/officeDocument/2006/relationships/hyperlink" Target="https://rdc.geocfcl.org/applications/" TargetMode="External"/><Relationship Id="rId36" Type="http://schemas.openxmlformats.org/officeDocument/2006/relationships/hyperlink" Target="https://web.facebook.com/minenvrdc/posts/ebauche-de-la-politique-forestiere-nationalel%C3%A9bauche-de-la-politique-foresti%C3%A8re-/1081343164185149/?_rdc=1&amp;_rdr" TargetMode="External"/><Relationship Id="rId57" Type="http://schemas.openxmlformats.org/officeDocument/2006/relationships/image" Target="media/image17.png"/><Relationship Id="rId262" Type="http://schemas.openxmlformats.org/officeDocument/2006/relationships/customXml" Target="../customXml/item5.xml"/><Relationship Id="rId78" Type="http://schemas.openxmlformats.org/officeDocument/2006/relationships/hyperlink" Target="https://docs.google.com/document/d/1wmXooyha-ybOl9iTVAB_ZZE--iEEFp8T/edit?usp=drive_link&amp;ouid=108778412236978298707&amp;rtpof=true&amp;sd=true" TargetMode="External"/><Relationship Id="rId99" Type="http://schemas.openxmlformats.org/officeDocument/2006/relationships/hyperlink" Target="https://drive.google.com/file/d/1jfu1GUPuFzUYuvMQmX2FXZ04lbK9f65m/view?usp=drive_link" TargetMode="External"/><Relationship Id="rId101" Type="http://schemas.openxmlformats.org/officeDocument/2006/relationships/hyperlink" Target="https://drive.google.com/drive/folders/1aZ_uXeyMca242DqAIbhxzYtabjWXw-nU?usp=drive_link" TargetMode="External"/><Relationship Id="rId122" Type="http://schemas.openxmlformats.org/officeDocument/2006/relationships/hyperlink" Target="https://drive.google.com/file/d/1Z1pHFvP1oFatpur10l6-2ah5WTWemd3b/view?usp=drive_link" TargetMode="External"/><Relationship Id="rId143" Type="http://schemas.openxmlformats.org/officeDocument/2006/relationships/hyperlink" Target="https://drive.google.com/file/d/1KOuA3QjP4MyDCsaU_pGmMu0mHRKQ3jHT/view?usp=drive_link" TargetMode="External"/><Relationship Id="rId164" Type="http://schemas.openxmlformats.org/officeDocument/2006/relationships/hyperlink" Target="https://drive.google.com/file/d/1jytfm5WQgY95VEnkEqk1Ua0PcaUIz3ft/view?usp=drive_link" TargetMode="External"/><Relationship Id="rId185" Type="http://schemas.openxmlformats.org/officeDocument/2006/relationships/hyperlink" Target="https://drive.google.com/file/d/1iibpZtTVE5VGXyAkLnxh0euqYlxSoMlx/view?usp=drive_link" TargetMode="External"/><Relationship Id="rId9" Type="http://schemas.openxmlformats.org/officeDocument/2006/relationships/hyperlink" Target="mailto:damien.mama@undp.org" TargetMode="External"/><Relationship Id="rId210" Type="http://schemas.openxmlformats.org/officeDocument/2006/relationships/hyperlink" Target="https://drive.google.com/file/d/1cdZO2HQodJ-JijMdaYYcXLIJRpvHu87s/view?usp=drive_link" TargetMode="External"/><Relationship Id="rId26" Type="http://schemas.openxmlformats.org/officeDocument/2006/relationships/hyperlink" Target="https://drive.google.com/drive/folders/1dGNcZeU5qJPc6zNC23DAN8vubkvw4NJT?usp=drive_link" TargetMode="External"/><Relationship Id="rId231" Type="http://schemas.openxmlformats.org/officeDocument/2006/relationships/hyperlink" Target="https://drive.google.com/file/d/1bXMY9PjLJ9AVm4aKfh2YhkhYozCydoB3/view?usp=drive_link" TargetMode="External"/><Relationship Id="rId252" Type="http://schemas.openxmlformats.org/officeDocument/2006/relationships/hyperlink" Target="https://acecd.cd/news/actualite/1/droulement-des-ateliers-des-validations-des-tudes" TargetMode="External"/><Relationship Id="rId47" Type="http://schemas.openxmlformats.org/officeDocument/2006/relationships/hyperlink" Target="https://amenagement.gouv.cd/PAAJ.html" TargetMode="External"/><Relationship Id="rId68" Type="http://schemas.openxmlformats.org/officeDocument/2006/relationships/hyperlink" Target="https://docs.google.com/spreadsheets/d/174_13i30J2Zech91yaPUnVu0LWgofW0f/edit?usp=drive_link&amp;ouid=118259059185184636304&amp;rtpof=true&amp;sd=true" TargetMode="External"/><Relationship Id="rId89" Type="http://schemas.openxmlformats.org/officeDocument/2006/relationships/hyperlink" Target="https://docs.google.com/document/d/1xkgBMYiPXA46tGeeorP3SM_iqzcWWAb6/edit?usp=drive_link&amp;ouid=108778412236978298707&amp;rtpof=true&amp;sd=true" TargetMode="External"/><Relationship Id="rId112" Type="http://schemas.openxmlformats.org/officeDocument/2006/relationships/hyperlink" Target="https://docs.google.com/document/d/13J77tKX6LfBRMVwzGU4825fvYvYXTVpS/edit?usp=drive_link&amp;ouid=108778412236978298707&amp;rtpof=true&amp;sd=true" TargetMode="External"/><Relationship Id="rId133" Type="http://schemas.openxmlformats.org/officeDocument/2006/relationships/hyperlink" Target="https://drive.google.com/file/d/1ScUxPs3D1LqkQ-9kYSmSsNggaQ8ryz1P/view?usp=drive_link" TargetMode="External"/><Relationship Id="rId154" Type="http://schemas.openxmlformats.org/officeDocument/2006/relationships/hyperlink" Target="https://drive.google.com/drive/folders/10p9rYBqWLQi5VeXBbEPTrClWF_VjOCQG?usp=drive_link" TargetMode="External"/><Relationship Id="rId175" Type="http://schemas.openxmlformats.org/officeDocument/2006/relationships/hyperlink" Target="https://drive.google.com/file/d/1eLcsefgKjSOohMFeNRwlb4Va9e3cMXH5/view?usp=drive_link" TargetMode="External"/><Relationship Id="rId196" Type="http://schemas.openxmlformats.org/officeDocument/2006/relationships/hyperlink" Target="https://drive.google.com/file/d/1piCsCqQ85di5aryDhzhH-HO03E6f4v3e/view?usp=drive_link" TargetMode="External"/><Relationship Id="rId200" Type="http://schemas.openxmlformats.org/officeDocument/2006/relationships/hyperlink" Target="https://drive.google.com/file/d/1L6OTmoOnMvKCSAt4ygd5Lf31loYmFBR3/view?usp=drive_link" TargetMode="External"/><Relationship Id="rId16" Type="http://schemas.openxmlformats.org/officeDocument/2006/relationships/header" Target="header1.xml"/><Relationship Id="rId221" Type="http://schemas.openxmlformats.org/officeDocument/2006/relationships/hyperlink" Target="https://drive.google.com/file/d/1P0xexkE8s41PD9E-Go_c542AO6Spaawz/view?usp=drive_link" TargetMode="External"/><Relationship Id="rId242" Type="http://schemas.openxmlformats.org/officeDocument/2006/relationships/hyperlink" Target="https://drive.google.com/drive/folders/1tFnAQgqV1Y15E_VcLakf7uqOaQwvqKOG?usp=drive_link" TargetMode="External"/><Relationship Id="rId37" Type="http://schemas.openxmlformats.org/officeDocument/2006/relationships/hyperlink" Target="https://laprosperite.top/index.php/categories/la-prosperite/nation/plan-et-cad-rdc-guylain-nyembo-enclenche-le-processus-delaboration-de-la-politique-nationale-de-population" TargetMode="External"/><Relationship Id="rId58" Type="http://schemas.openxmlformats.org/officeDocument/2006/relationships/image" Target="media/image18.jpeg"/><Relationship Id="rId79" Type="http://schemas.openxmlformats.org/officeDocument/2006/relationships/hyperlink" Target="https://drive.google.com/drive/folders/1_zX7SwrlH4ofD15l8uFjxNZwNhcAX2Xk?usp=drive_link" TargetMode="External"/><Relationship Id="rId102" Type="http://schemas.openxmlformats.org/officeDocument/2006/relationships/hyperlink" Target="https://drive.google.com/file/d/1UqmH4oF3AQXcNxBB__E8h8CZ0IRB6TJf/view?usp=drive_link,%20https://drive.google.com/file/d/1tf1HBEcmffAVJCltgV1K6Y6jfik4k6cW/view?usp=drive_link,%20https://drive.google.com/file/d/1lMad0cCzvFwa6QkDF74CVZMloMwlFNTo/view?usp=drive_link" TargetMode="External"/><Relationship Id="rId123" Type="http://schemas.openxmlformats.org/officeDocument/2006/relationships/hyperlink" Target="https://drive.google.com/file/d/1xFxDm6IPdlTc03KXefkwe27qpnuVGpPz/view?usp=drive_link" TargetMode="External"/><Relationship Id="rId144" Type="http://schemas.openxmlformats.org/officeDocument/2006/relationships/hyperlink" Target="https://drive.google.com/file/d/1ABeJmxF7DrRLtjibGoJeExnmNwjm9EJj/view?usp=drive_link" TargetMode="External"/><Relationship Id="rId90" Type="http://schemas.openxmlformats.org/officeDocument/2006/relationships/hyperlink" Target="https://drive.google.com/file/d/1x-aLx_3fGf6iHvdfOhNnfEoJkPgfCcUJ/view?usp=drive_link" TargetMode="External"/><Relationship Id="rId165" Type="http://schemas.openxmlformats.org/officeDocument/2006/relationships/hyperlink" Target="https://drive.google.com/file/d/1XIMpqRu-fRr4a3Ub7wrfOIPYo20jg0Te/view?usp=drive_link" TargetMode="External"/><Relationship Id="rId186" Type="http://schemas.openxmlformats.org/officeDocument/2006/relationships/hyperlink" Target="https://drive.google.com/file/d/1Izlw7AUGH_xxzoisifctlr3-3N0pWMe3/view?usp=drive_link" TargetMode="External"/><Relationship Id="rId211" Type="http://schemas.openxmlformats.org/officeDocument/2006/relationships/hyperlink" Target="https://drive.google.com/file/d/1jMGqCKD3mgErnXpYu4u1GSLTV7oJvvVO/view?usp=drive_link" TargetMode="External"/><Relationship Id="rId232" Type="http://schemas.openxmlformats.org/officeDocument/2006/relationships/hyperlink" Target="https://drive.google.com/file/d/1HA5J9-6qVOlATFOf_SXuP5JbsTj0qsaG/view?usp=drive_link" TargetMode="External"/><Relationship Id="rId253" Type="http://schemas.openxmlformats.org/officeDocument/2006/relationships/hyperlink" Target="https://docs.google.com/spreadsheets/d/19SNdexTIKZV9YlQEU6hjQv69WFxeF45h/edit?usp=drive_link&amp;ouid=118259059185184636304&amp;rtpof=true&amp;sd=true" TargetMode="External"/><Relationship Id="rId27" Type="http://schemas.openxmlformats.org/officeDocument/2006/relationships/hyperlink" Target="https://drive.google.com/file/d/13UDxMQyHwIclznIGTx0Kk26Bpa6k2E-w/view?usp=drive_link" TargetMode="External"/><Relationship Id="rId48" Type="http://schemas.openxmlformats.org/officeDocument/2006/relationships/hyperlink" Target="https://agriculture.gouv.cd/produits_paaj.php" TargetMode="External"/><Relationship Id="rId69" Type="http://schemas.openxmlformats.org/officeDocument/2006/relationships/hyperlink" Target="https://docs.google.com/spreadsheets/d/174_13i30J2Zech91yaPUnVu0LWgofW0f/edit?usp=drive_link&amp;ouid=118259059185184636304&amp;rtpof=true&amp;sd=true" TargetMode="External"/><Relationship Id="rId113" Type="http://schemas.openxmlformats.org/officeDocument/2006/relationships/hyperlink" Target="https://drive.google.com/file/d/1Gltu7IXlVx3Ds569vdsVa8Fwylr2mWkU/view?usp=drive_link" TargetMode="External"/><Relationship Id="rId134" Type="http://schemas.openxmlformats.org/officeDocument/2006/relationships/hyperlink" Target="https://drive.google.com/file/d/1hODaGAYcnhfkV9wULcVEB75VNLbQgQSd/view?usp=drive_link" TargetMode="External"/><Relationship Id="rId80" Type="http://schemas.openxmlformats.org/officeDocument/2006/relationships/image" Target="media/image20.jpeg"/><Relationship Id="rId155" Type="http://schemas.openxmlformats.org/officeDocument/2006/relationships/hyperlink" Target="https://docs.google.com/spreadsheets/d/1ZTwSAT7aMQBo6p6_W6lTKNyj-bVv3KrU/edit?usp=drive_link&amp;ouid=108778412236978298707&amp;rtpof=true&amp;sd=true" TargetMode="External"/><Relationship Id="rId176" Type="http://schemas.openxmlformats.org/officeDocument/2006/relationships/hyperlink" Target="https://drive.google.com/drive/folders/1lZa4rD4NJGJtiZhBVNeSLOWb4J5QSu3y?usp=drive_link" TargetMode="External"/><Relationship Id="rId197" Type="http://schemas.openxmlformats.org/officeDocument/2006/relationships/hyperlink" Target="https://drive.google.com/file/d/1Y8WgPfBIq-HW-KFpugJLXRoyKoCk-cPa/view?usp=drive_link" TargetMode="External"/><Relationship Id="rId201" Type="http://schemas.openxmlformats.org/officeDocument/2006/relationships/hyperlink" Target="https://drive.google.com/drive/folders/11k_YJe8FGrvtgctNADwyA-EOztljz_ES?usp=drive_link" TargetMode="External"/><Relationship Id="rId222" Type="http://schemas.openxmlformats.org/officeDocument/2006/relationships/hyperlink" Target="https://drive.google.com/file/d/1Nutjs2ZFPjpLroXW92NPkWKgcARNqu4R/view?usp=drive_link" TargetMode="External"/><Relationship Id="rId243" Type="http://schemas.openxmlformats.org/officeDocument/2006/relationships/hyperlink" Target="https://drive.google.com/file/d/1gtx7JEiPp3Vn6n5cfTffo6tFoDYglrZS/view?usp=drive_link" TargetMode="External"/><Relationship Id="rId17" Type="http://schemas.openxmlformats.org/officeDocument/2006/relationships/footer" Target="footer1.xml"/><Relationship Id="rId38" Type="http://schemas.openxmlformats.org/officeDocument/2006/relationships/hyperlink" Target="https://ecomine.cd/actualite/2025/11/11/rdc-guylain-nyembo-lance-les-travaux-delaboration-de-la-politique-nationale-de" TargetMode="External"/><Relationship Id="rId59" Type="http://schemas.openxmlformats.org/officeDocument/2006/relationships/image" Target="media/image19.jpeg"/><Relationship Id="rId103" Type="http://schemas.openxmlformats.org/officeDocument/2006/relationships/hyperlink" Target="https://docs.google.com/document/d/1h9ejhzhxG19B-COG1JqLUEvj5FSbcdlB/edit?usp=drive_link&amp;ouid=108778412236978298707&amp;rtpof=true&amp;sd=true" TargetMode="External"/><Relationship Id="rId124" Type="http://schemas.openxmlformats.org/officeDocument/2006/relationships/hyperlink" Target="https://drive.google.com/file/d/1gyx6vZI0prOWDrpr3HCOloxsuUlaSTFA/view?usp=drive_link" TargetMode="External"/><Relationship Id="rId70" Type="http://schemas.openxmlformats.org/officeDocument/2006/relationships/hyperlink" Target="https://drive.google.com/file/d/1xNIiiHsVNNeSKWyZTewyhRKE-VmqWned/view?usp=drive_link" TargetMode="External"/><Relationship Id="rId91" Type="http://schemas.openxmlformats.org/officeDocument/2006/relationships/hyperlink" Target="https://drive.google.com/file/d/1vUUjPPO_2FB9alVB8I7VxVP1ERUbWK4D/view?usp=drive_link" TargetMode="External"/><Relationship Id="rId145" Type="http://schemas.openxmlformats.org/officeDocument/2006/relationships/hyperlink" Target="https://drive.google.com/file/d/1tDQdz9qVHicNaodrkRAX2ej1DRzUasW1/view?usp=drive_link" TargetMode="External"/><Relationship Id="rId166" Type="http://schemas.openxmlformats.org/officeDocument/2006/relationships/hyperlink" Target="https://drive.google.com/file/d/17rZi_CBg1QCg5iBrRojmODusbpFYpvX4/view?usp=drive_link" TargetMode="External"/><Relationship Id="rId187" Type="http://schemas.openxmlformats.org/officeDocument/2006/relationships/hyperlink" Target="https://drive.google.com/file/d/1mFmmsOFVKxPAROUH5_7paeBg4FARJey0/view?usp=drive_link" TargetMode="External"/><Relationship Id="rId1" Type="http://schemas.openxmlformats.org/officeDocument/2006/relationships/customXml" Target="../customXml/item1.xml"/><Relationship Id="rId212" Type="http://schemas.openxmlformats.org/officeDocument/2006/relationships/hyperlink" Target="https://drive.google.com/file/d/1vlhxk9jF5oaJUpI7BZ3jDWDfu8mxvMW1/view?usp=drive_link" TargetMode="External"/><Relationship Id="rId233" Type="http://schemas.openxmlformats.org/officeDocument/2006/relationships/hyperlink" Target="https://drive.google.com/file/d/1JpWIHNKz6-WRKvHw603cDIgSZynguVYd/view?usp=drive_link" TargetMode="External"/><Relationship Id="rId254" Type="http://schemas.openxmlformats.org/officeDocument/2006/relationships/hyperlink" Target="https://docs.google.com/spreadsheets/d/1SuZ73Xb7gJK4bXNSw-gkNnobbRR7_dYM/edit?usp=drive_link&amp;ouid=118259059185184636304&amp;rtpof=true&amp;sd=true" TargetMode="External"/><Relationship Id="rId28" Type="http://schemas.openxmlformats.org/officeDocument/2006/relationships/hyperlink" Target="https://datawarehouse.ctcpm.cd/emine/cadre/juridique/contrat/principaltous/contrant/tc" TargetMode="External"/><Relationship Id="rId49" Type="http://schemas.openxmlformats.org/officeDocument/2006/relationships/hyperlink" Target="https://medd.gouv.cd/portfolio/projet-dappui-a-latteinte-des-jalons-paaj/" TargetMode="External"/><Relationship Id="rId114" Type="http://schemas.openxmlformats.org/officeDocument/2006/relationships/hyperlink" Target="https://drive.google.com/file/d/1sKK5asl3k2fAuhX5m2VhKMmJ7Beed8B7/view?usp=drive_link" TargetMode="External"/><Relationship Id="rId60" Type="http://schemas.openxmlformats.org/officeDocument/2006/relationships/hyperlink" Target="https://drive.google.com/file/d/1Eh9FqAn0T9kKtv1OD-bDotNK880T9kqE/view?usp=drive_link" TargetMode="External"/><Relationship Id="rId81" Type="http://schemas.openxmlformats.org/officeDocument/2006/relationships/hyperlink" Target="https://undp.sharepoint.com/:w:/r/sites/deliverableuncdfdrcongoenergyprogram/_layouts/15/Doc.aspx?sourcedoc=%7BA99444E4-E3F7-409A-929D-F8B8EE71740B%7D&amp;file=M%C3%A9canisme%20de%20R%C3%A9ponse%20des%20Parties%20Prenantes%20MRPP260723.docx&amp;action=default&amp;mobileredirect=true" TargetMode="External"/><Relationship Id="rId135" Type="http://schemas.openxmlformats.org/officeDocument/2006/relationships/hyperlink" Target="https://drive.google.com/file/d/1h-NPW1IHzMICssFYXGuHM6XtMRmrSRV4/view?usp=drive_link" TargetMode="External"/><Relationship Id="rId156" Type="http://schemas.openxmlformats.org/officeDocument/2006/relationships/hyperlink" Target="https://docs.google.com/document/d/1Wusraqq6nOTK4mxDDNdM42d56ifPWSM7/edit?usp=drive_link&amp;ouid=108778412236978298707&amp;rtpof=true&amp;sd=true" TargetMode="External"/><Relationship Id="rId177" Type="http://schemas.openxmlformats.org/officeDocument/2006/relationships/hyperlink" Target="https://drive.google.com/file/d/1sIUOcHXdhIyZWuEGmvw8P1p38HDiWvNV/view?usp=drive_link" TargetMode="External"/><Relationship Id="rId198" Type="http://schemas.openxmlformats.org/officeDocument/2006/relationships/hyperlink" Target="https://drive.google.com/drive/folders/1hfKdUZUlj56U1pQ8R_epv1khFgD5wYag?usp=drive_link" TargetMode="External"/><Relationship Id="rId202" Type="http://schemas.openxmlformats.org/officeDocument/2006/relationships/hyperlink" Target="https://drive.google.com/file/d/1bemDC8TauY_VvquG_IbbRxA7qCX6_pnf/view?usp=drive_link" TargetMode="External"/><Relationship Id="rId223" Type="http://schemas.openxmlformats.org/officeDocument/2006/relationships/hyperlink" Target="https://drive.google.com/file/d/1IxvyL5aS9aYVrGetH6LXmw4pQdfu_7_N/view?usp=drive_link" TargetMode="External"/><Relationship Id="rId244" Type="http://schemas.openxmlformats.org/officeDocument/2006/relationships/hyperlink" Target="https://drive.google.com/file/d/1C1EShnSCPA4UMUFshxihmeFXuzzZQnVQ/view?usp=drive_link" TargetMode="External"/><Relationship Id="rId18" Type="http://schemas.openxmlformats.org/officeDocument/2006/relationships/header" Target="header2.xml"/><Relationship Id="rId39" Type="http://schemas.openxmlformats.org/officeDocument/2006/relationships/image" Target="media/image9.jpeg"/><Relationship Id="rId50" Type="http://schemas.openxmlformats.org/officeDocument/2006/relationships/hyperlink" Target="https://plan.gouv.cd/a-propos-du-paaj/" TargetMode="External"/><Relationship Id="rId104" Type="http://schemas.openxmlformats.org/officeDocument/2006/relationships/hyperlink" Target="https://drive.google.com/drive/folders/1aZ_uXeyMca242DqAIbhxzYtabjWXw-nU?usp=drive_link" TargetMode="External"/><Relationship Id="rId125" Type="http://schemas.openxmlformats.org/officeDocument/2006/relationships/hyperlink" Target="https://drive.google.com/file/d/1QzrARBZsDdQgVG6qiY3zN8dN0-npAD78/view?usp=drive_link" TargetMode="External"/><Relationship Id="rId146" Type="http://schemas.openxmlformats.org/officeDocument/2006/relationships/hyperlink" Target="https://drive.google.com/file/d/1Eqc5x9KU7cwOVytZv71WbEpZgIEU2OxL/view?usp=drive_link" TargetMode="External"/><Relationship Id="rId167" Type="http://schemas.openxmlformats.org/officeDocument/2006/relationships/hyperlink" Target="https://drive.google.com/file/d/1TgpxMJ88nySPLJFtVEkGLipHL4PbgDt2/view?usp=drive_link" TargetMode="External"/><Relationship Id="rId188" Type="http://schemas.openxmlformats.org/officeDocument/2006/relationships/hyperlink" Target="https://drive.google.com/drive/folders/1rdlovtyS5CNifywvrllbJr0X9nhTvBD2?usp=drive_link" TargetMode="External"/><Relationship Id="rId71" Type="http://schemas.openxmlformats.org/officeDocument/2006/relationships/hyperlink" Target="https://drive.google.com/file/d/1K3Wf6m9sbjDXRNnXzswqe5qgGCjShaa9/view?usp=drive_link" TargetMode="External"/><Relationship Id="rId92" Type="http://schemas.openxmlformats.org/officeDocument/2006/relationships/hyperlink" Target="https://drive.google.com/file/d/1PbMyUecTJAHrlT1sLBSsFpkptm6pFaRw/view?usp=drive_link,%20https://drive.google.com/file/d/1ONtPGI5SMkombvHq1tOYkJFj0treVui7/view?usp=drive_link,%20https://drive.google.com/file/d/1CUYrWoVhGHLXgnCakhOFYTCrWwxc7omd/view?usp=drive_link" TargetMode="External"/><Relationship Id="rId213" Type="http://schemas.openxmlformats.org/officeDocument/2006/relationships/hyperlink" Target="https://drive.google.com/file/d/1auBJJDkfbwcJks96DsO58aWXJ-Rok9hv/view?usp=drive_link" TargetMode="External"/><Relationship Id="rId234" Type="http://schemas.openxmlformats.org/officeDocument/2006/relationships/hyperlink" Target="https://drive.google.com/file/d/1Ce5DC5sgFTwu-8xCOkdYavUnJEfTzhsd/view?usp=drive_link" TargetMode="External"/><Relationship Id="rId2" Type="http://schemas.openxmlformats.org/officeDocument/2006/relationships/customXml" Target="../customXml/item2.xml"/><Relationship Id="rId29" Type="http://schemas.openxmlformats.org/officeDocument/2006/relationships/hyperlink" Target="https://hydrocarbures.gouv.cd/" TargetMode="External"/><Relationship Id="rId255" Type="http://schemas.openxmlformats.org/officeDocument/2006/relationships/hyperlink" Target="https://docs.google.com/spreadsheets/d/174_13i30J2Zech91yaPUnVu0LWgofW0f/edit?usp=drive_link&amp;ouid=118259059185184636304&amp;rtpof=true&amp;sd=true" TargetMode="External"/><Relationship Id="rId40" Type="http://schemas.openxmlformats.org/officeDocument/2006/relationships/image" Target="media/image10.jpeg"/><Relationship Id="rId115" Type="http://schemas.openxmlformats.org/officeDocument/2006/relationships/hyperlink" Target="https://docs.google.com/document/d/1ZZxwbrIDMxd7Mlfl0WeqCtUj1vWTtslM/edit?usp=drive_link&amp;ouid=108778412236978298707&amp;rtpof=true&amp;sd=true" TargetMode="External"/><Relationship Id="rId136" Type="http://schemas.openxmlformats.org/officeDocument/2006/relationships/hyperlink" Target="https://drive.google.com/file/d/1AuA2qMpIxwaI5Nb7ZSTWKNODzHdHJiGd/view?usp=drive_link" TargetMode="External"/><Relationship Id="rId157" Type="http://schemas.openxmlformats.org/officeDocument/2006/relationships/hyperlink" Target="https://docs.google.com/document/d/1m2FwXGc6krKbh5-5Em3f8WJBOrjWzIOj/edit?usp=drive_link&amp;ouid=108778412236978298707&amp;rtpof=true&amp;sd=true" TargetMode="External"/><Relationship Id="rId178" Type="http://schemas.openxmlformats.org/officeDocument/2006/relationships/hyperlink" Target="https://drive.google.com/drive/folders/1MzFd4GX2ewubIfHvSB6cRxQWFnj2UFmn?usp=drive_link" TargetMode="External"/><Relationship Id="rId61" Type="http://schemas.openxmlformats.org/officeDocument/2006/relationships/hyperlink" Target="https://drive.google.com/drive/folders/1b4PNweLwwPwkLQOe17UoIJRY9hC-m40H?usp=drive_link" TargetMode="External"/><Relationship Id="rId82" Type="http://schemas.openxmlformats.org/officeDocument/2006/relationships/image" Target="media/image21.png"/><Relationship Id="rId199" Type="http://schemas.openxmlformats.org/officeDocument/2006/relationships/hyperlink" Target="https://drive.google.com/file/d/1w4Msyb7P6RjXx8_VP3uRIy2GJCDKQpHo/view?usp=drive_link" TargetMode="External"/><Relationship Id="rId203" Type="http://schemas.openxmlformats.org/officeDocument/2006/relationships/hyperlink" Target="https://drive.google.com/file/d/1Lrh6IHZeIgVo5vbevNIeAeucz--IQmlb/view?usp=drive_link" TargetMode="External"/><Relationship Id="rId19" Type="http://schemas.openxmlformats.org/officeDocument/2006/relationships/footer" Target="footer2.xml"/><Relationship Id="rId224" Type="http://schemas.openxmlformats.org/officeDocument/2006/relationships/hyperlink" Target="https://drive.google.com/file/d/1awl7BEwVrk1s2cg_QQoFsRX90Sy92Mqg/view?usp=drive_link" TargetMode="External"/><Relationship Id="rId245" Type="http://schemas.openxmlformats.org/officeDocument/2006/relationships/hyperlink" Target="https://drive.google.com/drive/folders/1joA8kCMVN3PdK8zdwIKTPtsUkaSQ-Mdk?usp=drive_link" TargetMode="External"/><Relationship Id="rId30" Type="http://schemas.openxmlformats.org/officeDocument/2006/relationships/hyperlink" Target="https://www.itierdc.net/carte-de-la-rdc-cliquable/contrats-miniers/" TargetMode="External"/><Relationship Id="rId105" Type="http://schemas.openxmlformats.org/officeDocument/2006/relationships/hyperlink" Target="https://drive.google.com/file/d/1D6-RDKIagVqwOW8GeVLESznKJcBtCgwU/view?usp=drive_link" TargetMode="External"/><Relationship Id="rId126" Type="http://schemas.openxmlformats.org/officeDocument/2006/relationships/hyperlink" Target="https://docs.google.com/document/d/1hqsu5w8M22VSBV0wkZYurIXYSPQ3qEmC/edit?usp=drive_link&amp;ouid=108778412236978298707&amp;rtpof=true&amp;sd=true,%20https://docs.google.com/document/d/1ZmSb4N5CLNCojyyoJuQ93UL59L_lgAoO/edit?usp=drive_link&amp;ouid=108778412236978298707&amp;rtpof=true&amp;sd=true" TargetMode="External"/><Relationship Id="rId147" Type="http://schemas.openxmlformats.org/officeDocument/2006/relationships/hyperlink" Target="https://drive.google.com/file/d/1VLPm9w5JsMudm1vncrcRELDxrh5nFV8l/view?usp=drive_link" TargetMode="External"/><Relationship Id="rId168" Type="http://schemas.openxmlformats.org/officeDocument/2006/relationships/hyperlink" Target="https://drive.google.com/file/d/1ruqa5La1t6vAfLtGLQWbALHukdM-LlUi/view?usp=drive_link" TargetMode="External"/><Relationship Id="rId51" Type="http://schemas.openxmlformats.org/officeDocument/2006/relationships/hyperlink" Target="https://clients.holduix.dev/paaj/" TargetMode="External"/><Relationship Id="rId72" Type="http://schemas.openxmlformats.org/officeDocument/2006/relationships/hyperlink" Target="https://docs.google.com/document/d/1SXYd3s98OnjI5QrMrn4X-iP1yTIq7B4B/edit?usp=drive_link&amp;ouid=108778412236978298707&amp;rtpof=true&amp;sd=true" TargetMode="External"/><Relationship Id="rId93" Type="http://schemas.openxmlformats.org/officeDocument/2006/relationships/hyperlink" Target="https://drive.google.com/file/d/104aEdoT0y86fzWCa5ajbBeBaIIJFmp1s/view?usp=drive_link" TargetMode="External"/><Relationship Id="rId189" Type="http://schemas.openxmlformats.org/officeDocument/2006/relationships/hyperlink" Target="https://drive.google.com/file/d/1k5_vmp9Xnr__k2iBRSJtVwFw7-4_LEUr/view?usp=drive_link" TargetMode="External"/><Relationship Id="rId3" Type="http://schemas.openxmlformats.org/officeDocument/2006/relationships/numbering" Target="numbering.xml"/><Relationship Id="rId214" Type="http://schemas.openxmlformats.org/officeDocument/2006/relationships/hyperlink" Target="https://drive.google.com/file/d/1iescrTgKuofrW61aWwTk7mINQpEv11m1/view?usp=drive_link" TargetMode="External"/><Relationship Id="rId235" Type="http://schemas.openxmlformats.org/officeDocument/2006/relationships/hyperlink" Target="https://drive.google.com/file/d/1QcDbOAcnu7KAp7LD2JJOcawAomIxOKDW/view?usp=drive_link" TargetMode="External"/><Relationship Id="rId256" Type="http://schemas.openxmlformats.org/officeDocument/2006/relationships/footer" Target="footer3.xml"/><Relationship Id="rId116" Type="http://schemas.openxmlformats.org/officeDocument/2006/relationships/hyperlink" Target="https://docs.google.com/document/d/1Y_94EeuGhpxMkLV8BphDcLTtTPEj4Uzb/edit?usp=drive_link&amp;ouid=108778412236978298707&amp;rtpof=true&amp;sd=true" TargetMode="External"/><Relationship Id="rId137" Type="http://schemas.openxmlformats.org/officeDocument/2006/relationships/hyperlink" Target="https://drive.google.com/file/d/1Eqc5x9KU7cwOVytZv71WbEpZgIEU2OxL/view?usp=drive_link" TargetMode="External"/><Relationship Id="rId158" Type="http://schemas.openxmlformats.org/officeDocument/2006/relationships/hyperlink" Target="https://medd.gouv.cd/draft-de-la-politique-forestiere-nationale/" TargetMode="External"/><Relationship Id="rId20" Type="http://schemas.openxmlformats.org/officeDocument/2006/relationships/hyperlink" Target="https://drive.google.com/file/d/1Jsj-mUDtGtldUsoKRlgFT8Yf44AZIkcR/view?usp=sharing" TargetMode="External"/><Relationship Id="rId41" Type="http://schemas.openxmlformats.org/officeDocument/2006/relationships/image" Target="media/image11.jpeg"/><Relationship Id="rId62" Type="http://schemas.openxmlformats.org/officeDocument/2006/relationships/hyperlink" Target="https://drive.google.com/drive/folders/1ZLn5sQOCHNmZj3Nn7ksef2zQA7ptcuwl?usp=drive_link" TargetMode="External"/><Relationship Id="rId83" Type="http://schemas.openxmlformats.org/officeDocument/2006/relationships/hyperlink" Target="https://drive.google.com/file/d/1rYCcmtTfiyMiVfc5SMIY8U_OvVWVT76u/view?usp=drive_link" TargetMode="External"/><Relationship Id="rId179" Type="http://schemas.openxmlformats.org/officeDocument/2006/relationships/hyperlink" Target="https://drive.google.com/drive/folders/15qIvAuFyLRKser79BRNs9g8c7UkyNa7v?usp=drive_link" TargetMode="External"/><Relationship Id="rId190" Type="http://schemas.openxmlformats.org/officeDocument/2006/relationships/hyperlink" Target="https://drive.google.com/file/d/1QaUgNrmzOI126XUWVmVy8-EGrAUHdc7H/view?usp=drive_link" TargetMode="External"/><Relationship Id="rId204" Type="http://schemas.openxmlformats.org/officeDocument/2006/relationships/hyperlink" Target="https://drive.google.com/file/d/1KqXfL-YcEC0STtm_6fC-BtGKvmsUQ5qF/view?usp=drive_link" TargetMode="External"/><Relationship Id="rId225" Type="http://schemas.openxmlformats.org/officeDocument/2006/relationships/hyperlink" Target="https://drive.google.com/file/d/1fVxnL7Fv-gLsupcAlmbrrxe0rRs8Xho0/view?usp=drive_link" TargetMode="External"/><Relationship Id="rId246" Type="http://schemas.openxmlformats.org/officeDocument/2006/relationships/hyperlink" Target="https://drive.google.com/drive/folders/1fcDBsrmo_BgVCyE2gbcLG-3nxWsBGcaX?usp=drive_link" TargetMode="External"/><Relationship Id="rId106" Type="http://schemas.openxmlformats.org/officeDocument/2006/relationships/hyperlink" Target="https://drive.google.com/drive/folders/1B9BvuIkuyPjYMq_-4ZWR8Bi8p1hozqSl?usp=drive_link" TargetMode="External"/><Relationship Id="rId127" Type="http://schemas.openxmlformats.org/officeDocument/2006/relationships/hyperlink" Target="https://docs.google.com/document/d/18NCNAiU7UCOvSGfcvSelBngQiNKD-THl/edit?usp=drive_link&amp;ouid=108778412236978298707&amp;rtpof=true&amp;sd=true" TargetMode="External"/><Relationship Id="rId10" Type="http://schemas.openxmlformats.org/officeDocument/2006/relationships/hyperlink" Target="mailto:kouadio.ngoran@undp.org" TargetMode="External"/><Relationship Id="rId31" Type="http://schemas.openxmlformats.org/officeDocument/2006/relationships/image" Target="media/image5.jpeg"/><Relationship Id="rId52" Type="http://schemas.openxmlformats.org/officeDocument/2006/relationships/hyperlink" Target="https://ht2techinfo.cd/p/hydro/a-propos-du-paaj/" TargetMode="External"/><Relationship Id="rId73" Type="http://schemas.openxmlformats.org/officeDocument/2006/relationships/hyperlink" Target="https://drive.google.com/file/d/1y9B51mv8hkYpebQpPHDh8WXX5knXR1CZ/view?usp=drive_link" TargetMode="External"/><Relationship Id="rId94" Type="http://schemas.openxmlformats.org/officeDocument/2006/relationships/hyperlink" Target="https://drive.google.com/file/d/1noPamC-ru2hWBh7lFcPlj831Qre_wDEA/view?usp=drive_link,%20https://drive.google.com/file/d/1V92nLkuO1wymiwacdnjhBpjJNl8nbNEj/view?usp=drive_link,%20https://drive.google.com/file/d/1wzKIhoB3LYh07lHTr7XnSjnqrfg5t4G6/view?usp=drive_link" TargetMode="External"/><Relationship Id="rId148" Type="http://schemas.openxmlformats.org/officeDocument/2006/relationships/hyperlink" Target="https://drive.google.com/file/d/1Zi2TUvC321kfPIe1iXm0Wfepa3T7wLj2/view?usp=drive_link" TargetMode="External"/><Relationship Id="rId169" Type="http://schemas.openxmlformats.org/officeDocument/2006/relationships/hyperlink" Target="https://drive.google.com/file/d/1323F8IJWnJ1sNaXGUGdHWmakdhwCXL1u/view?usp=drive_link" TargetMode="External"/><Relationship Id="rId4" Type="http://schemas.openxmlformats.org/officeDocument/2006/relationships/styles" Target="styles.xml"/><Relationship Id="rId180" Type="http://schemas.openxmlformats.org/officeDocument/2006/relationships/hyperlink" Target="https://drive.google.com/file/d/1NImic2Kjm5V3xr1FOsc51riV1lfDWxvO/view?usp=drive_link" TargetMode="External"/><Relationship Id="rId215" Type="http://schemas.openxmlformats.org/officeDocument/2006/relationships/hyperlink" Target="https://drive.google.com/file/d/1cKYeeAqRLMnZ7235ytBc_HkQyuhs1CP2/view?usp=drive_link" TargetMode="External"/><Relationship Id="rId236" Type="http://schemas.openxmlformats.org/officeDocument/2006/relationships/hyperlink" Target="https://datawarehouse.ctcpm.cd/emine/cadre/juridique/contrat/principal/statistique/statc" TargetMode="External"/><Relationship Id="rId257" Type="http://schemas.openxmlformats.org/officeDocument/2006/relationships/fontTable" Target="fontTable.xml"/><Relationship Id="rId42" Type="http://schemas.openxmlformats.org/officeDocument/2006/relationships/image" Target="media/image12.jpeg"/><Relationship Id="rId84" Type="http://schemas.openxmlformats.org/officeDocument/2006/relationships/hyperlink" Target="https://drive.google.com/file/d/1Jsj-mUDtGtldUsoKRlgFT8Yf44AZIkcR/view?usp=drive_link" TargetMode="External"/><Relationship Id="rId138" Type="http://schemas.openxmlformats.org/officeDocument/2006/relationships/hyperlink" Target="https://drive.google.com/file/d/1VLPm9w5JsMudm1vncrcRELDxrh5nFV8l/view?usp=drive_lin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elite-news.net/2025/12/03/kasai-lancement-de-la-recolte-des-donnees-qualitatives-demographique-par-la-delegation-du-ministere-de-plan-a-tshikapa" TargetMode="External"/><Relationship Id="rId2" Type="http://schemas.openxmlformats.org/officeDocument/2006/relationships/hyperlink" Target="https://drive.google.com/drive/folders/19GjqHJID8RP4imWoEiqNIoagyZPwZHDP?usp=drive_link" TargetMode="External"/><Relationship Id="rId1" Type="http://schemas.openxmlformats.org/officeDocument/2006/relationships/hyperlink" Target="https://drive.google.com/drive/folders/1RhAT_Hc5jycgw40xr7YZM57jV4zQFadQ"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5A1F675D86499E84C900AA5EF7C5C1"/>
        <w:category>
          <w:name w:val="General"/>
          <w:gallery w:val="placeholder"/>
        </w:category>
        <w:types>
          <w:type w:val="bbPlcHdr"/>
        </w:types>
        <w:behaviors>
          <w:behavior w:val="content"/>
        </w:behaviors>
        <w:guid w:val="{D207ABCD-84D8-41DE-AE60-BDBBDF306FC4}"/>
      </w:docPartPr>
      <w:docPartBody>
        <w:p w:rsidR="009D6443" w:rsidRDefault="00D23E1A" w:rsidP="00D23E1A">
          <w:pPr>
            <w:pStyle w:val="0D5A1F675D86499E84C900AA5EF7C5C1"/>
          </w:pPr>
          <w:r>
            <w:rPr>
              <w:rStyle w:val="Textedelespacerserv"/>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venir">
    <w:altName w:val="Calibri"/>
    <w:charset w:val="00"/>
    <w:family w:val="auto"/>
    <w:pitch w:val="default"/>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m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1A"/>
    <w:rsid w:val="00065FBB"/>
    <w:rsid w:val="001641D2"/>
    <w:rsid w:val="001A231F"/>
    <w:rsid w:val="002151F9"/>
    <w:rsid w:val="0023754E"/>
    <w:rsid w:val="0025262F"/>
    <w:rsid w:val="002E7E14"/>
    <w:rsid w:val="00320928"/>
    <w:rsid w:val="003B61DB"/>
    <w:rsid w:val="003D30B1"/>
    <w:rsid w:val="00473FC0"/>
    <w:rsid w:val="005206F2"/>
    <w:rsid w:val="005B14C2"/>
    <w:rsid w:val="00640272"/>
    <w:rsid w:val="00720797"/>
    <w:rsid w:val="00763C1C"/>
    <w:rsid w:val="008B3715"/>
    <w:rsid w:val="009C1913"/>
    <w:rsid w:val="009D6443"/>
    <w:rsid w:val="00A047F8"/>
    <w:rsid w:val="00AA1A66"/>
    <w:rsid w:val="00B163B8"/>
    <w:rsid w:val="00C80DC6"/>
    <w:rsid w:val="00CB2291"/>
    <w:rsid w:val="00D23E1A"/>
    <w:rsid w:val="00D75713"/>
    <w:rsid w:val="00DC4AFB"/>
    <w:rsid w:val="00E62120"/>
    <w:rsid w:val="00FE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23E1A"/>
  </w:style>
  <w:style w:type="paragraph" w:customStyle="1" w:styleId="0D5A1F675D86499E84C900AA5EF7C5C1">
    <w:name w:val="0D5A1F675D86499E84C900AA5EF7C5C1"/>
    <w:rsid w:val="00D23E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0Uy40Vjnxt7+3EVnFw2NbC7viw==">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Rapport annuel/de progrès 2025</FileNameDescription>
    <ProjectNumber xmlns="d9cf0e28-81d2-4dc7-8b10-820d80ed680d">01004095</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F8E8D6A2-C8A4-494A-81C1-64B6FF9481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287FD1D-48DD-41E4-9F75-019674EAD765}"/>
</file>

<file path=customXml/itemProps4.xml><?xml version="1.0" encoding="utf-8"?>
<ds:datastoreItem xmlns:ds="http://schemas.openxmlformats.org/officeDocument/2006/customXml" ds:itemID="{81CDEB67-DA26-4715-921E-F3DB530D4617}"/>
</file>

<file path=customXml/itemProps5.xml><?xml version="1.0" encoding="utf-8"?>
<ds:datastoreItem xmlns:ds="http://schemas.openxmlformats.org/officeDocument/2006/customXml" ds:itemID="{5861DEB3-2B6D-497D-9A1C-5B2379B85123}"/>
</file>

<file path=docProps/app.xml><?xml version="1.0" encoding="utf-8"?>
<Properties xmlns="http://schemas.openxmlformats.org/officeDocument/2006/extended-properties" xmlns:vt="http://schemas.openxmlformats.org/officeDocument/2006/docPropsVTypes">
  <Template>Normal</Template>
  <TotalTime>37</TotalTime>
  <Pages>2</Pages>
  <Words>41628</Words>
  <Characters>228957</Characters>
  <Application>Microsoft Office Word</Application>
  <DocSecurity>0</DocSecurity>
  <Lines>1907</Lines>
  <Paragraphs>540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annuel/de progrès 2025</dc:title>
  <dc:subject/>
  <dc:creator>Gérard Imani</dc:creator>
  <cp:keywords/>
  <dc:description/>
  <cp:lastModifiedBy>Kouadio Ngoran</cp:lastModifiedBy>
  <cp:revision>3</cp:revision>
  <dcterms:created xsi:type="dcterms:W3CDTF">2026-03-10T13:03:00Z</dcterms:created>
  <dcterms:modified xsi:type="dcterms:W3CDTF">2026-03-10T13:23:00Z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MediaServiceImageTags</vt:lpwstr>
  </property>
</Properties>
</file>